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E50D3C" w:rsidTr="00031A9D">
        <w:tc>
          <w:tcPr>
            <w:tcW w:w="3343" w:type="dxa"/>
            <w:tcBorders>
              <w:top w:val="nil"/>
              <w:left w:val="nil"/>
              <w:bottom w:val="nil"/>
              <w:right w:val="nil"/>
            </w:tcBorders>
            <w:vAlign w:val="center"/>
          </w:tcPr>
          <w:p w:rsidR="00031A9D" w:rsidRPr="00E50D3C" w:rsidRDefault="00031A9D" w:rsidP="005E28F6">
            <w:pPr>
              <w:bidi/>
              <w:spacing w:line="276" w:lineRule="auto"/>
              <w:jc w:val="center"/>
              <w:rPr>
                <w:rFonts w:asciiTheme="minorHAnsi" w:hAnsiTheme="minorHAnsi" w:cstheme="minorHAnsi"/>
                <w:b/>
                <w:bCs/>
                <w:rtl/>
              </w:rPr>
            </w:pPr>
            <w:r w:rsidRPr="00E50D3C">
              <w:rPr>
                <w:rFonts w:asciiTheme="minorHAnsi" w:hAnsiTheme="minorHAnsi" w:cstheme="minorHAnsi"/>
                <w:b/>
                <w:bCs/>
                <w:rtl/>
              </w:rPr>
              <w:t>בנק ישראל</w:t>
            </w:r>
          </w:p>
          <w:p w:rsidR="00031A9D" w:rsidRPr="00E50D3C" w:rsidRDefault="00031A9D" w:rsidP="005E28F6">
            <w:pPr>
              <w:bidi/>
              <w:spacing w:line="276" w:lineRule="auto"/>
              <w:jc w:val="center"/>
              <w:rPr>
                <w:rFonts w:asciiTheme="minorHAnsi" w:hAnsiTheme="minorHAnsi" w:cstheme="minorHAnsi"/>
                <w:b/>
                <w:bCs/>
              </w:rPr>
            </w:pPr>
            <w:r w:rsidRPr="00E50D3C">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E50D3C" w:rsidRDefault="00031A9D" w:rsidP="005E28F6">
            <w:pPr>
              <w:bidi/>
              <w:jc w:val="center"/>
              <w:rPr>
                <w:rFonts w:asciiTheme="minorHAnsi" w:hAnsiTheme="minorHAnsi" w:cstheme="minorHAnsi"/>
              </w:rPr>
            </w:pPr>
            <w:r w:rsidRPr="00E50D3C">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E50D3C" w:rsidRDefault="00031A9D" w:rsidP="005E28F6">
            <w:pPr>
              <w:bidi/>
              <w:spacing w:line="276" w:lineRule="auto"/>
              <w:jc w:val="center"/>
              <w:rPr>
                <w:rFonts w:asciiTheme="minorHAnsi" w:hAnsiTheme="minorHAnsi" w:cstheme="minorHAnsi"/>
                <w:rtl/>
              </w:rPr>
            </w:pPr>
            <w:r w:rsidRPr="00E50D3C">
              <w:rPr>
                <w:rFonts w:asciiTheme="minorHAnsi" w:hAnsiTheme="minorHAnsi" w:cstheme="minorHAnsi"/>
                <w:highlight w:val="green"/>
                <w:rtl/>
              </w:rPr>
              <w:t>‏</w:t>
            </w:r>
            <w:r w:rsidRPr="00E50D3C">
              <w:rPr>
                <w:rFonts w:asciiTheme="minorHAnsi" w:hAnsiTheme="minorHAnsi" w:cstheme="minorHAnsi"/>
                <w:rtl/>
              </w:rPr>
              <w:t xml:space="preserve">ירושלים, </w:t>
            </w:r>
            <w:r w:rsidRPr="00E50D3C">
              <w:rPr>
                <w:rFonts w:asciiTheme="minorHAnsi" w:hAnsiTheme="minorHAnsi" w:cstheme="minorHAnsi"/>
                <w:rtl/>
              </w:rPr>
              <w:fldChar w:fldCharType="begin"/>
            </w:r>
            <w:r w:rsidRPr="00E50D3C">
              <w:rPr>
                <w:rFonts w:asciiTheme="minorHAnsi" w:hAnsiTheme="minorHAnsi" w:cstheme="minorHAnsi"/>
                <w:rtl/>
              </w:rPr>
              <w:instrText xml:space="preserve"> </w:instrText>
            </w:r>
            <w:r w:rsidRPr="00E50D3C">
              <w:rPr>
                <w:rFonts w:asciiTheme="minorHAnsi" w:hAnsiTheme="minorHAnsi" w:cstheme="minorHAnsi"/>
              </w:rPr>
              <w:instrText>DATE</w:instrText>
            </w:r>
            <w:r w:rsidRPr="00E50D3C">
              <w:rPr>
                <w:rFonts w:asciiTheme="minorHAnsi" w:hAnsiTheme="minorHAnsi" w:cstheme="minorHAnsi"/>
                <w:rtl/>
              </w:rPr>
              <w:instrText xml:space="preserve"> \@ "</w:instrText>
            </w:r>
            <w:r w:rsidRPr="00E50D3C">
              <w:rPr>
                <w:rFonts w:asciiTheme="minorHAnsi" w:hAnsiTheme="minorHAnsi" w:cstheme="minorHAnsi"/>
              </w:rPr>
              <w:instrText>d MMMM, yyyy" \h</w:instrText>
            </w:r>
            <w:r w:rsidRPr="00E50D3C">
              <w:rPr>
                <w:rFonts w:asciiTheme="minorHAnsi" w:hAnsiTheme="minorHAnsi" w:cstheme="minorHAnsi"/>
                <w:rtl/>
              </w:rPr>
              <w:instrText xml:space="preserve"> </w:instrText>
            </w:r>
            <w:r w:rsidRPr="00E50D3C">
              <w:rPr>
                <w:rFonts w:asciiTheme="minorHAnsi" w:hAnsiTheme="minorHAnsi" w:cstheme="minorHAnsi"/>
                <w:rtl/>
              </w:rPr>
              <w:fldChar w:fldCharType="separate"/>
            </w:r>
            <w:r w:rsidR="00E50D3C" w:rsidRPr="00E50D3C">
              <w:rPr>
                <w:rFonts w:asciiTheme="minorHAnsi" w:hAnsiTheme="minorHAnsi" w:cstheme="minorHAnsi"/>
                <w:noProof/>
                <w:rtl/>
              </w:rPr>
              <w:t>‏א' אלול, תשפ"ה</w:t>
            </w:r>
            <w:r w:rsidRPr="00E50D3C">
              <w:rPr>
                <w:rFonts w:asciiTheme="minorHAnsi" w:hAnsiTheme="minorHAnsi" w:cstheme="minorHAnsi"/>
                <w:rtl/>
              </w:rPr>
              <w:fldChar w:fldCharType="end"/>
            </w:r>
          </w:p>
          <w:p w:rsidR="00031A9D" w:rsidRPr="00E50D3C" w:rsidRDefault="00031A9D" w:rsidP="005E28F6">
            <w:pPr>
              <w:bidi/>
              <w:spacing w:line="276" w:lineRule="auto"/>
              <w:jc w:val="center"/>
              <w:rPr>
                <w:rFonts w:asciiTheme="minorHAnsi" w:hAnsiTheme="minorHAnsi" w:cstheme="minorHAnsi"/>
                <w:highlight w:val="green"/>
              </w:rPr>
            </w:pPr>
            <w:r w:rsidRPr="00E50D3C">
              <w:rPr>
                <w:rFonts w:asciiTheme="minorHAnsi" w:hAnsiTheme="minorHAnsi" w:cstheme="minorHAnsi"/>
                <w:rtl/>
              </w:rPr>
              <w:fldChar w:fldCharType="begin"/>
            </w:r>
            <w:r w:rsidRPr="00E50D3C">
              <w:rPr>
                <w:rFonts w:asciiTheme="minorHAnsi" w:hAnsiTheme="minorHAnsi" w:cstheme="minorHAnsi"/>
                <w:rtl/>
              </w:rPr>
              <w:instrText xml:space="preserve"> </w:instrText>
            </w:r>
            <w:r w:rsidRPr="00E50D3C">
              <w:rPr>
                <w:rFonts w:asciiTheme="minorHAnsi" w:hAnsiTheme="minorHAnsi" w:cstheme="minorHAnsi"/>
              </w:rPr>
              <w:instrText>DATE</w:instrText>
            </w:r>
            <w:r w:rsidRPr="00E50D3C">
              <w:rPr>
                <w:rFonts w:asciiTheme="minorHAnsi" w:hAnsiTheme="minorHAnsi" w:cstheme="minorHAnsi"/>
                <w:rtl/>
              </w:rPr>
              <w:instrText xml:space="preserve"> \@ "</w:instrText>
            </w:r>
            <w:r w:rsidRPr="00E50D3C">
              <w:rPr>
                <w:rFonts w:asciiTheme="minorHAnsi" w:hAnsiTheme="minorHAnsi" w:cstheme="minorHAnsi"/>
              </w:rPr>
              <w:instrText>d MMMM, yyyy</w:instrText>
            </w:r>
            <w:r w:rsidRPr="00E50D3C">
              <w:rPr>
                <w:rFonts w:asciiTheme="minorHAnsi" w:hAnsiTheme="minorHAnsi" w:cstheme="minorHAnsi"/>
                <w:rtl/>
              </w:rPr>
              <w:instrText xml:space="preserve">" </w:instrText>
            </w:r>
            <w:r w:rsidRPr="00E50D3C">
              <w:rPr>
                <w:rFonts w:asciiTheme="minorHAnsi" w:hAnsiTheme="minorHAnsi" w:cstheme="minorHAnsi"/>
                <w:rtl/>
              </w:rPr>
              <w:fldChar w:fldCharType="separate"/>
            </w:r>
            <w:r w:rsidR="00E50D3C" w:rsidRPr="00E50D3C">
              <w:rPr>
                <w:rFonts w:asciiTheme="minorHAnsi" w:hAnsiTheme="minorHAnsi" w:cstheme="minorHAnsi"/>
                <w:noProof/>
                <w:rtl/>
              </w:rPr>
              <w:t>‏25 אוגוסט, 2025</w:t>
            </w:r>
            <w:r w:rsidRPr="00E50D3C">
              <w:rPr>
                <w:rFonts w:asciiTheme="minorHAnsi" w:hAnsiTheme="minorHAnsi" w:cstheme="minorHAnsi"/>
                <w:rtl/>
              </w:rPr>
              <w:fldChar w:fldCharType="end"/>
            </w:r>
          </w:p>
        </w:tc>
      </w:tr>
    </w:tbl>
    <w:p w:rsidR="00031A9D" w:rsidRPr="00E50D3C" w:rsidRDefault="00031A9D" w:rsidP="005E28F6">
      <w:pPr>
        <w:bidi/>
        <w:rPr>
          <w:rFonts w:asciiTheme="minorHAnsi" w:hAnsiTheme="minorHAnsi" w:cstheme="minorHAnsi"/>
          <w:rtl/>
        </w:rPr>
      </w:pPr>
    </w:p>
    <w:p w:rsidR="00E50D3C" w:rsidRPr="00E50D3C" w:rsidRDefault="005E28F6" w:rsidP="00E50D3C">
      <w:pPr>
        <w:bidi/>
        <w:spacing w:line="360" w:lineRule="auto"/>
        <w:rPr>
          <w:rFonts w:asciiTheme="minorHAnsi" w:hAnsiTheme="minorHAnsi" w:cstheme="minorHAnsi"/>
          <w:rtl/>
        </w:rPr>
      </w:pPr>
      <w:r w:rsidRPr="00E50D3C">
        <w:rPr>
          <w:rFonts w:asciiTheme="minorHAnsi" w:hAnsiTheme="minorHAnsi" w:cstheme="minorHAnsi"/>
          <w:rtl/>
        </w:rPr>
        <w:t>הודעה לעיתונות</w:t>
      </w:r>
      <w:r w:rsidRPr="00E50D3C">
        <w:rPr>
          <w:rFonts w:asciiTheme="minorHAnsi" w:hAnsiTheme="minorHAnsi" w:cstheme="minorHAnsi"/>
        </w:rPr>
        <w:t>:</w:t>
      </w:r>
    </w:p>
    <w:p w:rsidR="00E50D3C" w:rsidRPr="00E50D3C" w:rsidRDefault="00E50D3C" w:rsidP="00E50D3C">
      <w:pPr>
        <w:pStyle w:val="Title"/>
        <w:bidi/>
        <w:jc w:val="center"/>
        <w:rPr>
          <w:rFonts w:asciiTheme="minorHAnsi" w:hAnsiTheme="minorHAnsi" w:cstheme="minorHAnsi" w:hint="default"/>
          <w:b/>
          <w:bCs/>
          <w:sz w:val="28"/>
          <w:szCs w:val="28"/>
          <w:rtl/>
        </w:rPr>
      </w:pPr>
      <w:r w:rsidRPr="00E50D3C">
        <w:rPr>
          <w:rFonts w:asciiTheme="minorHAnsi" w:hAnsiTheme="minorHAnsi" w:cstheme="minorHAnsi" w:hint="default"/>
          <w:b/>
          <w:bCs/>
          <w:sz w:val="28"/>
          <w:szCs w:val="28"/>
          <w:rtl/>
        </w:rPr>
        <w:t xml:space="preserve">המדד המשולב לחודש יולי ירד ב-0.64%. </w:t>
      </w:r>
    </w:p>
    <w:p w:rsidR="00E50D3C" w:rsidRPr="00E50D3C" w:rsidRDefault="00E50D3C" w:rsidP="00E50D3C">
      <w:pPr>
        <w:pStyle w:val="Title"/>
        <w:bidi/>
        <w:jc w:val="center"/>
        <w:rPr>
          <w:rFonts w:asciiTheme="minorHAnsi" w:hAnsiTheme="minorHAnsi" w:cstheme="minorHAnsi" w:hint="default"/>
          <w:b/>
          <w:bCs/>
          <w:sz w:val="24"/>
          <w:szCs w:val="24"/>
        </w:rPr>
      </w:pPr>
      <w:r w:rsidRPr="00E50D3C">
        <w:rPr>
          <w:rFonts w:asciiTheme="minorHAnsi" w:hAnsiTheme="minorHAnsi" w:cstheme="minorHAnsi" w:hint="default"/>
          <w:b/>
          <w:bCs/>
          <w:sz w:val="24"/>
          <w:szCs w:val="24"/>
          <w:rtl/>
        </w:rPr>
        <w:t>זהו הפרסום האחרון של המדד המשולב בפורמט הנוכחי.</w:t>
      </w:r>
    </w:p>
    <w:p w:rsidR="00E50D3C" w:rsidRPr="00E50D3C" w:rsidRDefault="00E50D3C" w:rsidP="00E50D3C">
      <w:pPr>
        <w:bidi/>
        <w:spacing w:after="120" w:line="360" w:lineRule="auto"/>
        <w:ind w:right="-57"/>
        <w:jc w:val="both"/>
        <w:rPr>
          <w:rFonts w:asciiTheme="minorHAnsi" w:hAnsiTheme="minorHAnsi" w:cstheme="minorHAnsi"/>
        </w:rPr>
      </w:pPr>
    </w:p>
    <w:p w:rsidR="00E50D3C" w:rsidRPr="00E50D3C" w:rsidRDefault="00E50D3C" w:rsidP="00E50D3C">
      <w:pPr>
        <w:bidi/>
        <w:spacing w:after="120" w:line="360" w:lineRule="auto"/>
        <w:ind w:right="-57"/>
        <w:jc w:val="both"/>
        <w:rPr>
          <w:rFonts w:asciiTheme="minorHAnsi" w:hAnsiTheme="minorHAnsi" w:cstheme="minorHAnsi"/>
          <w:rtl/>
        </w:rPr>
      </w:pPr>
      <w:r w:rsidRPr="00E50D3C">
        <w:rPr>
          <w:rFonts w:asciiTheme="minorHAnsi" w:hAnsiTheme="minorHAnsi" w:cstheme="minorHAnsi"/>
          <w:rtl/>
        </w:rPr>
        <w:t>המדד המשולב לחודש יולי ירד בשיעור של 0.64 אחוז. ירידה זו עודנה משקפת את השפעות מבצע "עם כלביא" על רכיבי המדד מחודש יוני. מנגד, רכיבי המדד המשולב שדווחו עד כה ליולי עלו, כביטוי לשיפור בפעילות במשק לאחר תום המבצע.</w:t>
      </w:r>
    </w:p>
    <w:p w:rsidR="00E50D3C" w:rsidRPr="00E50D3C" w:rsidRDefault="00E50D3C" w:rsidP="00E50D3C">
      <w:pPr>
        <w:bidi/>
        <w:spacing w:after="120" w:line="360" w:lineRule="auto"/>
        <w:ind w:right="-57"/>
        <w:rPr>
          <w:rFonts w:asciiTheme="minorHAnsi" w:hAnsiTheme="minorHAnsi" w:cstheme="minorHAnsi"/>
          <w:rtl/>
        </w:rPr>
      </w:pPr>
      <w:r w:rsidRPr="00E50D3C">
        <w:rPr>
          <w:rFonts w:asciiTheme="minorHAnsi" w:hAnsiTheme="minorHAnsi" w:cstheme="minorHAnsi"/>
          <w:rtl/>
        </w:rPr>
        <w:t xml:space="preserve">לוח 1 מציג את העדכונים לאחור במדד. לוח 2 מציג את התפתחות רכיבי המדד בחודשים האחרונים. </w:t>
      </w:r>
      <w:r>
        <w:rPr>
          <w:rFonts w:asciiTheme="minorHAnsi" w:hAnsiTheme="minorHAnsi" w:cstheme="minorHAnsi"/>
          <w:rtl/>
        </w:rPr>
        <w:t>הסברים מפורטים לגבי</w:t>
      </w:r>
      <w:r>
        <w:rPr>
          <w:rFonts w:asciiTheme="minorHAnsi" w:hAnsiTheme="minorHAnsi" w:cstheme="minorHAnsi" w:hint="cs"/>
          <w:rtl/>
        </w:rPr>
        <w:t xml:space="preserve"> </w:t>
      </w:r>
      <w:r w:rsidRPr="00E50D3C">
        <w:rPr>
          <w:rFonts w:asciiTheme="minorHAnsi" w:hAnsiTheme="minorHAnsi" w:cstheme="minorHAnsi"/>
          <w:rtl/>
        </w:rPr>
        <w:t>אופן חישוב המדד המשולב וכן לוחות מפורטים ארוכי טווח ניתן למצוא בקישור:</w:t>
      </w:r>
      <w:hyperlink r:id="rId8" w:history="1">
        <w:r w:rsidRPr="00E50D3C">
          <w:rPr>
            <w:rStyle w:val="Hyperlink"/>
            <w:rFonts w:asciiTheme="minorHAnsi" w:hAnsiTheme="minorHAnsi" w:cstheme="minorHAnsi"/>
          </w:rPr>
          <w:t>https://www.boi.org.il/roles/statistics/compositeindex/</w:t>
        </w:r>
      </w:hyperlink>
    </w:p>
    <w:p w:rsidR="00E50D3C" w:rsidRPr="00E50D3C" w:rsidRDefault="00E50D3C" w:rsidP="00E50D3C">
      <w:pPr>
        <w:pStyle w:val="NormalWeb"/>
        <w:bidi/>
        <w:spacing w:line="360" w:lineRule="auto"/>
        <w:jc w:val="both"/>
        <w:rPr>
          <w:rFonts w:asciiTheme="minorHAnsi" w:eastAsia="Times New Roman" w:hAnsiTheme="minorHAnsi" w:cstheme="minorHAnsi"/>
          <w:rtl/>
          <w:lang w:eastAsia="he-IL"/>
        </w:rPr>
      </w:pPr>
      <w:r w:rsidRPr="00E50D3C">
        <w:rPr>
          <w:rFonts w:asciiTheme="minorHAnsi" w:eastAsia="Times New Roman" w:hAnsiTheme="minorHAnsi" w:cstheme="minorHAnsi"/>
          <w:b/>
          <w:bCs/>
          <w:rtl/>
          <w:lang w:eastAsia="he-IL"/>
        </w:rPr>
        <w:t>זהו הפרסום האחרון של "המדד המשולב למצב המשק" בפורמט הנוכחי. החל מהחודש הבא, בנק ישראל יפרסם מדד חדש - "מדד חודשי לפעילות המשק".</w:t>
      </w:r>
      <w:r w:rsidRPr="00E50D3C">
        <w:rPr>
          <w:rFonts w:asciiTheme="minorHAnsi" w:eastAsia="Times New Roman" w:hAnsiTheme="minorHAnsi" w:cstheme="minorHAnsi"/>
          <w:rtl/>
          <w:lang w:eastAsia="he-IL"/>
        </w:rPr>
        <w:t xml:space="preserve"> המדד החדש מבוסס על כלי מחקרי מתקדם ונועד לספק תמונה מדויקת ועדכנית יותר של קצב הצמיחה החודשי במשק הישראלי. המדד החדש מבוסס על עיבוד מידע ממעל 30 סדרות כלכליות באמצעות מודל סטטיסטי ייעודי</w:t>
      </w:r>
      <w:r w:rsidRPr="00E50D3C">
        <w:rPr>
          <w:rFonts w:asciiTheme="minorHAnsi" w:eastAsia="Times New Roman" w:hAnsiTheme="minorHAnsi" w:cstheme="minorHAnsi"/>
          <w:lang w:eastAsia="he-IL"/>
        </w:rPr>
        <w:t xml:space="preserve"> </w:t>
      </w:r>
      <w:r w:rsidRPr="00E50D3C">
        <w:rPr>
          <w:rFonts w:asciiTheme="minorHAnsi" w:eastAsia="Times New Roman" w:hAnsiTheme="minorHAnsi" w:cstheme="minorHAnsi"/>
          <w:rtl/>
          <w:lang w:eastAsia="he-IL"/>
        </w:rPr>
        <w:t>שפותח בבנק ישראל, והוא מאותת על שינויים בסביבת הצמיחה בשלב מוקדם יותר בהשוואה למדד המשולב. ניתן למצוא תיאור של המדד החדש והמתודולוגיה שבבסיסו באתר בנק ישראל.</w:t>
      </w:r>
    </w:p>
    <w:p w:rsidR="00E50D3C" w:rsidRPr="00E50D3C" w:rsidRDefault="00E50D3C" w:rsidP="00E50D3C">
      <w:pPr>
        <w:pStyle w:val="NormalWeb"/>
        <w:bidi/>
        <w:spacing w:line="360" w:lineRule="auto"/>
        <w:jc w:val="both"/>
        <w:rPr>
          <w:rFonts w:asciiTheme="minorHAnsi" w:hAnsiTheme="minorHAnsi" w:cstheme="minorHAnsi"/>
          <w:rtl/>
        </w:rPr>
      </w:pPr>
      <w:r w:rsidRPr="00E50D3C">
        <w:rPr>
          <w:rFonts w:asciiTheme="minorHAnsi" w:eastAsia="Times New Roman" w:hAnsiTheme="minorHAnsi" w:cstheme="minorHAnsi"/>
          <w:rtl/>
          <w:lang w:eastAsia="he-IL"/>
        </w:rPr>
        <w:t>בנק ישראל ימשיך לחשב את המדד המשולב הנוכחי במהלך השנה הקרובה לצורכי שרשור ובקרה, והוא יהיה</w:t>
      </w:r>
      <w:r w:rsidRPr="00E50D3C">
        <w:rPr>
          <w:rFonts w:asciiTheme="minorHAnsi" w:hAnsiTheme="minorHAnsi" w:cstheme="minorHAnsi"/>
          <w:rtl/>
        </w:rPr>
        <w:t xml:space="preserve"> זמין </w:t>
      </w:r>
      <w:hyperlink r:id="rId9" w:anchor="?locale=he" w:history="1">
        <w:r w:rsidRPr="00E50D3C">
          <w:rPr>
            <w:rStyle w:val="Hyperlink"/>
            <w:rFonts w:asciiTheme="minorHAnsi" w:hAnsiTheme="minorHAnsi" w:cstheme="minorHAnsi"/>
            <w:rtl/>
          </w:rPr>
          <w:t>במאגר הסדרות באתר.</w:t>
        </w:r>
      </w:hyperlink>
    </w:p>
    <w:p w:rsidR="00E50D3C" w:rsidRPr="00E50D3C" w:rsidRDefault="00E50D3C" w:rsidP="00E50D3C">
      <w:pPr>
        <w:pStyle w:val="Heading1"/>
        <w:bidi/>
        <w:rPr>
          <w:rFonts w:asciiTheme="minorHAnsi" w:hAnsiTheme="minorHAnsi" w:cstheme="minorHAnsi" w:hint="default"/>
          <w:rtl/>
        </w:rPr>
      </w:pPr>
      <w:r w:rsidRPr="00E50D3C">
        <w:rPr>
          <w:rFonts w:asciiTheme="minorHAnsi" w:hAnsiTheme="minorHAnsi" w:cstheme="minorHAnsi" w:hint="default"/>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E50D3C" w:rsidRPr="00E50D3C" w:rsidTr="00030C60">
        <w:trPr>
          <w:trHeight w:hRule="exact" w:val="479"/>
          <w:tblHeader/>
        </w:trPr>
        <w:tc>
          <w:tcPr>
            <w:tcW w:w="0" w:type="auto"/>
            <w:vAlign w:val="bottom"/>
          </w:tcPr>
          <w:p w:rsidR="00E50D3C" w:rsidRPr="00E50D3C" w:rsidRDefault="00E50D3C" w:rsidP="00030C60">
            <w:pPr>
              <w:pStyle w:val="BlockText"/>
              <w:spacing w:line="240" w:lineRule="auto"/>
              <w:ind w:left="0" w:firstLine="0"/>
              <w:jc w:val="left"/>
              <w:rPr>
                <w:rFonts w:asciiTheme="minorHAnsi" w:hAnsiTheme="minorHAnsi" w:cstheme="minorHAnsi"/>
              </w:rPr>
            </w:pPr>
            <w:r w:rsidRPr="00E50D3C">
              <w:rPr>
                <w:rFonts w:asciiTheme="minorHAnsi" w:hAnsiTheme="minorHAnsi" w:cstheme="minorHAnsi"/>
                <w:b/>
                <w:bCs/>
                <w:rtl/>
              </w:rPr>
              <w:t>השינוי במדד (באחוזים)</w:t>
            </w:r>
          </w:p>
        </w:tc>
        <w:tc>
          <w:tcPr>
            <w:tcW w:w="0" w:type="auto"/>
            <w:vAlign w:val="bottom"/>
          </w:tcPr>
          <w:p w:rsidR="00E50D3C" w:rsidRPr="00E50D3C" w:rsidRDefault="00E50D3C" w:rsidP="00030C60">
            <w:pPr>
              <w:pStyle w:val="BlockText"/>
              <w:spacing w:line="240" w:lineRule="auto"/>
              <w:ind w:left="0" w:firstLine="0"/>
              <w:jc w:val="left"/>
              <w:rPr>
                <w:rFonts w:asciiTheme="minorHAnsi" w:hAnsiTheme="minorHAnsi" w:cstheme="minorHAnsi"/>
                <w:b/>
                <w:bCs/>
              </w:rPr>
            </w:pPr>
            <w:r w:rsidRPr="00E50D3C">
              <w:rPr>
                <w:rFonts w:asciiTheme="minorHAnsi" w:hAnsiTheme="minorHAnsi" w:cstheme="minorHAnsi"/>
                <w:b/>
                <w:bCs/>
                <w:rtl/>
              </w:rPr>
              <w:t>נתון קודם</w:t>
            </w:r>
          </w:p>
        </w:tc>
        <w:tc>
          <w:tcPr>
            <w:tcW w:w="0" w:type="auto"/>
            <w:vAlign w:val="bottom"/>
          </w:tcPr>
          <w:p w:rsidR="00E50D3C" w:rsidRPr="00E50D3C" w:rsidRDefault="00E50D3C" w:rsidP="00030C60">
            <w:pPr>
              <w:pStyle w:val="BlockText"/>
              <w:tabs>
                <w:tab w:val="center" w:pos="886"/>
              </w:tabs>
              <w:bidi w:val="0"/>
              <w:spacing w:line="240" w:lineRule="auto"/>
              <w:ind w:left="0" w:firstLine="0"/>
              <w:jc w:val="left"/>
              <w:rPr>
                <w:rFonts w:asciiTheme="minorHAnsi" w:hAnsiTheme="minorHAnsi" w:cstheme="minorHAnsi"/>
                <w:b/>
                <w:bCs/>
                <w:rtl/>
              </w:rPr>
            </w:pPr>
            <w:r w:rsidRPr="00E50D3C">
              <w:rPr>
                <w:rFonts w:asciiTheme="minorHAnsi" w:hAnsiTheme="minorHAnsi" w:cstheme="minorHAnsi"/>
                <w:b/>
                <w:bCs/>
                <w:rtl/>
              </w:rPr>
              <w:t>נתון חדש</w:t>
            </w:r>
          </w:p>
        </w:tc>
      </w:tr>
      <w:tr w:rsidR="00E50D3C" w:rsidRPr="00E50D3C" w:rsidTr="00030C60">
        <w:trPr>
          <w:trHeight w:hRule="exact" w:val="397"/>
        </w:trPr>
        <w:tc>
          <w:tcPr>
            <w:tcW w:w="0" w:type="auto"/>
            <w:vAlign w:val="bottom"/>
          </w:tcPr>
          <w:p w:rsidR="00E50D3C" w:rsidRPr="00E50D3C" w:rsidRDefault="00E50D3C" w:rsidP="00030C60">
            <w:pPr>
              <w:bidi/>
              <w:rPr>
                <w:rFonts w:asciiTheme="minorHAnsi" w:hAnsiTheme="minorHAnsi" w:cstheme="minorHAnsi"/>
                <w:rtl/>
              </w:rPr>
            </w:pPr>
            <w:r w:rsidRPr="00E50D3C">
              <w:rPr>
                <w:rFonts w:asciiTheme="minorHAnsi" w:hAnsiTheme="minorHAnsi" w:cstheme="minorHAnsi"/>
                <w:rtl/>
              </w:rPr>
              <w:t>יולי</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0.64-</w:t>
            </w:r>
          </w:p>
        </w:tc>
      </w:tr>
      <w:tr w:rsidR="00E50D3C" w:rsidRPr="00E50D3C" w:rsidTr="00030C60">
        <w:trPr>
          <w:trHeight w:hRule="exact" w:val="397"/>
        </w:trPr>
        <w:tc>
          <w:tcPr>
            <w:tcW w:w="0" w:type="auto"/>
            <w:vAlign w:val="bottom"/>
          </w:tcPr>
          <w:p w:rsidR="00E50D3C" w:rsidRPr="00E50D3C" w:rsidRDefault="00E50D3C" w:rsidP="00030C60">
            <w:pPr>
              <w:bidi/>
              <w:rPr>
                <w:rFonts w:asciiTheme="minorHAnsi" w:hAnsiTheme="minorHAnsi" w:cstheme="minorHAnsi"/>
                <w:rtl/>
              </w:rPr>
            </w:pPr>
            <w:r w:rsidRPr="00E50D3C">
              <w:rPr>
                <w:rFonts w:asciiTheme="minorHAnsi" w:hAnsiTheme="minorHAnsi" w:cstheme="minorHAnsi"/>
                <w:rtl/>
              </w:rPr>
              <w:t>יוני</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0.67-</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1.62-</w:t>
            </w:r>
          </w:p>
        </w:tc>
      </w:tr>
      <w:tr w:rsidR="00E50D3C" w:rsidRPr="00E50D3C" w:rsidTr="00030C60">
        <w:trPr>
          <w:trHeight w:hRule="exact" w:val="397"/>
        </w:trPr>
        <w:tc>
          <w:tcPr>
            <w:tcW w:w="0" w:type="auto"/>
            <w:vAlign w:val="bottom"/>
          </w:tcPr>
          <w:p w:rsidR="00E50D3C" w:rsidRPr="00E50D3C" w:rsidRDefault="00E50D3C" w:rsidP="00030C60">
            <w:pPr>
              <w:bidi/>
              <w:rPr>
                <w:rFonts w:asciiTheme="minorHAnsi" w:hAnsiTheme="minorHAnsi" w:cstheme="minorHAnsi"/>
                <w:rtl/>
              </w:rPr>
            </w:pPr>
            <w:r w:rsidRPr="00E50D3C">
              <w:rPr>
                <w:rFonts w:asciiTheme="minorHAnsi" w:hAnsiTheme="minorHAnsi" w:cstheme="minorHAnsi"/>
                <w:rtl/>
              </w:rPr>
              <w:t>מאי</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0.17-</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0.33-</w:t>
            </w:r>
          </w:p>
        </w:tc>
      </w:tr>
      <w:tr w:rsidR="00E50D3C" w:rsidRPr="00E50D3C" w:rsidTr="00030C60">
        <w:trPr>
          <w:trHeight w:hRule="exact" w:val="397"/>
        </w:trPr>
        <w:tc>
          <w:tcPr>
            <w:tcW w:w="0" w:type="auto"/>
            <w:vAlign w:val="bottom"/>
          </w:tcPr>
          <w:p w:rsidR="00E50D3C" w:rsidRPr="00E50D3C" w:rsidRDefault="00E50D3C" w:rsidP="00030C60">
            <w:pPr>
              <w:bidi/>
              <w:rPr>
                <w:rFonts w:asciiTheme="minorHAnsi" w:hAnsiTheme="minorHAnsi" w:cstheme="minorHAnsi"/>
              </w:rPr>
            </w:pPr>
            <w:r w:rsidRPr="00E50D3C">
              <w:rPr>
                <w:rFonts w:asciiTheme="minorHAnsi" w:hAnsiTheme="minorHAnsi" w:cstheme="minorHAnsi"/>
                <w:rtl/>
              </w:rPr>
              <w:t>אפריל</w:t>
            </w:r>
          </w:p>
        </w:tc>
        <w:tc>
          <w:tcPr>
            <w:tcW w:w="0" w:type="auto"/>
            <w:vAlign w:val="bottom"/>
          </w:tcPr>
          <w:p w:rsidR="00E50D3C" w:rsidRPr="00E50D3C" w:rsidDel="00164403" w:rsidRDefault="00E50D3C" w:rsidP="00030C60">
            <w:pPr>
              <w:pStyle w:val="BlockText"/>
              <w:spacing w:after="0" w:line="240" w:lineRule="auto"/>
              <w:ind w:left="0" w:firstLine="0"/>
              <w:jc w:val="center"/>
              <w:rPr>
                <w:rFonts w:asciiTheme="minorHAnsi" w:hAnsiTheme="minorHAnsi" w:cstheme="minorHAnsi"/>
                <w:sz w:val="24"/>
              </w:rPr>
            </w:pPr>
            <w:r w:rsidRPr="00E50D3C">
              <w:rPr>
                <w:rFonts w:asciiTheme="minorHAnsi" w:hAnsiTheme="minorHAnsi" w:cstheme="minorHAnsi"/>
                <w:sz w:val="24"/>
                <w:rtl/>
              </w:rPr>
              <w:t>0.10-</w:t>
            </w:r>
          </w:p>
        </w:tc>
        <w:tc>
          <w:tcPr>
            <w:tcW w:w="0" w:type="auto"/>
            <w:vAlign w:val="bottom"/>
          </w:tcPr>
          <w:p w:rsidR="00E50D3C" w:rsidRPr="00E50D3C" w:rsidDel="00164403" w:rsidRDefault="00E50D3C" w:rsidP="00030C60">
            <w:pPr>
              <w:pStyle w:val="BlockText"/>
              <w:spacing w:after="0" w:line="240" w:lineRule="auto"/>
              <w:ind w:left="0" w:firstLine="0"/>
              <w:jc w:val="center"/>
              <w:rPr>
                <w:rFonts w:asciiTheme="minorHAnsi" w:hAnsiTheme="minorHAnsi" w:cstheme="minorHAnsi"/>
                <w:sz w:val="24"/>
              </w:rPr>
            </w:pPr>
            <w:r w:rsidRPr="00E50D3C">
              <w:rPr>
                <w:rFonts w:asciiTheme="minorHAnsi" w:hAnsiTheme="minorHAnsi" w:cstheme="minorHAnsi"/>
                <w:sz w:val="24"/>
                <w:rtl/>
              </w:rPr>
              <w:t>0.46-</w:t>
            </w:r>
          </w:p>
        </w:tc>
      </w:tr>
      <w:tr w:rsidR="00E50D3C" w:rsidRPr="00E50D3C" w:rsidTr="00030C60">
        <w:trPr>
          <w:trHeight w:hRule="exact" w:val="397"/>
        </w:trPr>
        <w:tc>
          <w:tcPr>
            <w:tcW w:w="0" w:type="auto"/>
            <w:vAlign w:val="bottom"/>
          </w:tcPr>
          <w:p w:rsidR="00E50D3C" w:rsidRPr="00E50D3C" w:rsidRDefault="00E50D3C" w:rsidP="00030C60">
            <w:pPr>
              <w:bidi/>
              <w:rPr>
                <w:rFonts w:asciiTheme="minorHAnsi" w:hAnsiTheme="minorHAnsi" w:cstheme="minorHAnsi"/>
                <w:rtl/>
              </w:rPr>
            </w:pPr>
            <w:r w:rsidRPr="00E50D3C">
              <w:rPr>
                <w:rFonts w:asciiTheme="minorHAnsi" w:hAnsiTheme="minorHAnsi" w:cstheme="minorHAnsi"/>
                <w:rtl/>
              </w:rPr>
              <w:t>מרץ</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0.08</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0.15</w:t>
            </w:r>
          </w:p>
        </w:tc>
      </w:tr>
      <w:tr w:rsidR="00E50D3C" w:rsidRPr="00E50D3C" w:rsidTr="00030C60">
        <w:trPr>
          <w:trHeight w:hRule="exact" w:val="397"/>
        </w:trPr>
        <w:tc>
          <w:tcPr>
            <w:tcW w:w="0" w:type="auto"/>
            <w:vAlign w:val="bottom"/>
          </w:tcPr>
          <w:p w:rsidR="00E50D3C" w:rsidRPr="00E50D3C" w:rsidRDefault="00E50D3C" w:rsidP="00030C60">
            <w:pPr>
              <w:bidi/>
              <w:rPr>
                <w:rFonts w:asciiTheme="minorHAnsi" w:hAnsiTheme="minorHAnsi" w:cstheme="minorHAnsi"/>
                <w:rtl/>
              </w:rPr>
            </w:pPr>
            <w:r w:rsidRPr="00E50D3C">
              <w:rPr>
                <w:rFonts w:asciiTheme="minorHAnsi" w:hAnsiTheme="minorHAnsi" w:cstheme="minorHAnsi"/>
                <w:rtl/>
              </w:rPr>
              <w:t>פברואר</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0.06</w:t>
            </w:r>
          </w:p>
        </w:tc>
        <w:tc>
          <w:tcPr>
            <w:tcW w:w="0" w:type="auto"/>
            <w:vAlign w:val="bottom"/>
          </w:tcPr>
          <w:p w:rsidR="00E50D3C" w:rsidRPr="00E50D3C" w:rsidRDefault="00E50D3C" w:rsidP="00030C60">
            <w:pPr>
              <w:pStyle w:val="BlockText"/>
              <w:spacing w:after="0" w:line="240" w:lineRule="auto"/>
              <w:ind w:left="0" w:firstLine="0"/>
              <w:jc w:val="center"/>
              <w:rPr>
                <w:rFonts w:asciiTheme="minorHAnsi" w:hAnsiTheme="minorHAnsi" w:cstheme="minorHAnsi"/>
                <w:sz w:val="24"/>
                <w:rtl/>
              </w:rPr>
            </w:pPr>
            <w:r w:rsidRPr="00E50D3C">
              <w:rPr>
                <w:rFonts w:asciiTheme="minorHAnsi" w:hAnsiTheme="minorHAnsi" w:cstheme="minorHAnsi"/>
                <w:sz w:val="24"/>
                <w:rtl/>
              </w:rPr>
              <w:t>0.02-</w:t>
            </w:r>
          </w:p>
        </w:tc>
      </w:tr>
    </w:tbl>
    <w:p w:rsidR="00E50D3C" w:rsidRPr="00E50D3C" w:rsidRDefault="00E50D3C" w:rsidP="00E50D3C">
      <w:pPr>
        <w:pStyle w:val="Heading1"/>
        <w:bidi/>
        <w:rPr>
          <w:rFonts w:asciiTheme="minorHAnsi" w:hAnsiTheme="minorHAnsi" w:cstheme="minorHAnsi" w:hint="default"/>
          <w:rtl/>
        </w:rPr>
      </w:pPr>
      <w:r w:rsidRPr="00E50D3C">
        <w:rPr>
          <w:rFonts w:asciiTheme="minorHAnsi" w:hAnsiTheme="minorHAnsi" w:cstheme="minorHAnsi" w:hint="default"/>
        </w:rPr>
        <w:br w:type="textWrapping" w:clear="all"/>
      </w:r>
      <w:r w:rsidRPr="00E50D3C">
        <w:rPr>
          <w:rFonts w:asciiTheme="minorHAnsi" w:hAnsiTheme="minorHAnsi" w:cstheme="minorHAnsi" w:hint="default"/>
        </w:rPr>
        <w:br w:type="page"/>
      </w:r>
      <w:r w:rsidRPr="00E50D3C">
        <w:rPr>
          <w:rFonts w:asciiTheme="minorHAnsi" w:hAnsiTheme="minorHAnsi" w:cstheme="minorHAnsi" w:hint="default"/>
          <w:rtl/>
        </w:rPr>
        <w:lastRenderedPageBreak/>
        <w:t>לוח 2: השינויים ברכיבי המדד בחודשים האחרונים</w:t>
      </w:r>
    </w:p>
    <w:p w:rsidR="00E50D3C" w:rsidRPr="00E50D3C" w:rsidRDefault="00E50D3C" w:rsidP="00E50D3C">
      <w:pPr>
        <w:autoSpaceDE w:val="0"/>
        <w:autoSpaceDN w:val="0"/>
        <w:bidi/>
        <w:adjustRightInd w:val="0"/>
        <w:rPr>
          <w:rFonts w:asciiTheme="minorHAnsi" w:hAnsiTheme="minorHAnsi" w:cstheme="minorHAnsi"/>
          <w:i/>
          <w:sz w:val="16"/>
          <w:szCs w:val="16"/>
          <w:rtl/>
        </w:rPr>
      </w:pPr>
      <w:r w:rsidRPr="00E50D3C">
        <w:rPr>
          <w:rFonts w:asciiTheme="minorHAnsi" w:hAnsiTheme="minorHAnsi" w:cstheme="minorHAnsi"/>
          <w:i/>
          <w:rtl/>
        </w:rPr>
        <w:t>(שיעורי שינוי חודשיים באחוזים, אלא אם כן צוין אחרת)</w:t>
      </w:r>
      <w:r w:rsidRPr="00E50D3C">
        <w:rPr>
          <w:rStyle w:val="FootnoteReference"/>
          <w:rFonts w:asciiTheme="minorHAnsi" w:hAnsiTheme="minorHAnsi" w:cstheme="minorHAns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E50D3C" w:rsidRPr="00E50D3C" w:rsidTr="00030C60">
        <w:trPr>
          <w:tblHeader/>
        </w:trPr>
        <w:tc>
          <w:tcPr>
            <w:tcW w:w="3613" w:type="dxa"/>
            <w:shd w:val="clear" w:color="auto" w:fill="auto"/>
          </w:tcPr>
          <w:p w:rsidR="00E50D3C" w:rsidRPr="00E50D3C" w:rsidRDefault="00E50D3C" w:rsidP="00030C60">
            <w:pPr>
              <w:autoSpaceDE w:val="0"/>
              <w:autoSpaceDN w:val="0"/>
              <w:bidi/>
              <w:adjustRightInd w:val="0"/>
              <w:spacing w:line="480" w:lineRule="auto"/>
              <w:rPr>
                <w:rFonts w:asciiTheme="minorHAnsi" w:hAnsiTheme="minorHAnsi" w:cstheme="minorHAnsi"/>
                <w:i/>
                <w:rtl/>
              </w:rPr>
            </w:pPr>
          </w:p>
        </w:tc>
        <w:tc>
          <w:tcPr>
            <w:tcW w:w="1146" w:type="dxa"/>
            <w:shd w:val="clear" w:color="auto" w:fill="auto"/>
            <w:vAlign w:val="bottom"/>
          </w:tcPr>
          <w:p w:rsidR="00E50D3C" w:rsidRPr="00E50D3C" w:rsidRDefault="00E50D3C" w:rsidP="00030C60">
            <w:pPr>
              <w:autoSpaceDE w:val="0"/>
              <w:autoSpaceDN w:val="0"/>
              <w:bidi/>
              <w:adjustRightInd w:val="0"/>
              <w:spacing w:line="276" w:lineRule="auto"/>
              <w:jc w:val="center"/>
              <w:rPr>
                <w:rFonts w:asciiTheme="minorHAnsi" w:hAnsiTheme="minorHAnsi" w:cstheme="minorHAnsi"/>
                <w:b/>
                <w:bCs/>
                <w:iCs/>
                <w:highlight w:val="yellow"/>
                <w:rtl/>
              </w:rPr>
            </w:pPr>
            <w:r w:rsidRPr="00E50D3C">
              <w:rPr>
                <w:rFonts w:asciiTheme="minorHAnsi" w:hAnsiTheme="minorHAnsi" w:cstheme="minorHAnsi"/>
                <w:b/>
                <w:bCs/>
                <w:iCs/>
                <w:rtl/>
              </w:rPr>
              <w:t>יולי</w:t>
            </w:r>
          </w:p>
        </w:tc>
        <w:tc>
          <w:tcPr>
            <w:tcW w:w="1276" w:type="dxa"/>
            <w:shd w:val="clear" w:color="auto" w:fill="auto"/>
            <w:vAlign w:val="bottom"/>
          </w:tcPr>
          <w:p w:rsidR="00E50D3C" w:rsidRPr="00E50D3C" w:rsidRDefault="00E50D3C" w:rsidP="00030C60">
            <w:pPr>
              <w:autoSpaceDE w:val="0"/>
              <w:autoSpaceDN w:val="0"/>
              <w:bidi/>
              <w:adjustRightInd w:val="0"/>
              <w:spacing w:line="276" w:lineRule="auto"/>
              <w:jc w:val="center"/>
              <w:rPr>
                <w:rFonts w:asciiTheme="minorHAnsi" w:hAnsiTheme="minorHAnsi" w:cstheme="minorHAnsi"/>
                <w:b/>
                <w:bCs/>
                <w:iCs/>
                <w:highlight w:val="yellow"/>
                <w:rtl/>
              </w:rPr>
            </w:pPr>
            <w:r w:rsidRPr="00E50D3C">
              <w:rPr>
                <w:rFonts w:asciiTheme="minorHAnsi" w:hAnsiTheme="minorHAnsi" w:cstheme="minorHAnsi"/>
                <w:b/>
                <w:bCs/>
                <w:iCs/>
                <w:rtl/>
              </w:rPr>
              <w:t>יוני</w:t>
            </w:r>
          </w:p>
        </w:tc>
        <w:tc>
          <w:tcPr>
            <w:tcW w:w="1134" w:type="dxa"/>
            <w:shd w:val="clear" w:color="auto" w:fill="auto"/>
            <w:vAlign w:val="bottom"/>
          </w:tcPr>
          <w:p w:rsidR="00E50D3C" w:rsidRPr="00E50D3C" w:rsidRDefault="00E50D3C" w:rsidP="00030C60">
            <w:pPr>
              <w:autoSpaceDE w:val="0"/>
              <w:autoSpaceDN w:val="0"/>
              <w:bidi/>
              <w:adjustRightInd w:val="0"/>
              <w:spacing w:line="276" w:lineRule="auto"/>
              <w:jc w:val="center"/>
              <w:rPr>
                <w:rFonts w:asciiTheme="minorHAnsi" w:hAnsiTheme="minorHAnsi" w:cstheme="minorHAnsi"/>
                <w:b/>
                <w:bCs/>
                <w:iCs/>
                <w:highlight w:val="yellow"/>
                <w:rtl/>
              </w:rPr>
            </w:pPr>
            <w:r w:rsidRPr="00E50D3C">
              <w:rPr>
                <w:rFonts w:asciiTheme="minorHAnsi" w:hAnsiTheme="minorHAnsi" w:cstheme="minorHAnsi"/>
                <w:b/>
                <w:bCs/>
                <w:iCs/>
                <w:rtl/>
              </w:rPr>
              <w:t>מאי</w:t>
            </w:r>
          </w:p>
        </w:tc>
        <w:tc>
          <w:tcPr>
            <w:tcW w:w="1133" w:type="dxa"/>
            <w:shd w:val="clear" w:color="auto" w:fill="auto"/>
            <w:vAlign w:val="bottom"/>
          </w:tcPr>
          <w:p w:rsidR="00E50D3C" w:rsidRPr="00E50D3C" w:rsidRDefault="00E50D3C" w:rsidP="00030C60">
            <w:pPr>
              <w:autoSpaceDE w:val="0"/>
              <w:autoSpaceDN w:val="0"/>
              <w:bidi/>
              <w:adjustRightInd w:val="0"/>
              <w:spacing w:line="276" w:lineRule="auto"/>
              <w:jc w:val="center"/>
              <w:rPr>
                <w:rFonts w:asciiTheme="minorHAnsi" w:hAnsiTheme="minorHAnsi" w:cstheme="minorHAnsi"/>
                <w:b/>
                <w:bCs/>
                <w:iCs/>
                <w:highlight w:val="yellow"/>
                <w:rtl/>
              </w:rPr>
            </w:pPr>
            <w:r w:rsidRPr="00E50D3C">
              <w:rPr>
                <w:rFonts w:asciiTheme="minorHAnsi" w:hAnsiTheme="minorHAnsi" w:cstheme="minorHAnsi"/>
                <w:b/>
                <w:bCs/>
                <w:iCs/>
                <w:rtl/>
              </w:rPr>
              <w:t>אפריל</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 xml:space="preserve">מדד הייצור התעשייתי </w:t>
            </w:r>
            <w:r w:rsidRPr="00E50D3C">
              <w:rPr>
                <w:rFonts w:asciiTheme="minorHAnsi" w:hAnsiTheme="minorHAnsi" w:cstheme="minorHAnsi"/>
                <w:i/>
                <w:rtl/>
              </w:rPr>
              <w:t>(ללא כריה וחציבה)</w:t>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sz w:val="16"/>
                <w:szCs w:val="16"/>
              </w:rPr>
              <w:t> </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-10.7</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6.9</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0.1</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מדד הפדיון בשירותים</w:t>
            </w:r>
            <w:r w:rsidRPr="00E50D3C">
              <w:rPr>
                <w:rFonts w:asciiTheme="minorHAnsi" w:hAnsiTheme="minorHAnsi" w:cstheme="minorHAnsi"/>
                <w:i/>
                <w:rtl/>
              </w:rPr>
              <w:t xml:space="preserve"> (ללא חינוך </w:t>
            </w:r>
            <w:proofErr w:type="spellStart"/>
            <w:r w:rsidRPr="00E50D3C">
              <w:rPr>
                <w:rFonts w:asciiTheme="minorHAnsi" w:hAnsiTheme="minorHAnsi" w:cstheme="minorHAnsi"/>
                <w:i/>
                <w:rtl/>
              </w:rPr>
              <w:t>ומינהל</w:t>
            </w:r>
            <w:proofErr w:type="spellEnd"/>
            <w:r w:rsidRPr="00E50D3C">
              <w:rPr>
                <w:rFonts w:asciiTheme="minorHAnsi" w:hAnsiTheme="minorHAnsi" w:cstheme="minorHAnsi"/>
                <w:i/>
                <w:rtl/>
              </w:rPr>
              <w:t xml:space="preserve"> ציבורי)</w:t>
            </w:r>
          </w:p>
        </w:tc>
        <w:tc>
          <w:tcPr>
            <w:tcW w:w="1146" w:type="dxa"/>
            <w:shd w:val="clear" w:color="auto" w:fill="auto"/>
            <w:vAlign w:val="center"/>
          </w:tcPr>
          <w:p w:rsidR="00E50D3C" w:rsidRPr="00E50D3C" w:rsidRDefault="00E50D3C" w:rsidP="00030C60">
            <w:pPr>
              <w:jc w:val="center"/>
              <w:rPr>
                <w:rFonts w:asciiTheme="minorHAnsi" w:hAnsiTheme="minorHAnsi" w:cstheme="minorHAnsi"/>
                <w:rtl/>
              </w:rPr>
            </w:pPr>
            <w:r w:rsidRPr="00E50D3C">
              <w:rPr>
                <w:rFonts w:asciiTheme="minorHAnsi" w:hAnsiTheme="minorHAnsi" w:cstheme="minorHAnsi"/>
              </w:rPr>
              <w:t> </w:t>
            </w:r>
          </w:p>
        </w:tc>
        <w:tc>
          <w:tcPr>
            <w:tcW w:w="1276" w:type="dxa"/>
            <w:shd w:val="clear" w:color="auto" w:fill="auto"/>
            <w:vAlign w:val="center"/>
          </w:tcPr>
          <w:p w:rsidR="00E50D3C" w:rsidRPr="00E50D3C" w:rsidRDefault="00E50D3C" w:rsidP="00030C60">
            <w:pPr>
              <w:jc w:val="center"/>
              <w:rPr>
                <w:rFonts w:asciiTheme="minorHAnsi" w:hAnsiTheme="minorHAnsi" w:cstheme="minorHAnsi"/>
                <w:rtl/>
              </w:rPr>
            </w:pPr>
            <w:r w:rsidRPr="00E50D3C">
              <w:rPr>
                <w:rFonts w:asciiTheme="minorHAnsi" w:hAnsiTheme="minorHAnsi" w:cstheme="minorHAnsi"/>
              </w:rPr>
              <w:t>-7.1</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-1.4</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-2.5</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מדד הפדיון במסחר</w:t>
            </w:r>
            <w:r w:rsidRPr="00E50D3C">
              <w:rPr>
                <w:rFonts w:asciiTheme="minorHAnsi" w:hAnsiTheme="minorHAnsi" w:cstheme="minorHAnsi"/>
                <w:i/>
                <w:rtl/>
              </w:rPr>
              <w:t xml:space="preserve"> הקמעונאי</w:t>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 </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-14.1</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2.3</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-0.4</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יבוא מוצרי הצריכה</w:t>
            </w:r>
            <w:r w:rsidRPr="00E50D3C">
              <w:rPr>
                <w:rFonts w:asciiTheme="minorHAnsi" w:hAnsiTheme="minorHAnsi" w:cstheme="minorHAnsi"/>
                <w:vertAlign w:val="superscript"/>
                <w:rtl/>
              </w:rPr>
              <w:t>1</w:t>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36.2</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-14.2</w:t>
            </w:r>
          </w:p>
        </w:tc>
        <w:tc>
          <w:tcPr>
            <w:tcW w:w="1134" w:type="dxa"/>
            <w:shd w:val="clear" w:color="auto" w:fill="auto"/>
            <w:vAlign w:val="center"/>
          </w:tcPr>
          <w:p w:rsidR="00E50D3C" w:rsidRPr="00E50D3C" w:rsidRDefault="00E50D3C" w:rsidP="00030C60">
            <w:pPr>
              <w:jc w:val="center"/>
              <w:rPr>
                <w:rFonts w:asciiTheme="minorHAnsi" w:hAnsiTheme="minorHAnsi" w:cstheme="minorHAnsi"/>
                <w:rtl/>
              </w:rPr>
            </w:pPr>
            <w:r w:rsidRPr="00E50D3C">
              <w:rPr>
                <w:rFonts w:asciiTheme="minorHAnsi" w:hAnsiTheme="minorHAnsi" w:cstheme="minorHAnsi"/>
              </w:rPr>
              <w:t>-2.8</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1.6</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 xml:space="preserve">יבוא התשומות לייצור (ללא </w:t>
            </w:r>
            <w:proofErr w:type="spellStart"/>
            <w:r w:rsidRPr="00E50D3C">
              <w:rPr>
                <w:rFonts w:asciiTheme="minorHAnsi" w:hAnsiTheme="minorHAnsi" w:cstheme="minorHAnsi"/>
                <w:rtl/>
              </w:rPr>
              <w:t>דלקים</w:t>
            </w:r>
            <w:proofErr w:type="spellEnd"/>
            <w:r w:rsidRPr="00E50D3C">
              <w:rPr>
                <w:rFonts w:asciiTheme="minorHAnsi" w:hAnsiTheme="minorHAnsi" w:cstheme="minorHAnsi"/>
                <w:rtl/>
              </w:rPr>
              <w:t>)</w:t>
            </w:r>
            <w:r w:rsidRPr="00E50D3C">
              <w:rPr>
                <w:rFonts w:asciiTheme="minorHAnsi" w:hAnsiTheme="minorHAnsi" w:cstheme="minorHAnsi"/>
                <w:vertAlign w:val="superscript"/>
                <w:rtl/>
              </w:rPr>
              <w:t>1</w:t>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21.8</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-5.8</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-6.5</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3.4</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יצוא הסחורות</w:t>
            </w:r>
            <w:r w:rsidRPr="00E50D3C">
              <w:rPr>
                <w:rFonts w:asciiTheme="minorHAnsi" w:hAnsiTheme="minorHAnsi" w:cstheme="minorHAnsi"/>
                <w:i/>
                <w:rtl/>
              </w:rPr>
              <w:t xml:space="preserve"> (ללא חקלאות)</w:t>
            </w:r>
            <w:r w:rsidRPr="00E50D3C">
              <w:rPr>
                <w:rStyle w:val="FootnoteReference"/>
                <w:rFonts w:asciiTheme="minorHAnsi" w:hAnsiTheme="minorHAnsi" w:cstheme="minorHAnsi"/>
                <w:i/>
                <w:rtl/>
              </w:rPr>
              <w:footnoteReference w:id="1"/>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26.9</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-11.5</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7.1</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-14.7</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יצוא השירותים</w:t>
            </w:r>
            <w:r w:rsidRPr="00E50D3C">
              <w:rPr>
                <w:rFonts w:asciiTheme="minorHAnsi" w:hAnsiTheme="minorHAnsi" w:cstheme="minorHAnsi"/>
                <w:i/>
                <w:rtl/>
              </w:rPr>
              <w:t xml:space="preserve"> (ללא תחבורה)</w:t>
            </w:r>
            <w:r w:rsidRPr="00E50D3C">
              <w:rPr>
                <w:rStyle w:val="FootnoteReference"/>
                <w:rFonts w:asciiTheme="minorHAnsi" w:hAnsiTheme="minorHAnsi" w:cstheme="minorHAnsi"/>
                <w:i/>
                <w:rtl/>
              </w:rPr>
              <w:footnoteReference w:id="2"/>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 </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3.4</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-8.6</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0.6</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משרות השכיר – במגזר הפרטי</w:t>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 </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-2.0</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0.2</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0.2</w:t>
            </w:r>
          </w:p>
        </w:tc>
      </w:tr>
      <w:tr w:rsidR="00E50D3C" w:rsidRPr="00E50D3C" w:rsidTr="00030C60">
        <w:trPr>
          <w:trHeight w:val="340"/>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i/>
                <w:rtl/>
              </w:rPr>
            </w:pPr>
            <w:r w:rsidRPr="00E50D3C">
              <w:rPr>
                <w:rFonts w:asciiTheme="minorHAnsi" w:hAnsiTheme="minorHAnsi" w:cstheme="minorHAnsi"/>
                <w:rtl/>
              </w:rPr>
              <w:t>שיעור המשרות הפנויות במגזר העסקי</w:t>
            </w:r>
            <w:r w:rsidRPr="00E50D3C">
              <w:rPr>
                <w:rStyle w:val="FootnoteReference"/>
                <w:rFonts w:asciiTheme="minorHAnsi" w:hAnsiTheme="minorHAnsi" w:cstheme="minorHAnsi"/>
                <w:rtl/>
              </w:rPr>
              <w:footnoteReference w:id="3"/>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4.4</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4.2</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4.4</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4.3</w:t>
            </w:r>
          </w:p>
        </w:tc>
      </w:tr>
      <w:tr w:rsidR="00E50D3C" w:rsidRPr="00E50D3C" w:rsidTr="00030C60">
        <w:trPr>
          <w:trHeight w:val="323"/>
        </w:trPr>
        <w:tc>
          <w:tcPr>
            <w:tcW w:w="3613" w:type="dxa"/>
            <w:shd w:val="clear" w:color="auto" w:fill="auto"/>
            <w:vAlign w:val="center"/>
          </w:tcPr>
          <w:p w:rsidR="00E50D3C" w:rsidRPr="00E50D3C" w:rsidRDefault="00E50D3C" w:rsidP="00030C60">
            <w:pPr>
              <w:autoSpaceDE w:val="0"/>
              <w:autoSpaceDN w:val="0"/>
              <w:bidi/>
              <w:adjustRightInd w:val="0"/>
              <w:rPr>
                <w:rFonts w:asciiTheme="minorHAnsi" w:hAnsiTheme="minorHAnsi" w:cstheme="minorHAnsi"/>
                <w:rtl/>
              </w:rPr>
            </w:pPr>
            <w:r w:rsidRPr="00E50D3C">
              <w:rPr>
                <w:rFonts w:asciiTheme="minorHAnsi" w:hAnsiTheme="minorHAnsi" w:cstheme="minorHAnsi"/>
                <w:rtl/>
              </w:rPr>
              <w:t>הרכישות בכרטיסי אשראי</w:t>
            </w:r>
            <w:r w:rsidRPr="00E50D3C">
              <w:rPr>
                <w:rStyle w:val="FootnoteReference"/>
                <w:rFonts w:asciiTheme="minorHAnsi" w:hAnsiTheme="minorHAnsi" w:cstheme="minorHAnsi"/>
                <w:rtl/>
              </w:rPr>
              <w:footnoteReference w:id="4"/>
            </w:r>
          </w:p>
        </w:tc>
        <w:tc>
          <w:tcPr>
            <w:tcW w:w="114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14.9</w:t>
            </w:r>
          </w:p>
        </w:tc>
        <w:tc>
          <w:tcPr>
            <w:tcW w:w="1276"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-9.9</w:t>
            </w:r>
          </w:p>
        </w:tc>
        <w:tc>
          <w:tcPr>
            <w:tcW w:w="1134"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0.3</w:t>
            </w:r>
          </w:p>
        </w:tc>
        <w:tc>
          <w:tcPr>
            <w:tcW w:w="1133" w:type="dxa"/>
            <w:shd w:val="clear" w:color="auto" w:fill="auto"/>
            <w:vAlign w:val="center"/>
          </w:tcPr>
          <w:p w:rsidR="00E50D3C" w:rsidRPr="00E50D3C" w:rsidRDefault="00E50D3C" w:rsidP="00030C60">
            <w:pPr>
              <w:jc w:val="center"/>
              <w:rPr>
                <w:rFonts w:asciiTheme="minorHAnsi" w:hAnsiTheme="minorHAnsi" w:cstheme="minorHAnsi"/>
              </w:rPr>
            </w:pPr>
            <w:r w:rsidRPr="00E50D3C">
              <w:rPr>
                <w:rFonts w:asciiTheme="minorHAnsi" w:hAnsiTheme="minorHAnsi" w:cstheme="minorHAnsi"/>
              </w:rPr>
              <w:t>-0.9</w:t>
            </w:r>
          </w:p>
        </w:tc>
      </w:tr>
    </w:tbl>
    <w:p w:rsidR="00E50D3C" w:rsidRPr="00E50D3C" w:rsidRDefault="00E50D3C" w:rsidP="00E50D3C">
      <w:pPr>
        <w:bidi/>
        <w:rPr>
          <w:rFonts w:asciiTheme="minorHAnsi" w:hAnsiTheme="minorHAnsi" w:cstheme="minorHAnsi"/>
          <w:sz w:val="25"/>
          <w:szCs w:val="25"/>
        </w:rPr>
      </w:pPr>
    </w:p>
    <w:p w:rsidR="00E50D3C" w:rsidRPr="00E50D3C" w:rsidRDefault="00E50D3C" w:rsidP="00E50D3C">
      <w:pPr>
        <w:bidi/>
        <w:spacing w:line="360" w:lineRule="auto"/>
        <w:rPr>
          <w:rFonts w:asciiTheme="minorHAnsi" w:hAnsiTheme="minorHAnsi" w:cstheme="minorHAnsi"/>
          <w:rtl/>
        </w:rPr>
      </w:pPr>
    </w:p>
    <w:p w:rsidR="00F25BB5" w:rsidRPr="00E50D3C" w:rsidRDefault="00F25BB5" w:rsidP="00F25BB5">
      <w:pPr>
        <w:bidi/>
        <w:spacing w:line="360" w:lineRule="auto"/>
        <w:rPr>
          <w:rFonts w:asciiTheme="minorHAnsi" w:hAnsiTheme="minorHAnsi" w:cstheme="minorHAnsi"/>
          <w:rtl/>
        </w:rPr>
      </w:pPr>
    </w:p>
    <w:p w:rsidR="00F25BB5" w:rsidRPr="00E50D3C" w:rsidRDefault="00F25BB5" w:rsidP="00F25BB5">
      <w:pPr>
        <w:bidi/>
        <w:spacing w:line="360" w:lineRule="auto"/>
        <w:rPr>
          <w:rFonts w:asciiTheme="minorHAnsi" w:hAnsiTheme="minorHAnsi" w:cstheme="minorHAnsi"/>
          <w:rtl/>
        </w:rPr>
      </w:pPr>
    </w:p>
    <w:p w:rsidR="003E7478" w:rsidRPr="00E50D3C" w:rsidRDefault="003E7478" w:rsidP="005E28F6">
      <w:pPr>
        <w:bidi/>
        <w:spacing w:line="360" w:lineRule="auto"/>
        <w:jc w:val="both"/>
        <w:rPr>
          <w:rFonts w:asciiTheme="minorHAnsi" w:hAnsiTheme="minorHAnsi" w:cstheme="minorHAnsi"/>
        </w:rPr>
      </w:pPr>
      <w:bookmarkStart w:id="0" w:name="_GoBack"/>
      <w:bookmarkEnd w:id="0"/>
    </w:p>
    <w:sectPr w:rsidR="003E7478" w:rsidRPr="00E50D3C" w:rsidSect="00CC249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 w:id="1">
    <w:p w:rsidR="00E50D3C" w:rsidRPr="00CA5C7A" w:rsidRDefault="00E50D3C" w:rsidP="00CA5C7A">
      <w:pPr>
        <w:bidi/>
        <w:rPr>
          <w:rFonts w:asciiTheme="minorHAnsi" w:hAnsiTheme="minorHAnsi" w:cstheme="minorHAnsi"/>
          <w:sz w:val="20"/>
          <w:szCs w:val="20"/>
        </w:rPr>
      </w:pPr>
      <w:r w:rsidRPr="00CA5C7A">
        <w:rPr>
          <w:rFonts w:asciiTheme="minorHAnsi" w:hAnsiTheme="minorHAnsi" w:cstheme="minorHAnsi"/>
          <w:sz w:val="20"/>
          <w:szCs w:val="20"/>
          <w:vertAlign w:val="superscript"/>
        </w:rPr>
        <w:footnoteRef/>
      </w:r>
      <w:r w:rsidRPr="00CA5C7A">
        <w:rPr>
          <w:rFonts w:asciiTheme="minorHAnsi" w:hAnsiTheme="minorHAnsi" w:cstheme="minorHAnsi"/>
          <w:sz w:val="20"/>
          <w:szCs w:val="20"/>
          <w:rtl/>
        </w:rPr>
        <w:t xml:space="preserve"> יבוא ויצוא הסחורות מחושבים במחירים קבועים (באמצעות ניכוי שינויים במדדי המחירים של סחר החוץ).</w:t>
      </w:r>
    </w:p>
  </w:footnote>
  <w:footnote w:id="2">
    <w:p w:rsidR="00E50D3C" w:rsidRPr="00CA5C7A" w:rsidRDefault="00E50D3C" w:rsidP="00CA5C7A">
      <w:pPr>
        <w:pStyle w:val="FootnoteText"/>
        <w:spacing w:after="0" w:line="240" w:lineRule="auto"/>
        <w:ind w:left="0" w:firstLine="0"/>
        <w:jc w:val="left"/>
        <w:rPr>
          <w:rFonts w:asciiTheme="minorHAnsi" w:hAnsiTheme="minorHAnsi" w:cstheme="minorHAnsi"/>
          <w:iCs w:val="0"/>
        </w:rPr>
      </w:pPr>
      <w:r w:rsidRPr="00CA5C7A">
        <w:rPr>
          <w:rStyle w:val="FootnoteReference"/>
          <w:rFonts w:asciiTheme="minorHAnsi" w:hAnsiTheme="minorHAnsi" w:cstheme="minorHAnsi"/>
        </w:rPr>
        <w:footnoteRef/>
      </w:r>
      <w:r w:rsidRPr="00CA5C7A">
        <w:rPr>
          <w:rFonts w:asciiTheme="minorHAnsi" w:hAnsiTheme="minorHAnsi" w:cstheme="minorHAnsi"/>
          <w:iCs w:val="0"/>
        </w:rPr>
        <w:t xml:space="preserve"> </w:t>
      </w:r>
      <w:r w:rsidRPr="00CA5C7A">
        <w:rPr>
          <w:rFonts w:asciiTheme="minorHAnsi" w:hAnsiTheme="minorHAnsi" w:cstheme="minorHAnsi"/>
          <w:iCs w:val="0"/>
          <w:rtl/>
        </w:rPr>
        <w:t>יצוא השירותים מוצג במונחים ריאליים באמצעות ניכוי שינויים במדד המחירים לצרכן ומורכב מיצוא שירותים עסקיים אחרים ויצוא שירותי תיירות.</w:t>
      </w:r>
      <w:r w:rsidRPr="00CA5C7A">
        <w:rPr>
          <w:rFonts w:asciiTheme="minorHAnsi" w:hAnsiTheme="minorHAnsi" w:cstheme="minorHAnsi"/>
          <w:sz w:val="16"/>
          <w:szCs w:val="16"/>
          <w:rtl/>
        </w:rPr>
        <w:t xml:space="preserve"> </w:t>
      </w:r>
    </w:p>
  </w:footnote>
  <w:footnote w:id="3">
    <w:p w:rsidR="00E50D3C" w:rsidRPr="00CA5C7A" w:rsidRDefault="00E50D3C" w:rsidP="00CA5C7A">
      <w:pPr>
        <w:bidi/>
        <w:rPr>
          <w:rFonts w:asciiTheme="minorHAnsi" w:hAnsiTheme="minorHAnsi" w:cstheme="minorHAnsi"/>
          <w:sz w:val="20"/>
          <w:szCs w:val="20"/>
        </w:rPr>
      </w:pPr>
      <w:r w:rsidRPr="00CA5C7A">
        <w:rPr>
          <w:rStyle w:val="FootnoteReference"/>
          <w:rFonts w:asciiTheme="minorHAnsi" w:hAnsiTheme="minorHAnsi" w:cstheme="minorHAnsi"/>
          <w:sz w:val="20"/>
          <w:szCs w:val="20"/>
        </w:rPr>
        <w:footnoteRef/>
      </w:r>
      <w:r w:rsidRPr="00CA5C7A">
        <w:rPr>
          <w:rFonts w:asciiTheme="minorHAnsi" w:hAnsiTheme="minorHAnsi" w:cstheme="minorHAnsi"/>
          <w:sz w:val="20"/>
          <w:szCs w:val="20"/>
          <w:rtl/>
        </w:rPr>
        <w:t xml:space="preserve"> </w:t>
      </w:r>
      <w:r w:rsidRPr="00CA5C7A">
        <w:rPr>
          <w:rFonts w:asciiTheme="minorHAnsi" w:hAnsiTheme="minorHAnsi" w:cstheme="minorHAnsi"/>
          <w:i/>
          <w:sz w:val="20"/>
          <w:szCs w:val="20"/>
          <w:rtl/>
        </w:rPr>
        <w:t xml:space="preserve">שיעור המשרות הפנויות מחושב מתוך סך המועסקים ונכלל במדד ברמתו, מנוכה עונתיות. </w:t>
      </w:r>
    </w:p>
  </w:footnote>
  <w:footnote w:id="4">
    <w:p w:rsidR="00E50D3C" w:rsidRPr="00CA5C7A" w:rsidRDefault="00E50D3C" w:rsidP="00CA5C7A">
      <w:pPr>
        <w:pStyle w:val="FootnoteText"/>
        <w:spacing w:after="0" w:line="240" w:lineRule="auto"/>
        <w:ind w:left="0" w:firstLine="0"/>
        <w:jc w:val="left"/>
        <w:rPr>
          <w:rFonts w:asciiTheme="minorHAnsi" w:hAnsiTheme="minorHAnsi" w:cstheme="minorHAnsi"/>
          <w:iCs w:val="0"/>
        </w:rPr>
      </w:pPr>
      <w:r w:rsidRPr="00CA5C7A">
        <w:rPr>
          <w:rStyle w:val="FootnoteReference"/>
          <w:rFonts w:asciiTheme="minorHAnsi" w:hAnsiTheme="minorHAnsi" w:cstheme="minorHAnsi"/>
        </w:rPr>
        <w:footnoteRef/>
      </w:r>
      <w:r w:rsidRPr="00CA5C7A">
        <w:rPr>
          <w:rFonts w:asciiTheme="minorHAnsi" w:hAnsiTheme="minorHAnsi" w:cstheme="minorHAnsi"/>
          <w:rtl/>
        </w:rPr>
        <w:t xml:space="preserve"> </w:t>
      </w:r>
      <w:r w:rsidRPr="00CA5C7A">
        <w:rPr>
          <w:rFonts w:asciiTheme="minorHAnsi" w:hAnsiTheme="minorHAnsi" w:cstheme="minorHAnsi"/>
          <w:i/>
          <w:iCs w:val="0"/>
          <w:rtl/>
        </w:rPr>
        <w:t>נתון הרכישות</w:t>
      </w:r>
      <w:r w:rsidRPr="00CA5C7A">
        <w:rPr>
          <w:rFonts w:asciiTheme="minorHAnsi" w:hAnsiTheme="minorHAnsi" w:cstheme="minorHAnsi"/>
          <w:iCs w:val="0"/>
          <w:rtl/>
        </w:rPr>
        <w:t xml:space="preserve"> בכרטיסי אשראי הוא השינוי החודשי, מנוכה עונתיות, על פי פרסומי </w:t>
      </w:r>
      <w:proofErr w:type="spellStart"/>
      <w:r w:rsidRPr="00CA5C7A">
        <w:rPr>
          <w:rFonts w:asciiTheme="minorHAnsi" w:hAnsiTheme="minorHAnsi" w:cstheme="minorHAnsi"/>
          <w:iCs w:val="0"/>
          <w:rtl/>
        </w:rPr>
        <w:t>הלמ"ס</w:t>
      </w:r>
      <w:proofErr w:type="spellEnd"/>
      <w:r w:rsidRPr="00CA5C7A">
        <w:rPr>
          <w:rFonts w:asciiTheme="minorHAnsi" w:hAnsiTheme="minorHAnsi" w:cstheme="minorHAnsi"/>
          <w:iCs w:val="0"/>
          <w:rtl/>
        </w:rPr>
        <w:t xml:space="preserve">. כאשר הנתון של </w:t>
      </w:r>
      <w:proofErr w:type="spellStart"/>
      <w:r w:rsidRPr="00CA5C7A">
        <w:rPr>
          <w:rFonts w:asciiTheme="minorHAnsi" w:hAnsiTheme="minorHAnsi" w:cstheme="minorHAnsi"/>
          <w:iCs w:val="0"/>
          <w:rtl/>
        </w:rPr>
        <w:t>הלמ"ס</w:t>
      </w:r>
      <w:proofErr w:type="spellEnd"/>
      <w:r w:rsidRPr="00CA5C7A">
        <w:rPr>
          <w:rFonts w:asciiTheme="minorHAnsi" w:hAnsiTheme="minorHAnsi" w:cstheme="minorHAnsi"/>
          <w:iCs w:val="0"/>
          <w:rtl/>
        </w:rPr>
        <w:t xml:space="preserve"> לחודש הקצה אינו זמן, נתון זה מהווה אומדן מבוסס על שיעור השינוי החודשי על פי נתונים יומיים של שב"א, בניכוי עונתיות.</w:t>
      </w:r>
    </w:p>
    <w:p w:rsidR="00E50D3C" w:rsidRPr="00CA5C7A" w:rsidRDefault="00E50D3C" w:rsidP="00CA5C7A">
      <w:pPr>
        <w:pStyle w:val="FootnoteText"/>
        <w:spacing w:after="0" w:line="240" w:lineRule="auto"/>
        <w:ind w:left="0" w:firstLine="0"/>
        <w:jc w:val="left"/>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A5C7A"/>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0D3C"/>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782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paragraph" w:styleId="Heading1">
    <w:name w:val="heading 1"/>
    <w:basedOn w:val="Normal"/>
    <w:next w:val="Normal"/>
    <w:link w:val="Heading1Char"/>
    <w:qFormat/>
    <w:rsid w:val="00E50D3C"/>
    <w:pPr>
      <w:keepNext/>
      <w:keepLines/>
      <w:spacing w:before="480" w:after="0" w:line="240" w:lineRule="auto"/>
      <w:outlineLvl w:val="0"/>
    </w:pPr>
    <w:rPr>
      <w:rFonts w:asciiTheme="majorHAnsi" w:eastAsiaTheme="majorEastAsia" w:hAnsiTheme="majorHAnsi" w:hint="cs"/>
      <w:b/>
      <w:bCs/>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character" w:customStyle="1" w:styleId="Heading1Char">
    <w:name w:val="Heading 1 Char"/>
    <w:basedOn w:val="DefaultParagraphFont"/>
    <w:link w:val="Heading1"/>
    <w:rsid w:val="00E50D3C"/>
    <w:rPr>
      <w:rFonts w:asciiTheme="majorHAnsi" w:eastAsiaTheme="majorEastAsia" w:hAnsiTheme="majorHAnsi" w:cs="David"/>
      <w:b/>
      <w:bCs/>
      <w:sz w:val="28"/>
      <w:szCs w:val="28"/>
      <w:lang w:eastAsia="he-IL"/>
    </w:rPr>
  </w:style>
  <w:style w:type="paragraph" w:styleId="BlockText">
    <w:name w:val="Block Text"/>
    <w:basedOn w:val="Normal"/>
    <w:rsid w:val="00E50D3C"/>
    <w:pPr>
      <w:bidi/>
      <w:spacing w:after="120" w:line="480" w:lineRule="auto"/>
      <w:ind w:left="-57" w:hanging="1"/>
      <w:jc w:val="both"/>
    </w:pPr>
    <w:rPr>
      <w:rFonts w:ascii="Times New Roman" w:eastAsia="Times New Roman" w:hAnsi="Times New Roman"/>
      <w:sz w:val="22"/>
      <w:lang w:eastAsia="he-IL"/>
    </w:rPr>
  </w:style>
  <w:style w:type="paragraph" w:styleId="FootnoteText">
    <w:name w:val="footnote text"/>
    <w:basedOn w:val="Normal"/>
    <w:link w:val="FootnoteTextChar"/>
    <w:semiHidden/>
    <w:rsid w:val="00E50D3C"/>
    <w:pPr>
      <w:bidi/>
      <w:spacing w:after="120" w:line="320" w:lineRule="exact"/>
      <w:ind w:left="-57" w:firstLine="283"/>
      <w:jc w:val="both"/>
    </w:pPr>
    <w:rPr>
      <w:rFonts w:ascii="Times New Roman" w:eastAsia="Times New Roman" w:hAnsi="Times New Roman"/>
      <w:iCs/>
      <w:sz w:val="20"/>
      <w:szCs w:val="20"/>
      <w:lang w:eastAsia="he-IL"/>
    </w:rPr>
  </w:style>
  <w:style w:type="character" w:customStyle="1" w:styleId="FootnoteTextChar">
    <w:name w:val="Footnote Text Char"/>
    <w:basedOn w:val="DefaultParagraphFont"/>
    <w:link w:val="FootnoteText"/>
    <w:semiHidden/>
    <w:rsid w:val="00E50D3C"/>
    <w:rPr>
      <w:rFonts w:ascii="Times New Roman" w:eastAsia="Times New Roman" w:hAnsi="Times New Roman" w:cs="David"/>
      <w:iCs/>
      <w:sz w:val="20"/>
      <w:szCs w:val="20"/>
      <w:lang w:eastAsia="he-IL"/>
    </w:rPr>
  </w:style>
  <w:style w:type="character" w:styleId="FootnoteReference">
    <w:name w:val="footnote reference"/>
    <w:semiHidden/>
    <w:rsid w:val="00E50D3C"/>
    <w:rPr>
      <w:vertAlign w:val="superscript"/>
    </w:rPr>
  </w:style>
  <w:style w:type="paragraph" w:styleId="Title">
    <w:name w:val="Title"/>
    <w:basedOn w:val="Normal"/>
    <w:next w:val="Normal"/>
    <w:link w:val="TitleChar"/>
    <w:qFormat/>
    <w:rsid w:val="00E50D3C"/>
    <w:pPr>
      <w:spacing w:after="0" w:line="240" w:lineRule="auto"/>
      <w:contextualSpacing/>
    </w:pPr>
    <w:rPr>
      <w:rFonts w:asciiTheme="majorHAnsi" w:eastAsiaTheme="majorEastAsia" w:hAnsiTheme="majorHAnsi" w:cstheme="majorBidi" w:hint="cs"/>
      <w:spacing w:val="-10"/>
      <w:kern w:val="28"/>
      <w:sz w:val="56"/>
      <w:szCs w:val="56"/>
      <w:lang w:eastAsia="he-IL"/>
    </w:rPr>
  </w:style>
  <w:style w:type="character" w:customStyle="1" w:styleId="TitleChar">
    <w:name w:val="Title Char"/>
    <w:basedOn w:val="DefaultParagraphFont"/>
    <w:link w:val="Title"/>
    <w:rsid w:val="00E50D3C"/>
    <w:rPr>
      <w:rFonts w:asciiTheme="majorHAnsi" w:eastAsiaTheme="majorEastAsia" w:hAnsiTheme="majorHAnsi" w:cstheme="majorBidi"/>
      <w:spacing w:val="-10"/>
      <w:kern w:val="28"/>
      <w:sz w:val="56"/>
      <w:szCs w:val="56"/>
      <w:lang w:eastAsia="he-IL"/>
    </w:rPr>
  </w:style>
  <w:style w:type="paragraph" w:styleId="NormalWeb">
    <w:name w:val="Normal (Web)"/>
    <w:basedOn w:val="Normal"/>
    <w:uiPriority w:val="99"/>
    <w:unhideWhenUsed/>
    <w:rsid w:val="00E50D3C"/>
    <w:pPr>
      <w:spacing w:before="100" w:beforeAutospacing="1" w:after="100" w:afterAutospacing="1" w:line="240" w:lineRule="auto"/>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roles/statistics/composite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ge.boi.gov.i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2025-08-25T11:19:00Z</dcterms:created>
  <dcterms:modified xsi:type="dcterms:W3CDTF">2025-08-25T11:20:00Z</dcterms:modified>
</cp:coreProperties>
</file>