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14"/>
        <w:bidiVisual/>
        <w:tblW w:w="0" w:type="auto"/>
        <w:tblLayout w:type="fixed"/>
        <w:tblLook w:val="0000" w:firstRow="0" w:lastRow="0" w:firstColumn="0" w:lastColumn="0" w:noHBand="0" w:noVBand="0"/>
      </w:tblPr>
      <w:tblGrid>
        <w:gridCol w:w="2840"/>
        <w:gridCol w:w="2840"/>
        <w:gridCol w:w="2840"/>
      </w:tblGrid>
      <w:tr w:rsidR="00E5156D" w:rsidTr="00E5156D">
        <w:tc>
          <w:tcPr>
            <w:tcW w:w="2840" w:type="dxa"/>
            <w:tcBorders>
              <w:top w:val="nil"/>
              <w:left w:val="nil"/>
              <w:bottom w:val="nil"/>
              <w:right w:val="nil"/>
            </w:tcBorders>
            <w:vAlign w:val="center"/>
          </w:tcPr>
          <w:p w:rsidR="00E5156D" w:rsidRPr="008930E0" w:rsidRDefault="00E5156D" w:rsidP="00E5156D">
            <w:pPr>
              <w:spacing w:line="360" w:lineRule="auto"/>
              <w:jc w:val="center"/>
              <w:rPr>
                <w:rFonts w:cs="David"/>
                <w:sz w:val="28"/>
                <w:szCs w:val="28"/>
                <w:rtl/>
              </w:rPr>
            </w:pPr>
            <w:bookmarkStart w:id="0" w:name="_GoBack"/>
            <w:bookmarkEnd w:id="0"/>
            <w:r w:rsidRPr="008930E0">
              <w:rPr>
                <w:rFonts w:cs="David"/>
                <w:sz w:val="28"/>
                <w:szCs w:val="28"/>
                <w:rtl/>
              </w:rPr>
              <w:t>בנ</w:t>
            </w:r>
            <w:r w:rsidRPr="008930E0">
              <w:rPr>
                <w:rFonts w:cs="David" w:hint="cs"/>
                <w:sz w:val="28"/>
                <w:szCs w:val="28"/>
                <w:rtl/>
              </w:rPr>
              <w:t xml:space="preserve">ק </w:t>
            </w:r>
            <w:r w:rsidRPr="008930E0">
              <w:rPr>
                <w:rFonts w:cs="David"/>
                <w:sz w:val="28"/>
                <w:szCs w:val="28"/>
                <w:rtl/>
              </w:rPr>
              <w:t>יש</w:t>
            </w:r>
            <w:r w:rsidRPr="008930E0">
              <w:rPr>
                <w:rFonts w:cs="David" w:hint="cs"/>
                <w:sz w:val="28"/>
                <w:szCs w:val="28"/>
                <w:rtl/>
              </w:rPr>
              <w:t>ראל</w:t>
            </w:r>
          </w:p>
          <w:p w:rsidR="00E5156D" w:rsidRDefault="00E5156D" w:rsidP="00E5156D">
            <w:pPr>
              <w:spacing w:line="360" w:lineRule="auto"/>
              <w:jc w:val="center"/>
              <w:rPr>
                <w:b/>
                <w:bCs/>
                <w:sz w:val="28"/>
                <w:szCs w:val="28"/>
                <w:rtl/>
              </w:rPr>
            </w:pPr>
            <w:r w:rsidRPr="008930E0">
              <w:rPr>
                <w:rFonts w:cs="David"/>
                <w:b/>
                <w:bCs/>
                <w:rtl/>
              </w:rPr>
              <w:t>דו</w:t>
            </w:r>
            <w:r w:rsidRPr="008930E0">
              <w:rPr>
                <w:rFonts w:cs="David" w:hint="cs"/>
                <w:b/>
                <w:bCs/>
                <w:rtl/>
              </w:rPr>
              <w:t>בר</w:t>
            </w:r>
            <w:r w:rsidRPr="008930E0">
              <w:rPr>
                <w:rFonts w:cs="David"/>
                <w:b/>
                <w:bCs/>
                <w:rtl/>
              </w:rPr>
              <w:t>ות</w:t>
            </w:r>
            <w:r w:rsidRPr="008930E0">
              <w:rPr>
                <w:rFonts w:cs="David" w:hint="cs"/>
                <w:b/>
                <w:bCs/>
                <w:rtl/>
              </w:rPr>
              <w:t xml:space="preserve"> והסברה כלכלית</w:t>
            </w:r>
          </w:p>
        </w:tc>
        <w:tc>
          <w:tcPr>
            <w:tcW w:w="2840" w:type="dxa"/>
            <w:tcBorders>
              <w:top w:val="nil"/>
              <w:left w:val="nil"/>
              <w:bottom w:val="nil"/>
              <w:right w:val="nil"/>
            </w:tcBorders>
            <w:vAlign w:val="center"/>
          </w:tcPr>
          <w:p w:rsidR="00E5156D" w:rsidRPr="00FE105B" w:rsidRDefault="00E5156D" w:rsidP="00E5156D">
            <w:pPr>
              <w:jc w:val="center"/>
              <w:rPr>
                <w:rtl/>
              </w:rPr>
            </w:pPr>
            <w:r>
              <w:rPr>
                <w:noProof/>
                <w:lang w:eastAsia="en-US"/>
              </w:rPr>
              <w:drawing>
                <wp:inline distT="0" distB="0" distL="0" distR="0" wp14:anchorId="1DE44F0F" wp14:editId="5AB9B3EF">
                  <wp:extent cx="962025" cy="1152525"/>
                  <wp:effectExtent l="0" t="0" r="9525" b="9525"/>
                  <wp:docPr id="5" name="תמונה 5"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lum bright="-2000" contrast="-62000"/>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tc>
        <w:tc>
          <w:tcPr>
            <w:tcW w:w="2840" w:type="dxa"/>
            <w:tcBorders>
              <w:top w:val="nil"/>
              <w:left w:val="nil"/>
              <w:bottom w:val="nil"/>
              <w:right w:val="nil"/>
            </w:tcBorders>
            <w:vAlign w:val="center"/>
          </w:tcPr>
          <w:p w:rsidR="00E5156D" w:rsidRPr="003472CE" w:rsidRDefault="00E5156D" w:rsidP="00E5156D">
            <w:pPr>
              <w:pStyle w:val="a8"/>
              <w:jc w:val="right"/>
              <w:rPr>
                <w:rtl/>
              </w:rPr>
            </w:pPr>
            <w:r>
              <w:rPr>
                <w:rFonts w:hint="cs"/>
                <w:rtl/>
              </w:rPr>
              <w:t>כ"ז בסיוון</w:t>
            </w:r>
            <w:r w:rsidRPr="003472CE">
              <w:rPr>
                <w:rFonts w:hint="cs"/>
                <w:rtl/>
              </w:rPr>
              <w:t>, תשע"ג</w:t>
            </w:r>
          </w:p>
          <w:p w:rsidR="00E5156D" w:rsidRDefault="00E5156D" w:rsidP="00E5156D">
            <w:pPr>
              <w:pStyle w:val="a8"/>
              <w:jc w:val="right"/>
              <w:rPr>
                <w:rtl/>
              </w:rPr>
            </w:pPr>
            <w:r>
              <w:rPr>
                <w:rFonts w:hint="cs"/>
                <w:rtl/>
              </w:rPr>
              <w:t>5 ביוני</w:t>
            </w:r>
            <w:r w:rsidRPr="003472CE">
              <w:rPr>
                <w:rFonts w:hint="cs"/>
                <w:rtl/>
              </w:rPr>
              <w:t>, 2013</w:t>
            </w:r>
          </w:p>
        </w:tc>
      </w:tr>
    </w:tbl>
    <w:p w:rsidR="00E5156D" w:rsidRDefault="00E5156D" w:rsidP="00E5156D">
      <w:pPr>
        <w:bidi w:val="0"/>
      </w:pPr>
    </w:p>
    <w:p w:rsidR="00E5156D" w:rsidRDefault="00E5156D" w:rsidP="00E5156D">
      <w:pPr>
        <w:tabs>
          <w:tab w:val="left" w:pos="9598"/>
        </w:tabs>
        <w:spacing w:line="360" w:lineRule="auto"/>
        <w:jc w:val="both"/>
        <w:rPr>
          <w:rFonts w:cs="David"/>
          <w:rtl/>
        </w:rPr>
      </w:pPr>
    </w:p>
    <w:p w:rsidR="00E5156D" w:rsidRDefault="00E5156D" w:rsidP="00E5156D">
      <w:pPr>
        <w:tabs>
          <w:tab w:val="left" w:pos="9598"/>
        </w:tabs>
        <w:spacing w:line="480" w:lineRule="auto"/>
        <w:jc w:val="both"/>
        <w:rPr>
          <w:rFonts w:cs="David"/>
          <w:rtl/>
        </w:rPr>
      </w:pPr>
      <w:r>
        <w:rPr>
          <w:rFonts w:cs="David" w:hint="cs"/>
          <w:rtl/>
        </w:rPr>
        <w:t>הודעה לעיתונות:</w:t>
      </w:r>
    </w:p>
    <w:p w:rsidR="00AE2CFC" w:rsidRDefault="00AE2CFC" w:rsidP="00E5156D">
      <w:pPr>
        <w:jc w:val="center"/>
        <w:rPr>
          <w:rFonts w:cs="David"/>
          <w:b/>
          <w:bCs/>
          <w:sz w:val="28"/>
          <w:szCs w:val="28"/>
          <w:rtl/>
        </w:rPr>
      </w:pPr>
      <w:r w:rsidRPr="001B58EF">
        <w:rPr>
          <w:rFonts w:cs="David" w:hint="cs"/>
          <w:b/>
          <w:bCs/>
          <w:sz w:val="28"/>
          <w:szCs w:val="28"/>
          <w:rtl/>
        </w:rPr>
        <w:t>ה</w:t>
      </w:r>
      <w:r>
        <w:rPr>
          <w:rFonts w:cs="David" w:hint="cs"/>
          <w:b/>
          <w:bCs/>
          <w:sz w:val="28"/>
          <w:szCs w:val="28"/>
          <w:rtl/>
        </w:rPr>
        <w:t xml:space="preserve">תפתחות </w:t>
      </w:r>
      <w:r w:rsidRPr="001B58EF">
        <w:rPr>
          <w:rFonts w:cs="David" w:hint="cs"/>
          <w:b/>
          <w:bCs/>
          <w:sz w:val="28"/>
          <w:szCs w:val="28"/>
          <w:rtl/>
        </w:rPr>
        <w:t xml:space="preserve">מחירי </w:t>
      </w:r>
      <w:r>
        <w:rPr>
          <w:rFonts w:cs="David" w:hint="cs"/>
          <w:b/>
          <w:bCs/>
          <w:sz w:val="28"/>
          <w:szCs w:val="28"/>
          <w:rtl/>
        </w:rPr>
        <w:t>ה</w:t>
      </w:r>
      <w:r w:rsidRPr="001B58EF">
        <w:rPr>
          <w:rFonts w:cs="David" w:hint="cs"/>
          <w:b/>
          <w:bCs/>
          <w:sz w:val="28"/>
          <w:szCs w:val="28"/>
          <w:rtl/>
        </w:rPr>
        <w:t xml:space="preserve">קרקע </w:t>
      </w:r>
      <w:r>
        <w:rPr>
          <w:rFonts w:cs="David" w:hint="cs"/>
          <w:b/>
          <w:bCs/>
          <w:sz w:val="28"/>
          <w:szCs w:val="28"/>
          <w:rtl/>
        </w:rPr>
        <w:t xml:space="preserve">למגורים </w:t>
      </w:r>
      <w:r w:rsidRPr="001B58EF">
        <w:rPr>
          <w:rFonts w:cs="David" w:hint="cs"/>
          <w:b/>
          <w:bCs/>
          <w:sz w:val="28"/>
          <w:szCs w:val="28"/>
          <w:rtl/>
        </w:rPr>
        <w:t>בשנים</w:t>
      </w:r>
      <w:r>
        <w:rPr>
          <w:rFonts w:cs="David" w:hint="cs"/>
          <w:b/>
          <w:bCs/>
          <w:sz w:val="28"/>
          <w:szCs w:val="28"/>
          <w:rtl/>
        </w:rPr>
        <w:t xml:space="preserve"> 1998</w:t>
      </w:r>
      <w:r w:rsidR="00E5156D">
        <w:rPr>
          <w:rFonts w:hint="cs"/>
          <w:b/>
          <w:bCs/>
          <w:sz w:val="28"/>
          <w:szCs w:val="28"/>
          <w:rtl/>
        </w:rPr>
        <w:t>-</w:t>
      </w:r>
      <w:r>
        <w:rPr>
          <w:rFonts w:cs="David" w:hint="cs"/>
          <w:b/>
          <w:bCs/>
          <w:sz w:val="28"/>
          <w:szCs w:val="28"/>
          <w:rtl/>
        </w:rPr>
        <w:t>2012</w:t>
      </w:r>
    </w:p>
    <w:p w:rsidR="00AE2CFC" w:rsidRDefault="00AE2CFC" w:rsidP="00AE2CFC">
      <w:pPr>
        <w:spacing w:line="360" w:lineRule="auto"/>
        <w:jc w:val="both"/>
        <w:rPr>
          <w:rFonts w:cs="David"/>
          <w:rtl/>
        </w:rPr>
      </w:pPr>
    </w:p>
    <w:p w:rsidR="00AE2CFC" w:rsidRDefault="00AE2CFC" w:rsidP="00E5156D">
      <w:pPr>
        <w:numPr>
          <w:ilvl w:val="0"/>
          <w:numId w:val="1"/>
        </w:numPr>
        <w:tabs>
          <w:tab w:val="clear" w:pos="2880"/>
          <w:tab w:val="num" w:pos="238"/>
        </w:tabs>
        <w:spacing w:line="480" w:lineRule="auto"/>
        <w:ind w:left="238" w:hanging="240"/>
        <w:jc w:val="both"/>
        <w:rPr>
          <w:rFonts w:cs="David"/>
          <w:b/>
          <w:bCs/>
        </w:rPr>
      </w:pPr>
      <w:r>
        <w:rPr>
          <w:rFonts w:cs="David" w:hint="cs"/>
          <w:b/>
          <w:bCs/>
          <w:rtl/>
        </w:rPr>
        <w:t>מדד חדש שפותח בחטיבת המחקר של בנק ישראל מספק אומדנים להתפתחות מחירי הקרקע בישראל, בניכוי מאפייניה כמיקום ושטח, ובנפרד למרכז ולפריפריה.</w:t>
      </w:r>
    </w:p>
    <w:p w:rsidR="002013B0" w:rsidRDefault="002013B0" w:rsidP="00E5156D">
      <w:pPr>
        <w:numPr>
          <w:ilvl w:val="0"/>
          <w:numId w:val="1"/>
        </w:numPr>
        <w:tabs>
          <w:tab w:val="clear" w:pos="2880"/>
          <w:tab w:val="num" w:pos="238"/>
        </w:tabs>
        <w:spacing w:line="480" w:lineRule="auto"/>
        <w:ind w:left="238" w:hanging="240"/>
        <w:jc w:val="both"/>
        <w:rPr>
          <w:rFonts w:cs="David"/>
          <w:b/>
          <w:bCs/>
        </w:rPr>
      </w:pPr>
      <w:r>
        <w:rPr>
          <w:rFonts w:cs="David" w:hint="cs"/>
          <w:b/>
          <w:bCs/>
          <w:rtl/>
        </w:rPr>
        <w:t>על פי המדד, במרוצת השנים 2006</w:t>
      </w:r>
      <w:r w:rsidR="00E5156D">
        <w:rPr>
          <w:rFonts w:hint="cs"/>
          <w:b/>
          <w:bCs/>
          <w:rtl/>
        </w:rPr>
        <w:t>-</w:t>
      </w:r>
      <w:r>
        <w:rPr>
          <w:rFonts w:cs="David" w:hint="cs"/>
          <w:b/>
          <w:bCs/>
          <w:rtl/>
        </w:rPr>
        <w:t>2011 התייקרה הקרקע שמכרה</w:t>
      </w:r>
      <w:r w:rsidRPr="00607D7E">
        <w:rPr>
          <w:rFonts w:cs="David" w:hint="cs"/>
          <w:b/>
          <w:bCs/>
          <w:rtl/>
        </w:rPr>
        <w:t xml:space="preserve"> </w:t>
      </w:r>
      <w:r>
        <w:rPr>
          <w:rFonts w:cs="David" w:hint="cs"/>
          <w:b/>
          <w:bCs/>
          <w:rtl/>
        </w:rPr>
        <w:t>רשות</w:t>
      </w:r>
      <w:r w:rsidRPr="00607D7E">
        <w:rPr>
          <w:rFonts w:cs="David" w:hint="cs"/>
          <w:b/>
          <w:bCs/>
          <w:rtl/>
        </w:rPr>
        <w:t xml:space="preserve"> מקרקעי ישראל</w:t>
      </w:r>
      <w:r>
        <w:rPr>
          <w:rFonts w:cs="David" w:hint="cs"/>
          <w:b/>
          <w:bCs/>
          <w:rtl/>
        </w:rPr>
        <w:t xml:space="preserve"> (ליחידת דיור בבנייה רוויה) </w:t>
      </w:r>
      <w:r w:rsidRPr="00FE0EAE">
        <w:rPr>
          <w:rFonts w:cs="David" w:hint="cs"/>
          <w:b/>
          <w:bCs/>
          <w:rtl/>
        </w:rPr>
        <w:t>בשיעור של כ</w:t>
      </w:r>
      <w:r w:rsidRPr="003C5220">
        <w:rPr>
          <w:rFonts w:cs="David" w:hint="cs"/>
          <w:b/>
          <w:bCs/>
          <w:rtl/>
        </w:rPr>
        <w:t>-30</w:t>
      </w:r>
      <w:r w:rsidRPr="00FE0EAE">
        <w:rPr>
          <w:rFonts w:cs="David" w:hint="cs"/>
          <w:b/>
          <w:bCs/>
          <w:rtl/>
        </w:rPr>
        <w:t xml:space="preserve"> אחוזים</w:t>
      </w:r>
      <w:r>
        <w:rPr>
          <w:rFonts w:cs="David" w:hint="cs"/>
          <w:b/>
          <w:bCs/>
          <w:rtl/>
        </w:rPr>
        <w:t xml:space="preserve">, תוך הבדל ניכר בין מרכז הארץ, שם עלו המחירים בקרוב ל-60 אחוזים, לפריפריה, בה עלו המחירים בכ-15 אחוזים. בשנת 2012 מחיר הקרקע ירד. </w:t>
      </w:r>
    </w:p>
    <w:p w:rsidR="00AE2CFC" w:rsidRDefault="00AE2CFC" w:rsidP="00E5156D">
      <w:pPr>
        <w:numPr>
          <w:ilvl w:val="0"/>
          <w:numId w:val="1"/>
        </w:numPr>
        <w:tabs>
          <w:tab w:val="clear" w:pos="2880"/>
          <w:tab w:val="num" w:pos="238"/>
        </w:tabs>
        <w:spacing w:line="480" w:lineRule="auto"/>
        <w:ind w:left="238" w:hanging="240"/>
        <w:jc w:val="both"/>
        <w:rPr>
          <w:rFonts w:cs="David"/>
          <w:b/>
          <w:bCs/>
        </w:rPr>
      </w:pPr>
      <w:r>
        <w:rPr>
          <w:rFonts w:cs="David" w:hint="cs"/>
          <w:b/>
          <w:bCs/>
          <w:rtl/>
        </w:rPr>
        <w:t>ההתייקרות הניכרת במחירי הקרקע במרכז עולה בקנה אחד עם העלייה החדה במחיר הדירות שם.</w:t>
      </w:r>
    </w:p>
    <w:p w:rsidR="00AE2CFC" w:rsidRPr="00697CFD" w:rsidRDefault="00AE2CFC" w:rsidP="00AE2CFC">
      <w:pPr>
        <w:spacing w:line="360" w:lineRule="auto"/>
        <w:jc w:val="both"/>
        <w:rPr>
          <w:rFonts w:cs="David"/>
          <w:rtl/>
        </w:rPr>
      </w:pPr>
    </w:p>
    <w:p w:rsidR="00AE2CFC" w:rsidRDefault="00AE2CFC" w:rsidP="00E5156D">
      <w:pPr>
        <w:spacing w:line="360" w:lineRule="auto"/>
        <w:jc w:val="both"/>
        <w:rPr>
          <w:rFonts w:cs="David"/>
          <w:rtl/>
        </w:rPr>
      </w:pPr>
      <w:r>
        <w:rPr>
          <w:rFonts w:cs="David" w:hint="cs"/>
          <w:rtl/>
        </w:rPr>
        <w:t xml:space="preserve">בחטיבת המחקר של בנק ישראל פותח מדד לשינויים השנתיים במחירים ההדוניים של קרקע למגורים, כלומר השינויים לאחר ניכוי של מאפייני הקרקע. הניתוח מתייחס לקרקע שמכרה רשות מקרקעי ישראל (להלן רמ"י ובעבר </w:t>
      </w:r>
      <w:r>
        <w:rPr>
          <w:rFonts w:cs="David"/>
          <w:rtl/>
        </w:rPr>
        <w:t>–</w:t>
      </w:r>
      <w:r>
        <w:rPr>
          <w:rFonts w:cs="David" w:hint="cs"/>
          <w:rtl/>
        </w:rPr>
        <w:t xml:space="preserve"> ממ"י, מינהל מקרקעי ישראל) בשנים 1998</w:t>
      </w:r>
      <w:r w:rsidR="00E5156D">
        <w:rPr>
          <w:rFonts w:cs="David" w:hint="cs"/>
          <w:rtl/>
        </w:rPr>
        <w:t>-</w:t>
      </w:r>
      <w:r>
        <w:rPr>
          <w:rFonts w:cs="David" w:hint="cs"/>
          <w:rtl/>
        </w:rPr>
        <w:t>2012. הקרקעות שרמ</w:t>
      </w:r>
      <w:r>
        <w:rPr>
          <w:rFonts w:cs="David"/>
          <w:rtl/>
        </w:rPr>
        <w:t>"</w:t>
      </w:r>
      <w:r>
        <w:rPr>
          <w:rFonts w:cs="David" w:hint="cs"/>
          <w:rtl/>
        </w:rPr>
        <w:t>י שיווקה משמשות לבניית מרבית יחידות הדיור, כאשר במרכז הארץ חלקה נמוך יותר. אומדנים שנתיים להתפתחות</w:t>
      </w:r>
      <w:r w:rsidRPr="00AA410D">
        <w:rPr>
          <w:rFonts w:cs="David" w:hint="cs"/>
          <w:rtl/>
        </w:rPr>
        <w:t xml:space="preserve"> מחיר הקרקע ליחידת דיור </w:t>
      </w:r>
      <w:r>
        <w:rPr>
          <w:rFonts w:cs="David" w:hint="cs"/>
          <w:rtl/>
        </w:rPr>
        <w:t xml:space="preserve">(בבנייה רוויה) </w:t>
      </w:r>
      <w:r w:rsidRPr="00AA410D">
        <w:rPr>
          <w:rFonts w:cs="David" w:hint="cs"/>
          <w:rtl/>
        </w:rPr>
        <w:t>מוצגים ב</w:t>
      </w:r>
      <w:r>
        <w:rPr>
          <w:rFonts w:cs="David" w:hint="cs"/>
          <w:rtl/>
        </w:rPr>
        <w:t>איור 1.</w:t>
      </w:r>
      <w:r w:rsidRPr="00AA410D">
        <w:rPr>
          <w:rFonts w:cs="David" w:hint="cs"/>
          <w:rtl/>
        </w:rPr>
        <w:t xml:space="preserve"> </w:t>
      </w:r>
      <w:r>
        <w:rPr>
          <w:rFonts w:cs="David" w:hint="cs"/>
          <w:rtl/>
        </w:rPr>
        <w:t xml:space="preserve">באומדנים אלה בולטת </w:t>
      </w:r>
      <w:r w:rsidR="00281D56">
        <w:rPr>
          <w:rFonts w:cs="David" w:hint="cs"/>
          <w:rtl/>
        </w:rPr>
        <w:t>עלייה</w:t>
      </w:r>
      <w:r>
        <w:rPr>
          <w:rFonts w:cs="David" w:hint="cs"/>
          <w:rtl/>
        </w:rPr>
        <w:t xml:space="preserve"> של המחירים החל משנת 2008 ועד 2011 בסדר גודל של כשליש, בעוד שבשנת 2012 הם ירדו</w:t>
      </w:r>
      <w:r>
        <w:rPr>
          <w:rStyle w:val="a3"/>
          <w:rFonts w:cs="David"/>
          <w:rtl/>
        </w:rPr>
        <w:footnoteReference w:id="1"/>
      </w:r>
      <w:r w:rsidRPr="00AE2CFC">
        <w:rPr>
          <w:rFonts w:cs="David" w:hint="cs"/>
          <w:vertAlign w:val="superscript"/>
          <w:rtl/>
        </w:rPr>
        <w:t>,</w:t>
      </w:r>
      <w:r>
        <w:rPr>
          <w:rStyle w:val="a3"/>
          <w:rFonts w:cs="David"/>
          <w:rtl/>
        </w:rPr>
        <w:footnoteReference w:id="2"/>
      </w:r>
      <w:r>
        <w:rPr>
          <w:rFonts w:cs="David" w:hint="cs"/>
          <w:rtl/>
        </w:rPr>
        <w:t xml:space="preserve">. </w:t>
      </w:r>
    </w:p>
    <w:p w:rsidR="00AE2CFC" w:rsidRDefault="00E5156D" w:rsidP="00E5156D">
      <w:pPr>
        <w:spacing w:line="360" w:lineRule="auto"/>
        <w:jc w:val="both"/>
        <w:rPr>
          <w:rFonts w:cs="David"/>
          <w:rtl/>
        </w:rPr>
      </w:pPr>
      <w:r>
        <w:rPr>
          <w:rFonts w:cs="David"/>
          <w:rtl/>
        </w:rPr>
        <w:br/>
      </w:r>
      <w:r w:rsidR="00AE2CFC">
        <w:rPr>
          <w:rFonts w:cs="David" w:hint="cs"/>
          <w:rtl/>
        </w:rPr>
        <w:t xml:space="preserve">בחינה של התפתחות מחירי הדירות ומחירי הקרקע לבנייה רוויה, לפי חלוקה למרכז הארץ ולפריפריה (מחוזות הצפון, חיפה והדרום), מעלה כי במרכז המחירים הולכים יד ביד, בעוד שבפריפריה אלה אינם פני הדברים (איורים 2 ו-3). בין השנים 2006 ל-2011 עלו מחירי הקרקע ליחידת דיור בבנייה רוויה  במרכז </w:t>
      </w:r>
      <w:r w:rsidR="00AF5A07">
        <w:rPr>
          <w:rFonts w:cs="David" w:hint="cs"/>
          <w:rtl/>
        </w:rPr>
        <w:t xml:space="preserve">   </w:t>
      </w:r>
      <w:r w:rsidR="00AE2CFC">
        <w:rPr>
          <w:rFonts w:cs="David" w:hint="cs"/>
          <w:rtl/>
        </w:rPr>
        <w:t xml:space="preserve">בכ-60 אחוזים וכך גם מחירי הדירות. לעומת זאת בפריפריה עליית מחירי הקרקע הייתה מדודה, כ-15 אחוזים, בשעה שמחירי הדירות התייקרו בכ-50 אחוזים. במונחים מוחלטים, מחיר הקרקע ליחידת דיור במרכז (לא כולל מע"מ) התייקר באותה תקופה ביותר מ-150 אלף ש"ח ומחירי הדירות זינקו בסכום העולה על 500 אלף ש"ח. לעומת זאת בפריפריה מחיר הקרקע עלה </w:t>
      </w:r>
      <w:r w:rsidR="00281D56">
        <w:rPr>
          <w:rFonts w:cs="David" w:hint="cs"/>
          <w:rtl/>
        </w:rPr>
        <w:t xml:space="preserve">בכ-10 אלפים ש"ח </w:t>
      </w:r>
      <w:r w:rsidR="00AE2CFC">
        <w:rPr>
          <w:rFonts w:cs="David" w:hint="cs"/>
          <w:rtl/>
        </w:rPr>
        <w:t>והדירות התייקרו ב</w:t>
      </w:r>
      <w:r w:rsidR="00281D56">
        <w:rPr>
          <w:rFonts w:cs="David" w:hint="cs"/>
          <w:rtl/>
        </w:rPr>
        <w:t>יותר מ</w:t>
      </w:r>
      <w:r w:rsidR="00AE2CFC">
        <w:rPr>
          <w:rFonts w:cs="David" w:hint="cs"/>
          <w:rtl/>
        </w:rPr>
        <w:t>-250 אלף ש"ח</w:t>
      </w:r>
      <w:r w:rsidR="00AE2CFC">
        <w:rPr>
          <w:rStyle w:val="a3"/>
          <w:rFonts w:cs="David"/>
          <w:rtl/>
        </w:rPr>
        <w:footnoteReference w:id="3"/>
      </w:r>
      <w:r w:rsidR="00AE2CFC">
        <w:rPr>
          <w:rFonts w:cs="David" w:hint="cs"/>
          <w:rtl/>
        </w:rPr>
        <w:t>. בשנת 2011 הגיעו מחירי הקרקעות (לא כולל מע"מ) לשיאם: במרכז המחירים הגיעו לסדר גודל של 450 אלף ש"ח ליחידת דיור לבנייה רוויה ובפריפריה הם התקרבו ל-100 אלף ש"ח; מדובר על כשליש ועל כעשירית, בהתאמה, ממחירה של דירה טיפוסית בת 3.5</w:t>
      </w:r>
      <w:r>
        <w:rPr>
          <w:rFonts w:hint="cs"/>
          <w:rtl/>
        </w:rPr>
        <w:t>-</w:t>
      </w:r>
      <w:r w:rsidR="00AE2CFC">
        <w:rPr>
          <w:rFonts w:cs="David" w:hint="cs"/>
          <w:rtl/>
        </w:rPr>
        <w:t xml:space="preserve">4 חדרים. </w:t>
      </w:r>
    </w:p>
    <w:p w:rsidR="00AE2CFC" w:rsidRDefault="00E5156D" w:rsidP="00E5156D">
      <w:pPr>
        <w:spacing w:line="360" w:lineRule="auto"/>
        <w:jc w:val="both"/>
        <w:rPr>
          <w:rFonts w:cs="David"/>
          <w:rtl/>
        </w:rPr>
      </w:pPr>
      <w:r>
        <w:rPr>
          <w:rFonts w:cs="David"/>
          <w:rtl/>
        </w:rPr>
        <w:lastRenderedPageBreak/>
        <w:br/>
      </w:r>
      <w:r w:rsidR="00AE2CFC">
        <w:rPr>
          <w:rFonts w:cs="David" w:hint="cs"/>
          <w:rtl/>
        </w:rPr>
        <w:t>נמצא מתאם חיובי בין מחיר הקרקע למגורים לבין שיעור הקרקעות שרמ</w:t>
      </w:r>
      <w:r w:rsidR="00AE2CFC">
        <w:rPr>
          <w:rFonts w:cs="David"/>
          <w:rtl/>
        </w:rPr>
        <w:t>"</w:t>
      </w:r>
      <w:r w:rsidR="00AE2CFC">
        <w:rPr>
          <w:rFonts w:cs="David" w:hint="cs"/>
          <w:rtl/>
        </w:rPr>
        <w:t>י מכרה מתוך אלו שהיא שיווקה, והוא גבוה יותר במרכז מאשר בפריפריה. בשנים 2010</w:t>
      </w:r>
      <w:r>
        <w:rPr>
          <w:rFonts w:hint="cs"/>
          <w:rtl/>
        </w:rPr>
        <w:t>-</w:t>
      </w:r>
      <w:r w:rsidR="00AE2CFC">
        <w:rPr>
          <w:rFonts w:cs="David" w:hint="cs"/>
          <w:rtl/>
        </w:rPr>
        <w:t xml:space="preserve">2011, בהן </w:t>
      </w:r>
      <w:proofErr w:type="spellStart"/>
      <w:r w:rsidR="00AE2CFC">
        <w:rPr>
          <w:rFonts w:cs="David" w:hint="cs"/>
          <w:rtl/>
        </w:rPr>
        <w:t>רמ"י</w:t>
      </w:r>
      <w:proofErr w:type="spellEnd"/>
      <w:r w:rsidR="00AE2CFC">
        <w:rPr>
          <w:rFonts w:cs="David" w:hint="cs"/>
          <w:rtl/>
        </w:rPr>
        <w:t xml:space="preserve"> הגדילה במידה ניכרת את היקף שיווק הקרקעות בכל רחבי הארץ, הגיעו שיעורי המכירה במרכז לכ-94 אחוזים, בד בבד עם עלייה חדה במחיר הקרקע שם, בשעה שבפריפריה שיעורי המכירה והאמרת מחירי הקרקע היו פחותים.</w:t>
      </w:r>
    </w:p>
    <w:p w:rsidR="00AE2CFC" w:rsidRDefault="00E5156D" w:rsidP="00E5156D">
      <w:pPr>
        <w:spacing w:line="360" w:lineRule="auto"/>
        <w:jc w:val="both"/>
        <w:rPr>
          <w:rFonts w:cs="David"/>
          <w:rtl/>
        </w:rPr>
      </w:pPr>
      <w:r>
        <w:rPr>
          <w:rFonts w:cs="David"/>
          <w:rtl/>
        </w:rPr>
        <w:br/>
      </w:r>
      <w:r w:rsidR="00AE2CFC">
        <w:rPr>
          <w:rFonts w:cs="David" w:hint="cs"/>
          <w:rtl/>
        </w:rPr>
        <w:t xml:space="preserve">מהניתוח עולה אפוא כי במרכז התייקרות הקרקע מתואמת עם עליית מחירי הדירות </w:t>
      </w:r>
      <w:r w:rsidR="00AE2CFC">
        <w:rPr>
          <w:rFonts w:cs="David"/>
          <w:rtl/>
        </w:rPr>
        <w:t>–</w:t>
      </w:r>
      <w:r w:rsidR="00AE2CFC">
        <w:rPr>
          <w:rFonts w:cs="David" w:hint="cs"/>
          <w:rtl/>
        </w:rPr>
        <w:t xml:space="preserve"> פועל יוצא של ביקוש ער למגורים והיצע מוגבל של קרקע לבנייה. לעומת זאת </w:t>
      </w:r>
      <w:r w:rsidR="00AE2CFC" w:rsidRPr="00466DA7">
        <w:rPr>
          <w:rFonts w:cs="David" w:hint="cs"/>
          <w:rtl/>
        </w:rPr>
        <w:t xml:space="preserve">בפריפריה </w:t>
      </w:r>
      <w:r w:rsidR="00AE2CFC">
        <w:rPr>
          <w:rFonts w:cs="David" w:hint="cs"/>
          <w:rtl/>
        </w:rPr>
        <w:t xml:space="preserve">המתאם חלש יותר וקל יותר למתן את עליית מחירי הדירות באמצעות שיווק נרחב של קרקע, שכן חלקה של רמ"י בבעלות על קרקעות לא מבונות גדול יחסית, ויכולתה לשווקן בתוך פרק זמן קצר רבה יותר מאשר במרכז גם בזכות מגבלות תכנון פחותות.  </w:t>
      </w:r>
    </w:p>
    <w:p w:rsidR="00AE2CFC" w:rsidRDefault="00AE2CFC" w:rsidP="00AE2CFC">
      <w:pPr>
        <w:rPr>
          <w:rtl/>
        </w:rPr>
      </w:pPr>
    </w:p>
    <w:p w:rsidR="00AE2CFC" w:rsidRDefault="00AE2CFC" w:rsidP="00AE2CFC"/>
    <w:tbl>
      <w:tblPr>
        <w:bidiVisual/>
        <w:tblW w:w="9720" w:type="dxa"/>
        <w:tblInd w:w="-372" w:type="dxa"/>
        <w:tblLook w:val="01E0" w:firstRow="1" w:lastRow="1" w:firstColumn="1" w:lastColumn="1" w:noHBand="0" w:noVBand="0"/>
      </w:tblPr>
      <w:tblGrid>
        <w:gridCol w:w="9720"/>
      </w:tblGrid>
      <w:tr w:rsidR="00AE2CFC" w:rsidRPr="00DD4982" w:rsidTr="00A741BB">
        <w:tc>
          <w:tcPr>
            <w:tcW w:w="9720" w:type="dxa"/>
            <w:shd w:val="clear" w:color="auto" w:fill="auto"/>
          </w:tcPr>
          <w:p w:rsidR="00AE2CFC" w:rsidRDefault="00AE2CFC" w:rsidP="00A741BB">
            <w:pPr>
              <w:spacing w:line="360" w:lineRule="auto"/>
              <w:jc w:val="center"/>
              <w:rPr>
                <w:rFonts w:cs="David"/>
                <w:b/>
                <w:bCs/>
                <w:rtl/>
              </w:rPr>
            </w:pPr>
            <w:r>
              <w:rPr>
                <w:rFonts w:cs="David" w:hint="cs"/>
                <w:b/>
                <w:bCs/>
                <w:rtl/>
              </w:rPr>
              <w:t>איור</w:t>
            </w:r>
            <w:r w:rsidRPr="00DD4982">
              <w:rPr>
                <w:rFonts w:cs="David" w:hint="cs"/>
                <w:b/>
                <w:bCs/>
                <w:rtl/>
              </w:rPr>
              <w:t xml:space="preserve"> </w:t>
            </w:r>
            <w:r>
              <w:rPr>
                <w:rFonts w:cs="David" w:hint="cs"/>
                <w:b/>
                <w:bCs/>
                <w:rtl/>
              </w:rPr>
              <w:t>1</w:t>
            </w:r>
          </w:p>
          <w:p w:rsidR="00AE2CFC" w:rsidRPr="00DD4982" w:rsidRDefault="00AE2CFC" w:rsidP="00A741BB">
            <w:pPr>
              <w:spacing w:line="360" w:lineRule="auto"/>
              <w:jc w:val="center"/>
              <w:rPr>
                <w:rFonts w:cs="David"/>
                <w:b/>
                <w:bCs/>
                <w:rtl/>
              </w:rPr>
            </w:pPr>
            <w:r w:rsidRPr="00DD4982">
              <w:rPr>
                <w:rFonts w:cs="David" w:hint="cs"/>
                <w:b/>
                <w:bCs/>
                <w:rtl/>
              </w:rPr>
              <w:t>מדד שנתי למחירי דירות בבעלות דיירים, מחיר קרקע</w:t>
            </w:r>
            <w:r w:rsidRPr="00DD4982">
              <w:rPr>
                <w:rFonts w:cs="David" w:hint="cs"/>
                <w:vertAlign w:val="superscript"/>
                <w:rtl/>
              </w:rPr>
              <w:t>1</w:t>
            </w:r>
            <w:r w:rsidRPr="00DD4982">
              <w:rPr>
                <w:rFonts w:cs="David" w:hint="cs"/>
                <w:b/>
                <w:bCs/>
                <w:rtl/>
              </w:rPr>
              <w:t xml:space="preserve"> ומדד תשומות בבנייה למגורים, 2012-1998 </w:t>
            </w:r>
            <w:r w:rsidRPr="00DD4982">
              <w:rPr>
                <w:rFonts w:cs="David" w:hint="cs"/>
                <w:rtl/>
              </w:rPr>
              <w:t>(1998=100)</w:t>
            </w:r>
            <w:r w:rsidRPr="00DD4982">
              <w:rPr>
                <w:rFonts w:cs="David" w:hint="cs"/>
                <w:b/>
                <w:bCs/>
                <w:rtl/>
              </w:rPr>
              <w:t xml:space="preserve"> </w:t>
            </w:r>
          </w:p>
        </w:tc>
      </w:tr>
      <w:tr w:rsidR="00AE2CFC" w:rsidRPr="00DD4982" w:rsidTr="00A741BB">
        <w:tc>
          <w:tcPr>
            <w:tcW w:w="9720" w:type="dxa"/>
            <w:shd w:val="clear" w:color="auto" w:fill="auto"/>
          </w:tcPr>
          <w:p w:rsidR="00AE2CFC" w:rsidRPr="00DD4982" w:rsidRDefault="00AE2CFC" w:rsidP="00A741BB">
            <w:pPr>
              <w:jc w:val="center"/>
              <w:rPr>
                <w:rFonts w:cs="David"/>
                <w:b/>
                <w:bCs/>
                <w:sz w:val="28"/>
                <w:szCs w:val="28"/>
                <w:rtl/>
              </w:rPr>
            </w:pPr>
            <w:r>
              <w:rPr>
                <w:rFonts w:cs="David" w:hint="cs"/>
                <w:b/>
                <w:bCs/>
                <w:noProof/>
                <w:sz w:val="28"/>
                <w:szCs w:val="28"/>
                <w:rtl/>
                <w:lang w:eastAsia="en-US"/>
              </w:rPr>
              <w:drawing>
                <wp:inline distT="0" distB="0" distL="0" distR="0">
                  <wp:extent cx="5629275" cy="3676650"/>
                  <wp:effectExtent l="0" t="0" r="952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9275" cy="3676650"/>
                          </a:xfrm>
                          <a:prstGeom prst="rect">
                            <a:avLst/>
                          </a:prstGeom>
                          <a:noFill/>
                          <a:ln>
                            <a:noFill/>
                          </a:ln>
                        </pic:spPr>
                      </pic:pic>
                    </a:graphicData>
                  </a:graphic>
                </wp:inline>
              </w:drawing>
            </w:r>
          </w:p>
        </w:tc>
      </w:tr>
      <w:tr w:rsidR="00AE2CFC" w:rsidRPr="00DD4982" w:rsidTr="00A741BB">
        <w:tc>
          <w:tcPr>
            <w:tcW w:w="9720" w:type="dxa"/>
            <w:shd w:val="clear" w:color="auto" w:fill="auto"/>
          </w:tcPr>
          <w:p w:rsidR="00AE2CFC" w:rsidRDefault="00AE2CFC" w:rsidP="00AE2CFC">
            <w:pPr>
              <w:numPr>
                <w:ilvl w:val="0"/>
                <w:numId w:val="4"/>
              </w:numPr>
              <w:tabs>
                <w:tab w:val="clear" w:pos="720"/>
                <w:tab w:val="num" w:pos="600"/>
              </w:tabs>
              <w:jc w:val="both"/>
              <w:rPr>
                <w:rFonts w:cs="David"/>
                <w:sz w:val="20"/>
                <w:szCs w:val="20"/>
              </w:rPr>
            </w:pPr>
            <w:r w:rsidRPr="00DD4982">
              <w:rPr>
                <w:rFonts w:cs="David" w:hint="cs"/>
                <w:sz w:val="20"/>
                <w:szCs w:val="20"/>
                <w:rtl/>
              </w:rPr>
              <w:t>מחיר קרקע ליחידת דיור בבנייה רוויה.</w:t>
            </w:r>
          </w:p>
          <w:p w:rsidR="00E5156D" w:rsidRDefault="00E5156D" w:rsidP="00E5156D">
            <w:pPr>
              <w:jc w:val="both"/>
              <w:rPr>
                <w:rFonts w:cs="David"/>
                <w:sz w:val="20"/>
                <w:szCs w:val="20"/>
                <w:rtl/>
              </w:rPr>
            </w:pPr>
          </w:p>
          <w:p w:rsidR="00E5156D" w:rsidRDefault="00E5156D" w:rsidP="00E5156D">
            <w:pPr>
              <w:jc w:val="both"/>
              <w:rPr>
                <w:rFonts w:cs="David"/>
                <w:sz w:val="20"/>
                <w:szCs w:val="20"/>
                <w:rtl/>
              </w:rPr>
            </w:pPr>
          </w:p>
          <w:p w:rsidR="00E5156D" w:rsidRDefault="00E5156D" w:rsidP="00E5156D">
            <w:pPr>
              <w:jc w:val="both"/>
              <w:rPr>
                <w:rFonts w:cs="David"/>
                <w:sz w:val="20"/>
                <w:szCs w:val="20"/>
                <w:rtl/>
              </w:rPr>
            </w:pPr>
          </w:p>
          <w:p w:rsidR="00E5156D" w:rsidRDefault="00E5156D" w:rsidP="00E5156D">
            <w:pPr>
              <w:jc w:val="both"/>
              <w:rPr>
                <w:rFonts w:cs="David"/>
                <w:sz w:val="20"/>
                <w:szCs w:val="20"/>
                <w:rtl/>
              </w:rPr>
            </w:pPr>
          </w:p>
          <w:p w:rsidR="00E5156D" w:rsidRDefault="00E5156D" w:rsidP="00E5156D">
            <w:pPr>
              <w:jc w:val="both"/>
              <w:rPr>
                <w:rFonts w:cs="David"/>
                <w:sz w:val="20"/>
                <w:szCs w:val="20"/>
                <w:rtl/>
              </w:rPr>
            </w:pPr>
          </w:p>
          <w:p w:rsidR="00E5156D" w:rsidRDefault="00E5156D" w:rsidP="00E5156D">
            <w:pPr>
              <w:jc w:val="both"/>
              <w:rPr>
                <w:rFonts w:cs="David"/>
                <w:sz w:val="20"/>
                <w:szCs w:val="20"/>
                <w:rtl/>
              </w:rPr>
            </w:pPr>
          </w:p>
          <w:p w:rsidR="00E5156D" w:rsidRDefault="00E5156D" w:rsidP="00E5156D">
            <w:pPr>
              <w:jc w:val="both"/>
              <w:rPr>
                <w:rFonts w:cs="David"/>
                <w:sz w:val="20"/>
                <w:szCs w:val="20"/>
                <w:rtl/>
              </w:rPr>
            </w:pPr>
          </w:p>
          <w:p w:rsidR="00E5156D" w:rsidRDefault="00E5156D" w:rsidP="00E5156D">
            <w:pPr>
              <w:jc w:val="both"/>
              <w:rPr>
                <w:rFonts w:cs="David"/>
                <w:sz w:val="20"/>
                <w:szCs w:val="20"/>
                <w:rtl/>
              </w:rPr>
            </w:pPr>
          </w:p>
          <w:p w:rsidR="00E5156D" w:rsidRDefault="00E5156D" w:rsidP="00E5156D">
            <w:pPr>
              <w:jc w:val="both"/>
              <w:rPr>
                <w:rFonts w:cs="David"/>
                <w:sz w:val="20"/>
                <w:szCs w:val="20"/>
                <w:rtl/>
              </w:rPr>
            </w:pPr>
          </w:p>
          <w:p w:rsidR="00E5156D" w:rsidRDefault="00E5156D" w:rsidP="00E5156D">
            <w:pPr>
              <w:jc w:val="both"/>
              <w:rPr>
                <w:rFonts w:cs="David"/>
                <w:sz w:val="20"/>
                <w:szCs w:val="20"/>
                <w:rtl/>
              </w:rPr>
            </w:pPr>
          </w:p>
          <w:p w:rsidR="00E5156D" w:rsidRDefault="00E5156D" w:rsidP="00E5156D">
            <w:pPr>
              <w:jc w:val="both"/>
              <w:rPr>
                <w:rFonts w:cs="David"/>
                <w:sz w:val="20"/>
                <w:szCs w:val="20"/>
                <w:rtl/>
              </w:rPr>
            </w:pPr>
          </w:p>
          <w:p w:rsidR="00E5156D" w:rsidRDefault="00E5156D" w:rsidP="00E5156D">
            <w:pPr>
              <w:jc w:val="both"/>
              <w:rPr>
                <w:rFonts w:cs="David"/>
                <w:sz w:val="20"/>
                <w:szCs w:val="20"/>
                <w:rtl/>
              </w:rPr>
            </w:pPr>
          </w:p>
          <w:p w:rsidR="00E5156D" w:rsidRDefault="00E5156D" w:rsidP="00E5156D">
            <w:pPr>
              <w:jc w:val="both"/>
              <w:rPr>
                <w:rFonts w:cs="David"/>
                <w:sz w:val="20"/>
                <w:szCs w:val="20"/>
                <w:rtl/>
              </w:rPr>
            </w:pPr>
          </w:p>
          <w:p w:rsidR="00E5156D" w:rsidRDefault="00E5156D" w:rsidP="00E5156D">
            <w:pPr>
              <w:jc w:val="both"/>
              <w:rPr>
                <w:rFonts w:cs="David"/>
                <w:sz w:val="20"/>
                <w:szCs w:val="20"/>
                <w:rtl/>
              </w:rPr>
            </w:pPr>
          </w:p>
          <w:p w:rsidR="00E5156D" w:rsidRPr="00DD4982" w:rsidRDefault="00E5156D" w:rsidP="00E5156D">
            <w:pPr>
              <w:jc w:val="both"/>
              <w:rPr>
                <w:rFonts w:cs="David"/>
                <w:sz w:val="20"/>
                <w:szCs w:val="20"/>
                <w:rtl/>
              </w:rPr>
            </w:pPr>
          </w:p>
        </w:tc>
      </w:tr>
    </w:tbl>
    <w:p w:rsidR="00AE2CFC" w:rsidRDefault="00AE2CFC" w:rsidP="00AE2CFC"/>
    <w:tbl>
      <w:tblPr>
        <w:bidiVisual/>
        <w:tblW w:w="9987" w:type="dxa"/>
        <w:tblInd w:w="-372" w:type="dxa"/>
        <w:tblLook w:val="01E0" w:firstRow="1" w:lastRow="1" w:firstColumn="1" w:lastColumn="1" w:noHBand="0" w:noVBand="0"/>
      </w:tblPr>
      <w:tblGrid>
        <w:gridCol w:w="5076"/>
        <w:gridCol w:w="4675"/>
        <w:gridCol w:w="251"/>
      </w:tblGrid>
      <w:tr w:rsidR="00AE2CFC" w:rsidRPr="00DD4982" w:rsidTr="00A741BB">
        <w:tc>
          <w:tcPr>
            <w:tcW w:w="9987" w:type="dxa"/>
            <w:gridSpan w:val="3"/>
            <w:shd w:val="clear" w:color="auto" w:fill="auto"/>
          </w:tcPr>
          <w:p w:rsidR="00AE2CFC" w:rsidRDefault="00AE2CFC" w:rsidP="00A741BB">
            <w:pPr>
              <w:spacing w:line="360" w:lineRule="auto"/>
              <w:jc w:val="center"/>
              <w:rPr>
                <w:rFonts w:cs="David"/>
                <w:b/>
                <w:bCs/>
                <w:rtl/>
              </w:rPr>
            </w:pPr>
            <w:r>
              <w:rPr>
                <w:rFonts w:cs="David" w:hint="cs"/>
                <w:b/>
                <w:bCs/>
                <w:rtl/>
              </w:rPr>
              <w:t>איור 2</w:t>
            </w:r>
          </w:p>
          <w:p w:rsidR="00AE2CFC" w:rsidRPr="00DD4982" w:rsidRDefault="00AE2CFC" w:rsidP="00A741BB">
            <w:pPr>
              <w:spacing w:line="360" w:lineRule="auto"/>
              <w:jc w:val="center"/>
              <w:rPr>
                <w:rFonts w:cs="David"/>
                <w:b/>
                <w:bCs/>
                <w:rtl/>
              </w:rPr>
            </w:pPr>
            <w:r w:rsidRPr="00DD4982">
              <w:rPr>
                <w:rFonts w:cs="David" w:hint="cs"/>
                <w:b/>
                <w:bCs/>
                <w:rtl/>
              </w:rPr>
              <w:t>מדד שנתי למחירי דירות</w:t>
            </w:r>
            <w:r w:rsidRPr="00DD4982">
              <w:rPr>
                <w:rFonts w:cs="David" w:hint="cs"/>
                <w:vertAlign w:val="superscript"/>
                <w:rtl/>
              </w:rPr>
              <w:t>1</w:t>
            </w:r>
            <w:r w:rsidRPr="00DD4982">
              <w:rPr>
                <w:rFonts w:cs="David" w:hint="cs"/>
                <w:b/>
                <w:bCs/>
                <w:rtl/>
              </w:rPr>
              <w:t xml:space="preserve"> ולמחירי קרקע</w:t>
            </w:r>
            <w:r w:rsidRPr="00DD4982">
              <w:rPr>
                <w:rFonts w:cs="David" w:hint="cs"/>
                <w:vertAlign w:val="superscript"/>
                <w:rtl/>
              </w:rPr>
              <w:t>2</w:t>
            </w:r>
            <w:r w:rsidRPr="00DD4982">
              <w:rPr>
                <w:rFonts w:cs="David" w:hint="cs"/>
                <w:b/>
                <w:bCs/>
                <w:rtl/>
              </w:rPr>
              <w:t xml:space="preserve"> במרכז ובפריפריה</w:t>
            </w:r>
            <w:r w:rsidRPr="00DD4982">
              <w:rPr>
                <w:rFonts w:cs="David" w:hint="cs"/>
                <w:vertAlign w:val="superscript"/>
                <w:rtl/>
              </w:rPr>
              <w:t>3</w:t>
            </w:r>
            <w:r w:rsidRPr="00DD4982">
              <w:rPr>
                <w:rFonts w:cs="David" w:hint="cs"/>
                <w:b/>
                <w:bCs/>
                <w:rtl/>
              </w:rPr>
              <w:t xml:space="preserve">, 2012-1998 </w:t>
            </w:r>
            <w:r w:rsidRPr="00DD4982">
              <w:rPr>
                <w:rFonts w:cs="David" w:hint="cs"/>
                <w:rtl/>
              </w:rPr>
              <w:t>(1998=100)</w:t>
            </w:r>
          </w:p>
          <w:p w:rsidR="00AE2CFC" w:rsidRPr="00DD4982" w:rsidRDefault="00AE2CFC" w:rsidP="00A741BB">
            <w:pPr>
              <w:spacing w:line="360" w:lineRule="auto"/>
              <w:jc w:val="center"/>
              <w:rPr>
                <w:rFonts w:cs="David"/>
                <w:b/>
                <w:bCs/>
                <w:rtl/>
              </w:rPr>
            </w:pPr>
            <w:r w:rsidRPr="00DD4982">
              <w:rPr>
                <w:rFonts w:cs="David" w:hint="cs"/>
                <w:b/>
                <w:bCs/>
                <w:rtl/>
              </w:rPr>
              <w:t xml:space="preserve"> </w:t>
            </w:r>
          </w:p>
        </w:tc>
      </w:tr>
      <w:tr w:rsidR="00AE2CFC" w:rsidRPr="00DD4982" w:rsidTr="00A741BB">
        <w:tc>
          <w:tcPr>
            <w:tcW w:w="5074" w:type="dxa"/>
            <w:shd w:val="clear" w:color="auto" w:fill="auto"/>
          </w:tcPr>
          <w:p w:rsidR="00AE2CFC" w:rsidRPr="00DD4982" w:rsidRDefault="00AE2CFC" w:rsidP="00A741BB">
            <w:pPr>
              <w:jc w:val="center"/>
              <w:rPr>
                <w:rFonts w:cs="David"/>
                <w:b/>
                <w:bCs/>
                <w:rtl/>
              </w:rPr>
            </w:pPr>
            <w:r w:rsidRPr="00DD4982">
              <w:rPr>
                <w:rFonts w:cs="David" w:hint="cs"/>
                <w:b/>
                <w:bCs/>
                <w:rtl/>
              </w:rPr>
              <w:t>מרכז</w:t>
            </w:r>
          </w:p>
        </w:tc>
        <w:tc>
          <w:tcPr>
            <w:tcW w:w="4913" w:type="dxa"/>
            <w:gridSpan w:val="2"/>
            <w:shd w:val="clear" w:color="auto" w:fill="auto"/>
          </w:tcPr>
          <w:p w:rsidR="00AE2CFC" w:rsidRPr="00DD4982" w:rsidRDefault="00AE2CFC" w:rsidP="00A741BB">
            <w:pPr>
              <w:jc w:val="center"/>
              <w:rPr>
                <w:rFonts w:cs="David"/>
                <w:b/>
                <w:bCs/>
                <w:rtl/>
              </w:rPr>
            </w:pPr>
            <w:r w:rsidRPr="00DD4982">
              <w:rPr>
                <w:rFonts w:cs="David" w:hint="cs"/>
                <w:b/>
                <w:bCs/>
                <w:rtl/>
              </w:rPr>
              <w:t>פריפריה</w:t>
            </w:r>
          </w:p>
        </w:tc>
      </w:tr>
      <w:tr w:rsidR="00AE2CFC" w:rsidRPr="00DD4982" w:rsidTr="00A741BB">
        <w:tc>
          <w:tcPr>
            <w:tcW w:w="5074" w:type="dxa"/>
            <w:shd w:val="clear" w:color="auto" w:fill="auto"/>
          </w:tcPr>
          <w:p w:rsidR="00AE2CFC" w:rsidRPr="00DD4982" w:rsidRDefault="00AE2CFC" w:rsidP="00A741BB">
            <w:pPr>
              <w:jc w:val="center"/>
              <w:rPr>
                <w:rFonts w:cs="David"/>
                <w:b/>
                <w:bCs/>
                <w:sz w:val="28"/>
                <w:szCs w:val="28"/>
                <w:rtl/>
              </w:rPr>
            </w:pPr>
            <w:r>
              <w:rPr>
                <w:rFonts w:cs="David" w:hint="cs"/>
                <w:b/>
                <w:bCs/>
                <w:noProof/>
                <w:sz w:val="28"/>
                <w:szCs w:val="28"/>
                <w:lang w:eastAsia="en-US"/>
              </w:rPr>
              <w:drawing>
                <wp:inline distT="0" distB="0" distL="0" distR="0" wp14:anchorId="5FA67FA6" wp14:editId="117BF294">
                  <wp:extent cx="3086100" cy="2676525"/>
                  <wp:effectExtent l="0" t="0" r="0" b="952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6100" cy="2676525"/>
                          </a:xfrm>
                          <a:prstGeom prst="rect">
                            <a:avLst/>
                          </a:prstGeom>
                          <a:noFill/>
                          <a:ln>
                            <a:noFill/>
                          </a:ln>
                        </pic:spPr>
                      </pic:pic>
                    </a:graphicData>
                  </a:graphic>
                </wp:inline>
              </w:drawing>
            </w:r>
          </w:p>
        </w:tc>
        <w:tc>
          <w:tcPr>
            <w:tcW w:w="4913" w:type="dxa"/>
            <w:gridSpan w:val="2"/>
            <w:shd w:val="clear" w:color="auto" w:fill="auto"/>
          </w:tcPr>
          <w:p w:rsidR="00AE2CFC" w:rsidRPr="00DD4982" w:rsidRDefault="00AE2CFC" w:rsidP="00A741BB">
            <w:pPr>
              <w:jc w:val="center"/>
              <w:rPr>
                <w:rFonts w:cs="David"/>
                <w:b/>
                <w:bCs/>
                <w:sz w:val="28"/>
                <w:szCs w:val="28"/>
                <w:rtl/>
              </w:rPr>
            </w:pPr>
            <w:r>
              <w:rPr>
                <w:rFonts w:cs="David" w:hint="cs"/>
                <w:b/>
                <w:bCs/>
                <w:noProof/>
                <w:sz w:val="28"/>
                <w:szCs w:val="28"/>
                <w:lang w:eastAsia="en-US"/>
              </w:rPr>
              <w:drawing>
                <wp:inline distT="0" distB="0" distL="0" distR="0" wp14:anchorId="5B15C120" wp14:editId="6C9ECCA7">
                  <wp:extent cx="2981325" cy="2686050"/>
                  <wp:effectExtent l="0" t="0" r="952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1325" cy="2686050"/>
                          </a:xfrm>
                          <a:prstGeom prst="rect">
                            <a:avLst/>
                          </a:prstGeom>
                          <a:noFill/>
                          <a:ln>
                            <a:noFill/>
                          </a:ln>
                        </pic:spPr>
                      </pic:pic>
                    </a:graphicData>
                  </a:graphic>
                </wp:inline>
              </w:drawing>
            </w:r>
          </w:p>
        </w:tc>
      </w:tr>
      <w:tr w:rsidR="00AE2CFC" w:rsidRPr="00DD4982" w:rsidTr="00A741BB">
        <w:tc>
          <w:tcPr>
            <w:tcW w:w="9987" w:type="dxa"/>
            <w:gridSpan w:val="3"/>
            <w:shd w:val="clear" w:color="auto" w:fill="auto"/>
          </w:tcPr>
          <w:p w:rsidR="00AE2CFC" w:rsidRPr="00DD4982" w:rsidRDefault="00AE2CFC" w:rsidP="00AE2CFC">
            <w:pPr>
              <w:numPr>
                <w:ilvl w:val="0"/>
                <w:numId w:val="2"/>
              </w:numPr>
              <w:ind w:left="714" w:right="374" w:hanging="357"/>
              <w:jc w:val="both"/>
              <w:rPr>
                <w:rFonts w:cs="David"/>
                <w:sz w:val="20"/>
                <w:szCs w:val="20"/>
              </w:rPr>
            </w:pPr>
            <w:r w:rsidRPr="00DD4982">
              <w:rPr>
                <w:rFonts w:cs="David" w:hint="cs"/>
                <w:sz w:val="20"/>
                <w:szCs w:val="20"/>
                <w:rtl/>
              </w:rPr>
              <w:t>מחיר גולמי ממוצע של דירה בת 4.0-3.5 חדרים. התפלגות מספר העסקאות בכל מחוז במרכז/פריפריה מדי שנה קובעה לזו שהייתה בשנת 1998.</w:t>
            </w:r>
          </w:p>
          <w:p w:rsidR="00AE2CFC" w:rsidRPr="00DD4982" w:rsidRDefault="00AE2CFC" w:rsidP="00AE2CFC">
            <w:pPr>
              <w:numPr>
                <w:ilvl w:val="0"/>
                <w:numId w:val="2"/>
              </w:numPr>
              <w:ind w:left="714" w:right="374" w:hanging="357"/>
              <w:jc w:val="both"/>
              <w:rPr>
                <w:rFonts w:cs="David"/>
                <w:sz w:val="20"/>
                <w:szCs w:val="20"/>
              </w:rPr>
            </w:pPr>
            <w:r w:rsidRPr="00DD4982">
              <w:rPr>
                <w:rFonts w:cs="David" w:hint="cs"/>
                <w:sz w:val="20"/>
                <w:szCs w:val="20"/>
                <w:rtl/>
              </w:rPr>
              <w:t xml:space="preserve">מחיר קרקע ליחידת דיור בבנייה רוויה.  </w:t>
            </w:r>
          </w:p>
          <w:p w:rsidR="00AE2CFC" w:rsidRPr="00DD4982" w:rsidRDefault="00AE2CFC" w:rsidP="00AE2CFC">
            <w:pPr>
              <w:numPr>
                <w:ilvl w:val="0"/>
                <w:numId w:val="2"/>
              </w:numPr>
              <w:ind w:left="714" w:right="374" w:hanging="357"/>
              <w:jc w:val="both"/>
              <w:rPr>
                <w:rFonts w:cs="David"/>
                <w:sz w:val="20"/>
                <w:szCs w:val="20"/>
                <w:rtl/>
              </w:rPr>
            </w:pPr>
            <w:r w:rsidRPr="00DD4982">
              <w:rPr>
                <w:rFonts w:cs="David" w:hint="cs"/>
                <w:sz w:val="20"/>
                <w:szCs w:val="20"/>
                <w:rtl/>
              </w:rPr>
              <w:t xml:space="preserve">פריפריה </w:t>
            </w:r>
            <w:r w:rsidRPr="00DD4982">
              <w:rPr>
                <w:rFonts w:cs="David"/>
                <w:sz w:val="20"/>
                <w:szCs w:val="20"/>
                <w:rtl/>
              </w:rPr>
              <w:t>–</w:t>
            </w:r>
            <w:r w:rsidRPr="00DD4982">
              <w:rPr>
                <w:rFonts w:cs="David" w:hint="cs"/>
                <w:sz w:val="20"/>
                <w:szCs w:val="20"/>
                <w:rtl/>
              </w:rPr>
              <w:t xml:space="preserve"> מחוזות הצפון, חיפה והדרום.</w:t>
            </w:r>
          </w:p>
        </w:tc>
      </w:tr>
      <w:tr w:rsidR="00AE2CFC" w:rsidRPr="00DD4982" w:rsidTr="00A741BB">
        <w:trPr>
          <w:gridAfter w:val="1"/>
          <w:wAfter w:w="267" w:type="dxa"/>
        </w:trPr>
        <w:tc>
          <w:tcPr>
            <w:tcW w:w="9720" w:type="dxa"/>
            <w:gridSpan w:val="2"/>
            <w:shd w:val="clear" w:color="auto" w:fill="auto"/>
          </w:tcPr>
          <w:p w:rsidR="00AE2CFC" w:rsidRDefault="00AE2CFC" w:rsidP="00A741BB">
            <w:pPr>
              <w:spacing w:line="360" w:lineRule="auto"/>
              <w:jc w:val="center"/>
              <w:rPr>
                <w:rFonts w:cs="David"/>
                <w:b/>
                <w:bCs/>
                <w:rtl/>
              </w:rPr>
            </w:pPr>
            <w:r>
              <w:rPr>
                <w:rtl/>
              </w:rPr>
              <w:br w:type="page"/>
            </w:r>
          </w:p>
          <w:p w:rsidR="00AE2CFC" w:rsidRDefault="00AE2CFC" w:rsidP="00A741BB">
            <w:pPr>
              <w:spacing w:line="360" w:lineRule="auto"/>
              <w:jc w:val="center"/>
              <w:rPr>
                <w:rFonts w:cs="David"/>
                <w:b/>
                <w:bCs/>
                <w:rtl/>
              </w:rPr>
            </w:pPr>
            <w:r>
              <w:rPr>
                <w:rFonts w:cs="David" w:hint="cs"/>
                <w:b/>
                <w:bCs/>
                <w:rtl/>
              </w:rPr>
              <w:t>איור</w:t>
            </w:r>
            <w:r w:rsidRPr="00DD4982">
              <w:rPr>
                <w:rFonts w:cs="David" w:hint="cs"/>
                <w:b/>
                <w:bCs/>
                <w:rtl/>
              </w:rPr>
              <w:t xml:space="preserve"> </w:t>
            </w:r>
            <w:r>
              <w:rPr>
                <w:rFonts w:cs="David" w:hint="cs"/>
                <w:b/>
                <w:bCs/>
                <w:rtl/>
              </w:rPr>
              <w:t>3</w:t>
            </w:r>
          </w:p>
          <w:p w:rsidR="00AE2CFC" w:rsidRPr="00DD4982" w:rsidRDefault="00AE2CFC" w:rsidP="00A741BB">
            <w:pPr>
              <w:spacing w:line="360" w:lineRule="auto"/>
              <w:jc w:val="center"/>
              <w:rPr>
                <w:rFonts w:cs="David"/>
                <w:rtl/>
              </w:rPr>
            </w:pPr>
            <w:r w:rsidRPr="00DD4982">
              <w:rPr>
                <w:rFonts w:cs="David" w:hint="cs"/>
                <w:b/>
                <w:bCs/>
                <w:rtl/>
              </w:rPr>
              <w:t>השינוי המוחלט במחירי דירות</w:t>
            </w:r>
            <w:r w:rsidRPr="00DD4982">
              <w:rPr>
                <w:rFonts w:cs="David" w:hint="cs"/>
                <w:vertAlign w:val="superscript"/>
                <w:rtl/>
              </w:rPr>
              <w:t>1</w:t>
            </w:r>
            <w:r w:rsidRPr="00DD4982">
              <w:rPr>
                <w:rFonts w:cs="David" w:hint="cs"/>
                <w:b/>
                <w:bCs/>
                <w:rtl/>
              </w:rPr>
              <w:t xml:space="preserve"> ובמחירי קרקע</w:t>
            </w:r>
            <w:r w:rsidRPr="00DD4982">
              <w:rPr>
                <w:rFonts w:cs="David" w:hint="cs"/>
                <w:vertAlign w:val="superscript"/>
                <w:rtl/>
              </w:rPr>
              <w:t>2</w:t>
            </w:r>
            <w:r w:rsidRPr="00DD4982">
              <w:rPr>
                <w:rFonts w:cs="David" w:hint="cs"/>
                <w:b/>
                <w:bCs/>
                <w:rtl/>
              </w:rPr>
              <w:t xml:space="preserve"> במרכז ובפריפריה</w:t>
            </w:r>
            <w:r w:rsidRPr="00DD4982">
              <w:rPr>
                <w:rFonts w:cs="David" w:hint="cs"/>
                <w:b/>
                <w:vertAlign w:val="superscript"/>
                <w:rtl/>
              </w:rPr>
              <w:t>3</w:t>
            </w:r>
            <w:r w:rsidRPr="00DD4982">
              <w:rPr>
                <w:rFonts w:cs="David" w:hint="cs"/>
                <w:b/>
                <w:bCs/>
                <w:rtl/>
              </w:rPr>
              <w:t xml:space="preserve">: 2011 לעומת 2006 </w:t>
            </w:r>
          </w:p>
          <w:p w:rsidR="00AE2CFC" w:rsidRPr="00DD4982" w:rsidRDefault="00AE2CFC" w:rsidP="00A741BB">
            <w:pPr>
              <w:spacing w:line="360" w:lineRule="auto"/>
              <w:jc w:val="center"/>
              <w:rPr>
                <w:rFonts w:cs="David"/>
                <w:b/>
                <w:bCs/>
                <w:rtl/>
              </w:rPr>
            </w:pPr>
            <w:r w:rsidRPr="00DD4982">
              <w:rPr>
                <w:rFonts w:cs="David" w:hint="cs"/>
                <w:rtl/>
              </w:rPr>
              <w:t xml:space="preserve">(אלפי ש"ח שוטפים) </w:t>
            </w:r>
          </w:p>
        </w:tc>
      </w:tr>
      <w:tr w:rsidR="00AE2CFC" w:rsidRPr="00DD4982" w:rsidTr="00A741BB">
        <w:trPr>
          <w:gridAfter w:val="1"/>
          <w:wAfter w:w="267" w:type="dxa"/>
        </w:trPr>
        <w:tc>
          <w:tcPr>
            <w:tcW w:w="9720" w:type="dxa"/>
            <w:gridSpan w:val="2"/>
            <w:shd w:val="clear" w:color="auto" w:fill="auto"/>
          </w:tcPr>
          <w:p w:rsidR="00AE2CFC" w:rsidRPr="00DD4982" w:rsidRDefault="00AE2CFC" w:rsidP="00A741BB">
            <w:pPr>
              <w:jc w:val="center"/>
              <w:rPr>
                <w:rFonts w:cs="David"/>
                <w:b/>
                <w:bCs/>
                <w:sz w:val="28"/>
                <w:szCs w:val="28"/>
                <w:rtl/>
              </w:rPr>
            </w:pPr>
            <w:r>
              <w:rPr>
                <w:rFonts w:cs="David" w:hint="cs"/>
                <w:b/>
                <w:bCs/>
                <w:noProof/>
                <w:sz w:val="28"/>
                <w:szCs w:val="28"/>
                <w:lang w:eastAsia="en-US"/>
              </w:rPr>
              <w:drawing>
                <wp:inline distT="0" distB="0" distL="0" distR="0" wp14:anchorId="231E0F51" wp14:editId="533E5870">
                  <wp:extent cx="5629275" cy="31527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9275" cy="3152775"/>
                          </a:xfrm>
                          <a:prstGeom prst="rect">
                            <a:avLst/>
                          </a:prstGeom>
                          <a:noFill/>
                          <a:ln>
                            <a:noFill/>
                          </a:ln>
                        </pic:spPr>
                      </pic:pic>
                    </a:graphicData>
                  </a:graphic>
                </wp:inline>
              </w:drawing>
            </w:r>
          </w:p>
        </w:tc>
      </w:tr>
      <w:tr w:rsidR="00AE2CFC" w:rsidRPr="00DD4982" w:rsidTr="00A741BB">
        <w:trPr>
          <w:gridAfter w:val="1"/>
          <w:wAfter w:w="267" w:type="dxa"/>
        </w:trPr>
        <w:tc>
          <w:tcPr>
            <w:tcW w:w="9720" w:type="dxa"/>
            <w:gridSpan w:val="2"/>
            <w:shd w:val="clear" w:color="auto" w:fill="auto"/>
          </w:tcPr>
          <w:p w:rsidR="00AE2CFC" w:rsidRPr="00DD4982" w:rsidRDefault="00AE2CFC" w:rsidP="00AE2CFC">
            <w:pPr>
              <w:numPr>
                <w:ilvl w:val="0"/>
                <w:numId w:val="3"/>
              </w:numPr>
              <w:ind w:right="374"/>
              <w:jc w:val="both"/>
              <w:rPr>
                <w:rFonts w:cs="David"/>
                <w:sz w:val="20"/>
                <w:szCs w:val="20"/>
              </w:rPr>
            </w:pPr>
            <w:r w:rsidRPr="00DD4982">
              <w:rPr>
                <w:rFonts w:cs="David" w:hint="cs"/>
                <w:sz w:val="20"/>
                <w:szCs w:val="20"/>
                <w:rtl/>
              </w:rPr>
              <w:t>מחיר גולמי ממוצע של דירה בת 4.0-3.5 חדרים. התפלגות מספר העסקאות בכל מחוז במרכז/פריפריה מדי שנה קובעה לזו שהייתה בשנת 1998.</w:t>
            </w:r>
          </w:p>
          <w:p w:rsidR="00AE2CFC" w:rsidRPr="00DD4982" w:rsidRDefault="00AE2CFC" w:rsidP="00AE2CFC">
            <w:pPr>
              <w:numPr>
                <w:ilvl w:val="0"/>
                <w:numId w:val="3"/>
              </w:numPr>
              <w:ind w:right="374"/>
              <w:jc w:val="both"/>
              <w:rPr>
                <w:rFonts w:cs="David"/>
                <w:sz w:val="20"/>
                <w:szCs w:val="20"/>
              </w:rPr>
            </w:pPr>
            <w:r w:rsidRPr="00DD4982">
              <w:rPr>
                <w:rFonts w:cs="David" w:hint="cs"/>
                <w:sz w:val="20"/>
                <w:szCs w:val="20"/>
                <w:rtl/>
              </w:rPr>
              <w:t xml:space="preserve">מחיר קרקע ליחידת דיור בבנייה רוויה.  </w:t>
            </w:r>
          </w:p>
          <w:p w:rsidR="00AE2CFC" w:rsidRPr="00DD4982" w:rsidRDefault="00AE2CFC" w:rsidP="00E5156D">
            <w:pPr>
              <w:numPr>
                <w:ilvl w:val="0"/>
                <w:numId w:val="3"/>
              </w:numPr>
              <w:ind w:right="374"/>
              <w:jc w:val="both"/>
              <w:rPr>
                <w:rFonts w:cs="David"/>
                <w:sz w:val="20"/>
                <w:szCs w:val="20"/>
                <w:rtl/>
              </w:rPr>
            </w:pPr>
            <w:r w:rsidRPr="00DD4982">
              <w:rPr>
                <w:rFonts w:cs="David" w:hint="cs"/>
                <w:sz w:val="20"/>
                <w:szCs w:val="20"/>
                <w:rtl/>
              </w:rPr>
              <w:t xml:space="preserve">פריפריה </w:t>
            </w:r>
            <w:r w:rsidRPr="00DD4982">
              <w:rPr>
                <w:rFonts w:cs="David"/>
                <w:sz w:val="20"/>
                <w:szCs w:val="20"/>
                <w:rtl/>
              </w:rPr>
              <w:t>–</w:t>
            </w:r>
            <w:r w:rsidRPr="00DD4982">
              <w:rPr>
                <w:rFonts w:cs="David" w:hint="cs"/>
                <w:sz w:val="20"/>
                <w:szCs w:val="20"/>
                <w:rtl/>
              </w:rPr>
              <w:t xml:space="preserve"> מחוזות הצפון, חיפה והדרום.</w:t>
            </w:r>
          </w:p>
        </w:tc>
      </w:tr>
    </w:tbl>
    <w:p w:rsidR="00AE2CFC" w:rsidRDefault="00AE2CFC" w:rsidP="00AE2CFC">
      <w:pPr>
        <w:rPr>
          <w:rFonts w:cs="David"/>
          <w:b/>
          <w:bCs/>
          <w:sz w:val="28"/>
          <w:szCs w:val="28"/>
          <w:rtl/>
        </w:rPr>
      </w:pPr>
    </w:p>
    <w:p w:rsidR="00333834" w:rsidRDefault="00C504EB"/>
    <w:sectPr w:rsidR="00333834" w:rsidSect="00AE2CFC">
      <w:headerReference w:type="even" r:id="rId13"/>
      <w:headerReference w:type="default" r:id="rId14"/>
      <w:footerReference w:type="even" r:id="rId15"/>
      <w:footerReference w:type="default" r:id="rId16"/>
      <w:headerReference w:type="first" r:id="rId17"/>
      <w:footerReference w:type="first" r:id="rId18"/>
      <w:pgSz w:w="11906" w:h="16838"/>
      <w:pgMar w:top="1021" w:right="1418" w:bottom="1021"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CFC" w:rsidRDefault="00AE2CFC" w:rsidP="00AE2CFC">
      <w:r>
        <w:separator/>
      </w:r>
    </w:p>
  </w:endnote>
  <w:endnote w:type="continuationSeparator" w:id="0">
    <w:p w:rsidR="00AE2CFC" w:rsidRDefault="00AE2CFC" w:rsidP="00AE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0000000000000000000"/>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F4" w:rsidRDefault="002D3BF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F4" w:rsidRDefault="002D3BF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F4" w:rsidRDefault="002D3B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CFC" w:rsidRDefault="00AE2CFC" w:rsidP="00AE2CFC">
      <w:r>
        <w:separator/>
      </w:r>
    </w:p>
  </w:footnote>
  <w:footnote w:type="continuationSeparator" w:id="0">
    <w:p w:rsidR="00AE2CFC" w:rsidRDefault="00AE2CFC" w:rsidP="00AE2CFC">
      <w:r>
        <w:continuationSeparator/>
      </w:r>
    </w:p>
  </w:footnote>
  <w:footnote w:id="1">
    <w:p w:rsidR="00AE2CFC" w:rsidRDefault="00AE2CFC" w:rsidP="00AE2CFC">
      <w:pPr>
        <w:pStyle w:val="a4"/>
        <w:jc w:val="both"/>
        <w:rPr>
          <w:rtl/>
        </w:rPr>
      </w:pPr>
      <w:r>
        <w:rPr>
          <w:rStyle w:val="a3"/>
        </w:rPr>
        <w:footnoteRef/>
      </w:r>
      <w:r>
        <w:rPr>
          <w:rtl/>
        </w:rPr>
        <w:t xml:space="preserve"> </w:t>
      </w:r>
      <w:r w:rsidRPr="00313B06">
        <w:rPr>
          <w:rFonts w:cs="David" w:hint="cs"/>
          <w:rtl/>
        </w:rPr>
        <w:t>באיור 2 ניתן לראות כי עליית מחירי הקרקע עד 2004 התרחשה רק בפריפריה, שם חלקה של הקרקע במחיר הדירה נמוך; במונחים מוחלטים מחיר הקרקע בפריפריה עלה מכ-44 אלף ש"ח ליחידת דיור בבנייה רוויה בשנת 1998 לכ-62 אלף ש"ח בשנת 2003, עלייה של פחות מ-4 אחוזים מהמחיר הממוצע של דירה בת 3.5—4 חדרים בפריפריה בשנת 1998.</w:t>
      </w:r>
    </w:p>
  </w:footnote>
  <w:footnote w:id="2">
    <w:p w:rsidR="00AE2CFC" w:rsidRDefault="00AE2CFC" w:rsidP="00AE2CFC">
      <w:pPr>
        <w:jc w:val="both"/>
        <w:rPr>
          <w:rtl/>
        </w:rPr>
      </w:pPr>
      <w:r>
        <w:rPr>
          <w:rStyle w:val="a3"/>
        </w:rPr>
        <w:footnoteRef/>
      </w:r>
      <w:r>
        <w:rPr>
          <w:rtl/>
        </w:rPr>
        <w:t xml:space="preserve"> </w:t>
      </w:r>
      <w:r w:rsidRPr="007D08A3">
        <w:rPr>
          <w:rFonts w:cs="David" w:hint="cs"/>
          <w:sz w:val="20"/>
          <w:szCs w:val="20"/>
          <w:rtl/>
        </w:rPr>
        <w:t>מספר העסקאות בקרקע בשנת 2007 היה נמוך מאוד, בפרט בבנייה רוויה, ולכן יש להתייחס במשנה זהירות לאומדני המחיר בשנה זו.</w:t>
      </w:r>
    </w:p>
  </w:footnote>
  <w:footnote w:id="3">
    <w:p w:rsidR="00AE2CFC" w:rsidRDefault="00AE2CFC" w:rsidP="00AF5A07">
      <w:pPr>
        <w:pStyle w:val="a4"/>
        <w:jc w:val="both"/>
        <w:rPr>
          <w:rtl/>
        </w:rPr>
      </w:pPr>
      <w:r>
        <w:rPr>
          <w:rStyle w:val="a3"/>
        </w:rPr>
        <w:footnoteRef/>
      </w:r>
      <w:r>
        <w:rPr>
          <w:rtl/>
        </w:rPr>
        <w:t xml:space="preserve"> </w:t>
      </w:r>
      <w:r>
        <w:rPr>
          <w:rFonts w:cs="David" w:hint="cs"/>
          <w:rtl/>
        </w:rPr>
        <w:t xml:space="preserve">שיעור </w:t>
      </w:r>
      <w:r w:rsidRPr="00500E44">
        <w:rPr>
          <w:rFonts w:cs="David" w:hint="cs"/>
          <w:rtl/>
        </w:rPr>
        <w:t>העלייה ה</w:t>
      </w:r>
      <w:r>
        <w:rPr>
          <w:rFonts w:cs="David" w:hint="cs"/>
          <w:rtl/>
        </w:rPr>
        <w:t xml:space="preserve">מהיר, שחל בסוף שנות התשעים ובתחילת שנות האלפיים </w:t>
      </w:r>
      <w:r w:rsidRPr="00500E44">
        <w:rPr>
          <w:rFonts w:cs="David" w:hint="cs"/>
          <w:rtl/>
        </w:rPr>
        <w:t>במחיר הקרקע בפריפריה</w:t>
      </w:r>
      <w:r>
        <w:rPr>
          <w:rFonts w:cs="David" w:hint="cs"/>
          <w:rtl/>
        </w:rPr>
        <w:t>,</w:t>
      </w:r>
      <w:r w:rsidRPr="00500E44">
        <w:rPr>
          <w:rFonts w:cs="David" w:hint="cs"/>
          <w:rtl/>
        </w:rPr>
        <w:t xml:space="preserve"> עולה בקנה אחד עם הגידול המהיר ב</w:t>
      </w:r>
      <w:r>
        <w:rPr>
          <w:rFonts w:cs="David" w:hint="cs"/>
          <w:rtl/>
        </w:rPr>
        <w:t xml:space="preserve">חלקה של </w:t>
      </w:r>
      <w:r w:rsidRPr="00500E44">
        <w:rPr>
          <w:rFonts w:cs="David" w:hint="cs"/>
          <w:rtl/>
        </w:rPr>
        <w:t>הקרקע שנמכרה מ</w:t>
      </w:r>
      <w:r>
        <w:rPr>
          <w:rFonts w:cs="David" w:hint="cs"/>
          <w:rtl/>
        </w:rPr>
        <w:t xml:space="preserve">תוך </w:t>
      </w:r>
      <w:r w:rsidRPr="00500E44">
        <w:rPr>
          <w:rFonts w:cs="David" w:hint="cs"/>
          <w:rtl/>
        </w:rPr>
        <w:t>זו ששווקה</w:t>
      </w:r>
      <w:r>
        <w:rPr>
          <w:rFonts w:cs="David" w:hint="cs"/>
          <w:rtl/>
        </w:rPr>
        <w:t xml:space="preserve"> </w:t>
      </w:r>
      <w:r w:rsidRPr="00C36FD6">
        <w:rPr>
          <w:rFonts w:cs="David" w:hint="cs"/>
          <w:rtl/>
        </w:rPr>
        <w:t xml:space="preserve">ועם </w:t>
      </w:r>
      <w:r>
        <w:rPr>
          <w:rFonts w:cs="David" w:hint="cs"/>
          <w:rtl/>
        </w:rPr>
        <w:t>התייקרות הוצאות הפיתוח.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F4" w:rsidRDefault="002D3BF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F4" w:rsidRDefault="002D3BF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F4" w:rsidRDefault="002D3BF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6778"/>
    <w:multiLevelType w:val="hybridMultilevel"/>
    <w:tmpl w:val="85C2FB30"/>
    <w:lvl w:ilvl="0" w:tplc="6B96D262">
      <w:start w:val="1"/>
      <w:numFmt w:val="decimal"/>
      <w:lvlText w:val="%1)"/>
      <w:lvlJc w:val="left"/>
      <w:pPr>
        <w:tabs>
          <w:tab w:val="num" w:pos="720"/>
        </w:tabs>
        <w:ind w:left="720" w:hanging="360"/>
      </w:pPr>
      <w:rPr>
        <w:rFonts w:cs="David" w:hint="cs"/>
        <w:bCs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2E4085"/>
    <w:multiLevelType w:val="hybridMultilevel"/>
    <w:tmpl w:val="C712B80E"/>
    <w:lvl w:ilvl="0" w:tplc="6B96D262">
      <w:start w:val="1"/>
      <w:numFmt w:val="decimal"/>
      <w:lvlText w:val="%1)"/>
      <w:lvlJc w:val="left"/>
      <w:pPr>
        <w:tabs>
          <w:tab w:val="num" w:pos="720"/>
        </w:tabs>
        <w:ind w:left="720" w:hanging="360"/>
      </w:pPr>
      <w:rPr>
        <w:rFonts w:cs="David" w:hint="cs"/>
        <w:bCs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3728B4"/>
    <w:multiLevelType w:val="hybridMultilevel"/>
    <w:tmpl w:val="5B30CF44"/>
    <w:lvl w:ilvl="0" w:tplc="4078C512">
      <w:start w:val="1"/>
      <w:numFmt w:val="bullet"/>
      <w:lvlText w:val=""/>
      <w:lvlJc w:val="left"/>
      <w:pPr>
        <w:tabs>
          <w:tab w:val="num" w:pos="2880"/>
        </w:tabs>
        <w:ind w:left="28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5C7DDE"/>
    <w:multiLevelType w:val="hybridMultilevel"/>
    <w:tmpl w:val="DCE8540A"/>
    <w:lvl w:ilvl="0" w:tplc="6B96D262">
      <w:start w:val="1"/>
      <w:numFmt w:val="decimal"/>
      <w:lvlText w:val="%1)"/>
      <w:lvlJc w:val="left"/>
      <w:pPr>
        <w:tabs>
          <w:tab w:val="num" w:pos="720"/>
        </w:tabs>
        <w:ind w:left="720" w:hanging="360"/>
      </w:pPr>
      <w:rPr>
        <w:rFonts w:cs="David" w:hint="cs"/>
        <w:bCs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FC"/>
    <w:rsid w:val="002013B0"/>
    <w:rsid w:val="00281D56"/>
    <w:rsid w:val="002D3BF4"/>
    <w:rsid w:val="006A5BD8"/>
    <w:rsid w:val="00722E90"/>
    <w:rsid w:val="00AE2CFC"/>
    <w:rsid w:val="00AF5A07"/>
    <w:rsid w:val="00E515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
    <w:qFormat/>
    <w:rsid w:val="00AE2CFC"/>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AE2CFC"/>
    <w:rPr>
      <w:vertAlign w:val="superscript"/>
    </w:rPr>
  </w:style>
  <w:style w:type="paragraph" w:styleId="a4">
    <w:name w:val="footnote text"/>
    <w:basedOn w:val="a"/>
    <w:link w:val="a5"/>
    <w:uiPriority w:val="99"/>
    <w:semiHidden/>
    <w:unhideWhenUsed/>
    <w:rsid w:val="00AE2CFC"/>
    <w:rPr>
      <w:sz w:val="20"/>
      <w:szCs w:val="20"/>
    </w:rPr>
  </w:style>
  <w:style w:type="character" w:customStyle="1" w:styleId="a5">
    <w:name w:val="טקסט הערת שוליים תו"/>
    <w:basedOn w:val="a0"/>
    <w:link w:val="a4"/>
    <w:uiPriority w:val="99"/>
    <w:semiHidden/>
    <w:rsid w:val="00AE2CFC"/>
    <w:rPr>
      <w:rFonts w:ascii="Times New Roman" w:eastAsia="Times New Roman" w:hAnsi="Times New Roman" w:cs="Times New Roman"/>
      <w:sz w:val="20"/>
      <w:szCs w:val="20"/>
      <w:lang w:eastAsia="he-IL"/>
    </w:rPr>
  </w:style>
  <w:style w:type="paragraph" w:styleId="a6">
    <w:name w:val="Balloon Text"/>
    <w:basedOn w:val="a"/>
    <w:link w:val="a7"/>
    <w:uiPriority w:val="99"/>
    <w:semiHidden/>
    <w:unhideWhenUsed/>
    <w:rsid w:val="00AE2CFC"/>
    <w:rPr>
      <w:rFonts w:ascii="Tahoma" w:hAnsi="Tahoma" w:cs="Tahoma"/>
      <w:sz w:val="16"/>
      <w:szCs w:val="16"/>
    </w:rPr>
  </w:style>
  <w:style w:type="character" w:customStyle="1" w:styleId="a7">
    <w:name w:val="טקסט בלונים תו"/>
    <w:basedOn w:val="a0"/>
    <w:link w:val="a6"/>
    <w:uiPriority w:val="99"/>
    <w:semiHidden/>
    <w:rsid w:val="00AE2CFC"/>
    <w:rPr>
      <w:rFonts w:ascii="Tahoma" w:eastAsia="Times New Roman" w:hAnsi="Tahoma" w:cs="Tahoma"/>
      <w:sz w:val="16"/>
      <w:szCs w:val="16"/>
      <w:lang w:eastAsia="he-IL"/>
    </w:rPr>
  </w:style>
  <w:style w:type="paragraph" w:styleId="a8">
    <w:name w:val="header"/>
    <w:basedOn w:val="a"/>
    <w:link w:val="a9"/>
    <w:rsid w:val="00E5156D"/>
    <w:pPr>
      <w:widowControl w:val="0"/>
      <w:tabs>
        <w:tab w:val="center" w:pos="4320"/>
        <w:tab w:val="right" w:pos="8640"/>
      </w:tabs>
      <w:spacing w:line="360" w:lineRule="auto"/>
      <w:jc w:val="both"/>
    </w:pPr>
    <w:rPr>
      <w:rFonts w:ascii="Arial" w:cs="David"/>
      <w:snapToGrid w:val="0"/>
      <w:sz w:val="20"/>
    </w:rPr>
  </w:style>
  <w:style w:type="character" w:customStyle="1" w:styleId="a9">
    <w:name w:val="כותרת עליונה תו"/>
    <w:basedOn w:val="a0"/>
    <w:link w:val="a8"/>
    <w:rsid w:val="00E5156D"/>
    <w:rPr>
      <w:rFonts w:ascii="Arial" w:eastAsia="Times New Roman" w:hAnsi="Times New Roman" w:cs="David"/>
      <w:snapToGrid w:val="0"/>
      <w:sz w:val="20"/>
      <w:szCs w:val="24"/>
      <w:lang w:eastAsia="he-IL"/>
    </w:rPr>
  </w:style>
  <w:style w:type="paragraph" w:styleId="aa">
    <w:name w:val="footer"/>
    <w:basedOn w:val="a"/>
    <w:link w:val="ab"/>
    <w:uiPriority w:val="99"/>
    <w:unhideWhenUsed/>
    <w:rsid w:val="002D3BF4"/>
    <w:pPr>
      <w:tabs>
        <w:tab w:val="center" w:pos="4153"/>
        <w:tab w:val="right" w:pos="8306"/>
      </w:tabs>
    </w:pPr>
  </w:style>
  <w:style w:type="character" w:customStyle="1" w:styleId="ab">
    <w:name w:val="כותרת תחתונה תו"/>
    <w:basedOn w:val="a0"/>
    <w:link w:val="aa"/>
    <w:uiPriority w:val="99"/>
    <w:rsid w:val="002D3BF4"/>
    <w:rPr>
      <w:rFonts w:ascii="Times New Roman" w:eastAsia="Times New Roman" w:hAnsi="Times New Roman" w:cs="Times New Roman"/>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
    <w:qFormat/>
    <w:rsid w:val="00AE2CFC"/>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AE2CFC"/>
    <w:rPr>
      <w:vertAlign w:val="superscript"/>
    </w:rPr>
  </w:style>
  <w:style w:type="paragraph" w:styleId="a4">
    <w:name w:val="footnote text"/>
    <w:basedOn w:val="a"/>
    <w:link w:val="a5"/>
    <w:uiPriority w:val="99"/>
    <w:semiHidden/>
    <w:unhideWhenUsed/>
    <w:rsid w:val="00AE2CFC"/>
    <w:rPr>
      <w:sz w:val="20"/>
      <w:szCs w:val="20"/>
    </w:rPr>
  </w:style>
  <w:style w:type="character" w:customStyle="1" w:styleId="a5">
    <w:name w:val="טקסט הערת שוליים תו"/>
    <w:basedOn w:val="a0"/>
    <w:link w:val="a4"/>
    <w:uiPriority w:val="99"/>
    <w:semiHidden/>
    <w:rsid w:val="00AE2CFC"/>
    <w:rPr>
      <w:rFonts w:ascii="Times New Roman" w:eastAsia="Times New Roman" w:hAnsi="Times New Roman" w:cs="Times New Roman"/>
      <w:sz w:val="20"/>
      <w:szCs w:val="20"/>
      <w:lang w:eastAsia="he-IL"/>
    </w:rPr>
  </w:style>
  <w:style w:type="paragraph" w:styleId="a6">
    <w:name w:val="Balloon Text"/>
    <w:basedOn w:val="a"/>
    <w:link w:val="a7"/>
    <w:uiPriority w:val="99"/>
    <w:semiHidden/>
    <w:unhideWhenUsed/>
    <w:rsid w:val="00AE2CFC"/>
    <w:rPr>
      <w:rFonts w:ascii="Tahoma" w:hAnsi="Tahoma" w:cs="Tahoma"/>
      <w:sz w:val="16"/>
      <w:szCs w:val="16"/>
    </w:rPr>
  </w:style>
  <w:style w:type="character" w:customStyle="1" w:styleId="a7">
    <w:name w:val="טקסט בלונים תו"/>
    <w:basedOn w:val="a0"/>
    <w:link w:val="a6"/>
    <w:uiPriority w:val="99"/>
    <w:semiHidden/>
    <w:rsid w:val="00AE2CFC"/>
    <w:rPr>
      <w:rFonts w:ascii="Tahoma" w:eastAsia="Times New Roman" w:hAnsi="Tahoma" w:cs="Tahoma"/>
      <w:sz w:val="16"/>
      <w:szCs w:val="16"/>
      <w:lang w:eastAsia="he-IL"/>
    </w:rPr>
  </w:style>
  <w:style w:type="paragraph" w:styleId="a8">
    <w:name w:val="header"/>
    <w:basedOn w:val="a"/>
    <w:link w:val="a9"/>
    <w:rsid w:val="00E5156D"/>
    <w:pPr>
      <w:widowControl w:val="0"/>
      <w:tabs>
        <w:tab w:val="center" w:pos="4320"/>
        <w:tab w:val="right" w:pos="8640"/>
      </w:tabs>
      <w:spacing w:line="360" w:lineRule="auto"/>
      <w:jc w:val="both"/>
    </w:pPr>
    <w:rPr>
      <w:rFonts w:ascii="Arial" w:cs="David"/>
      <w:snapToGrid w:val="0"/>
      <w:sz w:val="20"/>
    </w:rPr>
  </w:style>
  <w:style w:type="character" w:customStyle="1" w:styleId="a9">
    <w:name w:val="כותרת עליונה תו"/>
    <w:basedOn w:val="a0"/>
    <w:link w:val="a8"/>
    <w:rsid w:val="00E5156D"/>
    <w:rPr>
      <w:rFonts w:ascii="Arial" w:eastAsia="Times New Roman" w:hAnsi="Times New Roman" w:cs="David"/>
      <w:snapToGrid w:val="0"/>
      <w:sz w:val="20"/>
      <w:szCs w:val="24"/>
      <w:lang w:eastAsia="he-IL"/>
    </w:rPr>
  </w:style>
  <w:style w:type="paragraph" w:styleId="aa">
    <w:name w:val="footer"/>
    <w:basedOn w:val="a"/>
    <w:link w:val="ab"/>
    <w:uiPriority w:val="99"/>
    <w:unhideWhenUsed/>
    <w:rsid w:val="002D3BF4"/>
    <w:pPr>
      <w:tabs>
        <w:tab w:val="center" w:pos="4153"/>
        <w:tab w:val="right" w:pos="8306"/>
      </w:tabs>
    </w:pPr>
  </w:style>
  <w:style w:type="character" w:customStyle="1" w:styleId="ab">
    <w:name w:val="כותרת תחתונה תו"/>
    <w:basedOn w:val="a0"/>
    <w:link w:val="aa"/>
    <w:uiPriority w:val="99"/>
    <w:rsid w:val="002D3BF4"/>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DDB84-C309-4FB1-9FDD-A14F5D493CBB}"/>
</file>

<file path=customXml/itemProps2.xml><?xml version="1.0" encoding="utf-8"?>
<ds:datastoreItem xmlns:ds="http://schemas.openxmlformats.org/officeDocument/2006/customXml" ds:itemID="{906DE4D3-4D6F-42F9-9C3D-ECA901EFF2E7}"/>
</file>

<file path=customXml/itemProps3.xml><?xml version="1.0" encoding="utf-8"?>
<ds:datastoreItem xmlns:ds="http://schemas.openxmlformats.org/officeDocument/2006/customXml" ds:itemID="{A5E55DFB-4EEA-43AA-BEB8-410CFB467EB1}"/>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2907</Characters>
  <Application>Microsoft Office Word</Application>
  <DocSecurity>0</DocSecurity>
  <Lines>24</Lines>
  <Paragraphs>6</Paragraphs>
  <ScaleCrop>false</ScaleCrop>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2013-06-05T05:25:00Z</dcterms:created>
  <dcterms:modified xsi:type="dcterms:W3CDTF">2013-06-05T05:25:00Z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