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6595" w14:textId="0BC0DF2B" w:rsidR="00E222DD" w:rsidRPr="00E222DD" w:rsidRDefault="00E222DD" w:rsidP="00E222DD">
      <w:pPr>
        <w:spacing w:line="240" w:lineRule="auto"/>
        <w:jc w:val="center"/>
        <w:rPr>
          <w:rFonts w:asciiTheme="majorBidi" w:hAnsiTheme="majorBidi" w:cstheme="majorBidi"/>
          <w:rtl/>
        </w:rPr>
      </w:pPr>
      <w:r w:rsidRPr="00E222DD">
        <w:rPr>
          <w:rFonts w:asciiTheme="majorBidi" w:hAnsiTheme="majorBidi" w:cstheme="majorBidi"/>
          <w:noProof/>
        </w:rPr>
        <w:drawing>
          <wp:inline distT="0" distB="0" distL="0" distR="0" wp14:anchorId="5007A2DD" wp14:editId="4FFFEAED">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77FEF60" w14:textId="77777777" w:rsidR="00E222DD" w:rsidRPr="00E222DD" w:rsidRDefault="00E222DD" w:rsidP="00E222DD">
      <w:pPr>
        <w:spacing w:line="300" w:lineRule="atLeast"/>
        <w:jc w:val="center"/>
        <w:rPr>
          <w:rFonts w:asciiTheme="majorBidi" w:hAnsiTheme="majorBidi" w:cstheme="majorBidi"/>
        </w:rPr>
      </w:pPr>
    </w:p>
    <w:p w14:paraId="620F2571" w14:textId="77777777" w:rsidR="00E222DD" w:rsidRPr="00E222DD" w:rsidRDefault="00E222DD" w:rsidP="00E222DD">
      <w:pPr>
        <w:spacing w:line="300" w:lineRule="atLeast"/>
        <w:jc w:val="center"/>
        <w:rPr>
          <w:rFonts w:asciiTheme="majorBidi" w:hAnsiTheme="majorBidi" w:cstheme="majorBidi"/>
          <w:b/>
          <w:bCs/>
          <w:sz w:val="28"/>
          <w:szCs w:val="28"/>
        </w:rPr>
      </w:pPr>
      <w:r w:rsidRPr="00E222DD">
        <w:rPr>
          <w:rFonts w:asciiTheme="majorBidi" w:hAnsiTheme="majorBidi" w:cstheme="majorBidi"/>
          <w:b/>
          <w:bCs/>
          <w:sz w:val="28"/>
          <w:szCs w:val="28"/>
        </w:rPr>
        <w:t>BANK OF ISRAEL</w:t>
      </w:r>
    </w:p>
    <w:p w14:paraId="7A1C4BA5" w14:textId="77777777" w:rsidR="00E222DD" w:rsidRPr="00E222DD" w:rsidRDefault="00E222DD" w:rsidP="00E222DD">
      <w:pPr>
        <w:spacing w:line="300" w:lineRule="atLeast"/>
        <w:jc w:val="center"/>
        <w:rPr>
          <w:rFonts w:asciiTheme="majorBidi" w:hAnsiTheme="majorBidi" w:cstheme="majorBidi"/>
        </w:rPr>
      </w:pPr>
      <w:r w:rsidRPr="00E222DD">
        <w:rPr>
          <w:rFonts w:asciiTheme="majorBidi" w:hAnsiTheme="majorBidi" w:cstheme="majorBidi"/>
        </w:rPr>
        <w:t>Office of the Spokesperson and Economic Information</w:t>
      </w:r>
    </w:p>
    <w:p w14:paraId="2A8EF2DA" w14:textId="77777777" w:rsidR="00E222DD" w:rsidRPr="00E222DD" w:rsidRDefault="00E222DD" w:rsidP="00E222DD">
      <w:pPr>
        <w:spacing w:line="240" w:lineRule="auto"/>
        <w:rPr>
          <w:rFonts w:asciiTheme="majorBidi" w:hAnsiTheme="majorBidi" w:cstheme="majorBidi"/>
          <w:rtl/>
        </w:rPr>
      </w:pPr>
      <w:r w:rsidRPr="00E222DD">
        <w:rPr>
          <w:rFonts w:asciiTheme="majorBidi" w:hAnsiTheme="majorBidi" w:cstheme="majorBidi"/>
        </w:rPr>
        <w:br/>
      </w:r>
    </w:p>
    <w:p w14:paraId="46B522EA" w14:textId="77777777" w:rsidR="00E222DD" w:rsidRPr="00A525AC" w:rsidRDefault="00E222DD" w:rsidP="00E222DD">
      <w:pPr>
        <w:pStyle w:val="regpar"/>
        <w:jc w:val="left"/>
      </w:pPr>
      <w:r>
        <w:t>February 6, 2023</w:t>
      </w:r>
    </w:p>
    <w:p w14:paraId="3A899CFB" w14:textId="77777777" w:rsidR="00E222DD" w:rsidRPr="00E222DD" w:rsidRDefault="00E222DD" w:rsidP="00E222DD">
      <w:pPr>
        <w:spacing w:line="240" w:lineRule="auto"/>
        <w:rPr>
          <w:rFonts w:asciiTheme="majorBidi" w:hAnsiTheme="majorBidi" w:cstheme="majorBidi"/>
        </w:rPr>
      </w:pPr>
    </w:p>
    <w:p w14:paraId="4C581A2E" w14:textId="77777777" w:rsidR="00E222DD" w:rsidRPr="00E222DD" w:rsidRDefault="00E222DD" w:rsidP="00E222DD">
      <w:pPr>
        <w:spacing w:line="240" w:lineRule="auto"/>
        <w:rPr>
          <w:rFonts w:asciiTheme="majorBidi" w:hAnsiTheme="majorBidi" w:cstheme="majorBidi"/>
        </w:rPr>
      </w:pPr>
      <w:r w:rsidRPr="00E222DD">
        <w:rPr>
          <w:rFonts w:asciiTheme="majorBidi" w:hAnsiTheme="majorBidi" w:cstheme="majorBidi"/>
        </w:rPr>
        <w:t>Press Release:</w:t>
      </w:r>
    </w:p>
    <w:p w14:paraId="3B5E18C4" w14:textId="159D632A" w:rsidR="00DD0AB5" w:rsidRPr="00DD0AB5" w:rsidRDefault="00DD0AB5" w:rsidP="00C73477">
      <w:pPr>
        <w:pStyle w:val="regpar"/>
        <w:ind w:firstLine="0"/>
      </w:pPr>
      <w:bookmarkStart w:id="0" w:name="_GoBack"/>
      <w:bookmarkEnd w:id="0"/>
    </w:p>
    <w:p w14:paraId="3AD00088" w14:textId="1C57882C" w:rsidR="00A2557F" w:rsidRPr="00D870FD" w:rsidRDefault="00EB22BD" w:rsidP="00445085">
      <w:pPr>
        <w:pStyle w:val="regpar"/>
        <w:ind w:firstLine="0"/>
        <w:jc w:val="center"/>
        <w:rPr>
          <w:b/>
          <w:bCs/>
          <w:sz w:val="32"/>
          <w:szCs w:val="32"/>
        </w:rPr>
      </w:pPr>
      <w:r w:rsidRPr="00D870FD">
        <w:rPr>
          <w:b/>
          <w:bCs/>
          <w:sz w:val="32"/>
          <w:szCs w:val="32"/>
        </w:rPr>
        <w:t>The Bank of Israel publishe</w:t>
      </w:r>
      <w:r w:rsidR="00445085">
        <w:rPr>
          <w:b/>
          <w:bCs/>
          <w:sz w:val="32"/>
          <w:szCs w:val="32"/>
        </w:rPr>
        <w:t>s</w:t>
      </w:r>
      <w:r w:rsidRPr="00D870FD">
        <w:rPr>
          <w:b/>
          <w:bCs/>
          <w:sz w:val="32"/>
          <w:szCs w:val="32"/>
        </w:rPr>
        <w:t xml:space="preserve"> its work plan and budget for </w:t>
      </w:r>
      <w:r w:rsidR="00445085">
        <w:rPr>
          <w:b/>
          <w:bCs/>
          <w:sz w:val="32"/>
          <w:szCs w:val="32"/>
        </w:rPr>
        <w:t>2023</w:t>
      </w:r>
    </w:p>
    <w:p w14:paraId="1E1BF6F7" w14:textId="4E8FA9F3" w:rsidR="00901F1C" w:rsidRDefault="00901F1C" w:rsidP="00901F1C">
      <w:pPr>
        <w:pStyle w:val="regpar"/>
        <w:ind w:firstLine="0"/>
        <w:jc w:val="left"/>
      </w:pPr>
    </w:p>
    <w:p w14:paraId="58D7E52C" w14:textId="5BD55AA3" w:rsidR="00687F53" w:rsidRDefault="000F755D" w:rsidP="00445085">
      <w:pPr>
        <w:pStyle w:val="regpar"/>
        <w:ind w:firstLine="0"/>
      </w:pPr>
      <w:r>
        <w:t xml:space="preserve">The Bank of Israel </w:t>
      </w:r>
      <w:r w:rsidR="00445085">
        <w:t xml:space="preserve">today </w:t>
      </w:r>
      <w:r>
        <w:t xml:space="preserve">published the main points of its work plan and the budget for its administrative </w:t>
      </w:r>
      <w:r w:rsidR="003A0963">
        <w:t xml:space="preserve">activity </w:t>
      </w:r>
      <w:r>
        <w:t>for 202</w:t>
      </w:r>
      <w:r w:rsidR="00445085">
        <w:t>3</w:t>
      </w:r>
      <w:r>
        <w:t>.</w:t>
      </w:r>
      <w:r w:rsidR="00C62185">
        <w:t xml:space="preserve"> </w:t>
      </w:r>
      <w:r w:rsidR="00687F53">
        <w:t>The Bank of Israel’s Supervisory Council</w:t>
      </w:r>
      <w:r w:rsidR="00687F53">
        <w:rPr>
          <w:rStyle w:val="a7"/>
        </w:rPr>
        <w:footnoteReference w:id="1"/>
      </w:r>
      <w:r w:rsidR="00687F53">
        <w:t xml:space="preserve"> discussed the Bank's annual work plan</w:t>
      </w:r>
      <w:r w:rsidR="00853C73">
        <w:t xml:space="preserve"> during December 2022</w:t>
      </w:r>
      <w:r w:rsidR="00687F53">
        <w:t xml:space="preserve">, approved the Bank's annual budget for administrative </w:t>
      </w:r>
      <w:r w:rsidR="00B854CF">
        <w:t>activity</w:t>
      </w:r>
      <w:r w:rsidR="00853C73">
        <w:t xml:space="preserve"> on December 22, 2022</w:t>
      </w:r>
      <w:r w:rsidR="00687F53">
        <w:t xml:space="preserve">, and submitted the budget to the Knesset Finance Committee, as required by the Bank of Israel Law, 5770–2010. </w:t>
      </w:r>
    </w:p>
    <w:p w14:paraId="6D7FB5DA" w14:textId="39F6DD46" w:rsidR="00687F53" w:rsidRDefault="00687F53" w:rsidP="00687F53">
      <w:pPr>
        <w:pStyle w:val="regpar"/>
        <w:ind w:firstLine="0"/>
      </w:pPr>
    </w:p>
    <w:p w14:paraId="4E93A224" w14:textId="3DBF997A" w:rsidR="006B571A" w:rsidRDefault="006B571A" w:rsidP="0000063E">
      <w:pPr>
        <w:pStyle w:val="regpar"/>
        <w:ind w:firstLine="0"/>
      </w:pPr>
      <w:r>
        <w:t xml:space="preserve">The </w:t>
      </w:r>
      <w:r w:rsidR="002D7400">
        <w:t xml:space="preserve">Bank’s work plan and budget for </w:t>
      </w:r>
      <w:r w:rsidR="0000063E">
        <w:t xml:space="preserve">2023 </w:t>
      </w:r>
      <w:r w:rsidR="002D7400">
        <w:t xml:space="preserve">incorporate measures to </w:t>
      </w:r>
      <w:r w:rsidR="00445085">
        <w:t xml:space="preserve">achieve </w:t>
      </w:r>
      <w:r w:rsidR="002D7400">
        <w:t xml:space="preserve">the Bank’s strategic </w:t>
      </w:r>
      <w:r w:rsidR="00B854CF">
        <w:t xml:space="preserve">targets </w:t>
      </w:r>
      <w:r w:rsidR="002D7400">
        <w:t xml:space="preserve">for the coming years, </w:t>
      </w:r>
      <w:r w:rsidR="00445085">
        <w:t xml:space="preserve">alongside steps to provide a response to the unique challenges facing the Israeli economy, </w:t>
      </w:r>
      <w:r w:rsidR="002D7400">
        <w:t>in accordance with developments, changes, and risks in the global economy and the Israeli economy.</w:t>
      </w:r>
      <w:r w:rsidR="00C50C0A">
        <w:t xml:space="preserve"> The work plan includes widespread activity in many areas</w:t>
      </w:r>
      <w:r w:rsidR="00B2630E">
        <w:t xml:space="preserve">, </w:t>
      </w:r>
      <w:r w:rsidR="00C50C0A">
        <w:t>in accordance with the Bank’s statutory functions.</w:t>
      </w:r>
    </w:p>
    <w:p w14:paraId="0E8B3BC6" w14:textId="77777777" w:rsidR="00687F53" w:rsidRDefault="00687F53" w:rsidP="00687F53">
      <w:pPr>
        <w:pStyle w:val="regpar"/>
        <w:ind w:firstLine="0"/>
      </w:pPr>
    </w:p>
    <w:p w14:paraId="0E80D53A" w14:textId="01C87860" w:rsidR="00687F53" w:rsidRDefault="00C50C0A" w:rsidP="00687F53">
      <w:pPr>
        <w:pStyle w:val="regpar"/>
        <w:ind w:firstLine="0"/>
        <w:rPr>
          <w:b/>
          <w:bCs/>
        </w:rPr>
      </w:pPr>
      <w:r>
        <w:rPr>
          <w:b/>
          <w:bCs/>
        </w:rPr>
        <w:t>The f</w:t>
      </w:r>
      <w:r w:rsidR="00687F53">
        <w:rPr>
          <w:b/>
          <w:bCs/>
        </w:rPr>
        <w:t>ollowing are the targets set by the Bank’s management for the Bank’s work in the coming years</w:t>
      </w:r>
      <w:r w:rsidR="00FF27B3">
        <w:rPr>
          <w:b/>
          <w:bCs/>
        </w:rPr>
        <w:t>, from the overall work plan</w:t>
      </w:r>
      <w:r w:rsidR="00687F53">
        <w:rPr>
          <w:b/>
          <w:bCs/>
        </w:rPr>
        <w:t>:</w:t>
      </w:r>
    </w:p>
    <w:p w14:paraId="7F80D1AE" w14:textId="77777777" w:rsidR="00687F53" w:rsidRDefault="00687F53" w:rsidP="00687F53">
      <w:pPr>
        <w:pStyle w:val="regpar"/>
        <w:ind w:firstLine="0"/>
      </w:pPr>
    </w:p>
    <w:p w14:paraId="0BF90895" w14:textId="02AEAE92" w:rsidR="00687F53" w:rsidRDefault="00687F53" w:rsidP="00687F53">
      <w:pPr>
        <w:pStyle w:val="regpar"/>
        <w:numPr>
          <w:ilvl w:val="0"/>
          <w:numId w:val="15"/>
        </w:numPr>
      </w:pPr>
      <w:r>
        <w:t>Ad</w:t>
      </w:r>
      <w:r w:rsidR="00C50C0A">
        <w:t>ap</w:t>
      </w:r>
      <w:r>
        <w:t>ting monetary policy to the changing environment</w:t>
      </w:r>
      <w:r w:rsidR="00CD1FAE">
        <w:t>;</w:t>
      </w:r>
    </w:p>
    <w:p w14:paraId="6BCB0615" w14:textId="026BB910" w:rsidR="00687F53" w:rsidRDefault="00687F53" w:rsidP="00687F53">
      <w:pPr>
        <w:pStyle w:val="regpar"/>
        <w:numPr>
          <w:ilvl w:val="0"/>
          <w:numId w:val="15"/>
        </w:numPr>
      </w:pPr>
      <w:r>
        <w:t>Strengthening the financial system and the Israeli economy’s resilience to crises</w:t>
      </w:r>
      <w:r w:rsidR="00CD1FAE">
        <w:t>;</w:t>
      </w:r>
    </w:p>
    <w:p w14:paraId="66B5382E" w14:textId="79A739C2" w:rsidR="00687F53" w:rsidRDefault="00687F53" w:rsidP="00687F53">
      <w:pPr>
        <w:pStyle w:val="regpar"/>
        <w:numPr>
          <w:ilvl w:val="0"/>
          <w:numId w:val="15"/>
        </w:numPr>
      </w:pPr>
      <w:r>
        <w:t>Consistently advancing research on the Israeli and global economies</w:t>
      </w:r>
      <w:r w:rsidR="00CD1FAE">
        <w:t>;</w:t>
      </w:r>
    </w:p>
    <w:p w14:paraId="513933EC" w14:textId="1F5FB8FE" w:rsidR="00687F53" w:rsidRDefault="00687F53" w:rsidP="00687F53">
      <w:pPr>
        <w:pStyle w:val="regpar"/>
        <w:numPr>
          <w:ilvl w:val="0"/>
          <w:numId w:val="15"/>
        </w:numPr>
      </w:pPr>
      <w:r>
        <w:t>Broadening the abilities to collect and extract economic data and research, and making it accessible to researchers and decision makers</w:t>
      </w:r>
      <w:r w:rsidR="00CD1FAE">
        <w:t>;</w:t>
      </w:r>
    </w:p>
    <w:p w14:paraId="1A89BE34" w14:textId="36489B4D" w:rsidR="00687F53" w:rsidRDefault="00687F53" w:rsidP="00687F53">
      <w:pPr>
        <w:pStyle w:val="regpar"/>
        <w:numPr>
          <w:ilvl w:val="0"/>
          <w:numId w:val="15"/>
        </w:numPr>
      </w:pPr>
      <w:r>
        <w:t>Promoting financial infrastructures and digital means of payment in Israel’s economy</w:t>
      </w:r>
      <w:r w:rsidR="00CD1FAE">
        <w:t>;</w:t>
      </w:r>
    </w:p>
    <w:p w14:paraId="31527FB9" w14:textId="1A7AA733" w:rsidR="00687F53" w:rsidRDefault="00687F53" w:rsidP="00687F53">
      <w:pPr>
        <w:pStyle w:val="regpar"/>
        <w:numPr>
          <w:ilvl w:val="0"/>
          <w:numId w:val="15"/>
        </w:numPr>
      </w:pPr>
      <w:r>
        <w:t>Encouraging competition and innovation in the financial system</w:t>
      </w:r>
      <w:r w:rsidR="00CD1FAE">
        <w:t>;</w:t>
      </w:r>
    </w:p>
    <w:p w14:paraId="44FAA3D7" w14:textId="056D65B0" w:rsidR="00687F53" w:rsidRDefault="00687F53" w:rsidP="00687F53">
      <w:pPr>
        <w:pStyle w:val="regpar"/>
        <w:numPr>
          <w:ilvl w:val="0"/>
          <w:numId w:val="15"/>
        </w:numPr>
      </w:pPr>
      <w:r>
        <w:t xml:space="preserve">Protecting </w:t>
      </w:r>
      <w:r w:rsidR="004E1F79">
        <w:t xml:space="preserve">banking </w:t>
      </w:r>
      <w:r>
        <w:t>customers’ rights, improving their negotiating position, and reducing information gaps</w:t>
      </w:r>
      <w:r w:rsidR="00CD1FAE">
        <w:t>;</w:t>
      </w:r>
    </w:p>
    <w:p w14:paraId="5E6C3B75" w14:textId="6ABC6522" w:rsidR="00687F53" w:rsidRDefault="00C707C0" w:rsidP="00687F53">
      <w:pPr>
        <w:pStyle w:val="regpar"/>
        <w:numPr>
          <w:ilvl w:val="0"/>
          <w:numId w:val="15"/>
        </w:numPr>
      </w:pPr>
      <w:r>
        <w:t>Making</w:t>
      </w:r>
      <w:r w:rsidR="00687F53">
        <w:t xml:space="preserve"> financial services</w:t>
      </w:r>
      <w:r>
        <w:t xml:space="preserve"> more accessible</w:t>
      </w:r>
      <w:r w:rsidR="00687F53">
        <w:t xml:space="preserve"> to all citizens (financial inclusion)</w:t>
      </w:r>
      <w:r w:rsidR="00CD1FAE">
        <w:t>;</w:t>
      </w:r>
    </w:p>
    <w:p w14:paraId="7931D4DD" w14:textId="5880AA62" w:rsidR="00687F53" w:rsidRDefault="00687F53" w:rsidP="00687F53">
      <w:pPr>
        <w:pStyle w:val="regpar"/>
        <w:numPr>
          <w:ilvl w:val="0"/>
          <w:numId w:val="15"/>
        </w:numPr>
      </w:pPr>
      <w:r>
        <w:t>Tightening the Bank of Israel’s connection with the public, in line with the various target population groups</w:t>
      </w:r>
      <w:r w:rsidR="00CD1FAE">
        <w:t>;</w:t>
      </w:r>
    </w:p>
    <w:p w14:paraId="6D1553E7" w14:textId="268DE6BE" w:rsidR="00687F53" w:rsidRDefault="00687F53" w:rsidP="00687F53">
      <w:pPr>
        <w:pStyle w:val="regpar"/>
        <w:numPr>
          <w:ilvl w:val="0"/>
          <w:numId w:val="15"/>
        </w:numPr>
      </w:pPr>
      <w:r>
        <w:lastRenderedPageBreak/>
        <w:t>Enhancing collaboration with international institutions and with central banks</w:t>
      </w:r>
      <w:r w:rsidR="004E1F79">
        <w:t xml:space="preserve"> and regulators abroad</w:t>
      </w:r>
      <w:r w:rsidR="00CD1FAE">
        <w:t>;</w:t>
      </w:r>
    </w:p>
    <w:p w14:paraId="6640ABB8" w14:textId="1A2FC706" w:rsidR="00687F53" w:rsidRDefault="00687F53" w:rsidP="00687F53">
      <w:pPr>
        <w:pStyle w:val="regpar"/>
        <w:numPr>
          <w:ilvl w:val="0"/>
          <w:numId w:val="15"/>
        </w:numPr>
      </w:pPr>
      <w:r>
        <w:t>Managing the</w:t>
      </w:r>
      <w:r w:rsidR="00C707C0">
        <w:t xml:space="preserve"> country’s</w:t>
      </w:r>
      <w:r>
        <w:t xml:space="preserve"> foreign exchange reserves</w:t>
      </w:r>
      <w:r w:rsidR="00CD1FAE">
        <w:t>;</w:t>
      </w:r>
    </w:p>
    <w:p w14:paraId="5A0893C6" w14:textId="5137D6DC" w:rsidR="00687F53" w:rsidRDefault="00687F53" w:rsidP="00687F53">
      <w:pPr>
        <w:pStyle w:val="regpar"/>
        <w:numPr>
          <w:ilvl w:val="0"/>
          <w:numId w:val="15"/>
        </w:numPr>
      </w:pPr>
      <w:r>
        <w:t>Implementing the Citizens of Israel Fund Law, 5774</w:t>
      </w:r>
      <w:r w:rsidR="003C2E58">
        <w:t>–</w:t>
      </w:r>
      <w:r>
        <w:t>2014</w:t>
      </w:r>
      <w:r w:rsidR="00CD1FAE">
        <w:t>;</w:t>
      </w:r>
    </w:p>
    <w:p w14:paraId="1619FC48" w14:textId="663A880B" w:rsidR="00687F53" w:rsidRDefault="00687F53" w:rsidP="00687F53">
      <w:pPr>
        <w:pStyle w:val="regpar"/>
        <w:numPr>
          <w:ilvl w:val="0"/>
          <w:numId w:val="15"/>
        </w:numPr>
      </w:pPr>
      <w:r>
        <w:t>Aligning the Bank with the changing environmen</w:t>
      </w:r>
      <w:r w:rsidR="003C2E58">
        <w:t>t</w:t>
      </w:r>
      <w:r w:rsidR="00CD1FAE">
        <w:t>.</w:t>
      </w:r>
    </w:p>
    <w:p w14:paraId="7DF01877" w14:textId="77777777" w:rsidR="00687F53" w:rsidRDefault="00687F53" w:rsidP="00687F53">
      <w:pPr>
        <w:pStyle w:val="regpar"/>
        <w:ind w:firstLine="0"/>
      </w:pPr>
    </w:p>
    <w:p w14:paraId="0A7881FC" w14:textId="77777777" w:rsidR="00396E7E" w:rsidRDefault="00396E7E">
      <w:pPr>
        <w:spacing w:line="240" w:lineRule="auto"/>
        <w:jc w:val="left"/>
        <w:rPr>
          <w:b/>
          <w:bCs/>
        </w:rPr>
      </w:pPr>
      <w:r>
        <w:rPr>
          <w:b/>
          <w:bCs/>
        </w:rPr>
        <w:br w:type="page"/>
      </w:r>
    </w:p>
    <w:p w14:paraId="7EE783EA" w14:textId="6B287760" w:rsidR="00687F53" w:rsidRDefault="00687F53" w:rsidP="00687F53">
      <w:pPr>
        <w:pStyle w:val="regpar"/>
        <w:ind w:firstLine="0"/>
        <w:rPr>
          <w:b/>
          <w:bCs/>
        </w:rPr>
      </w:pPr>
      <w:r>
        <w:rPr>
          <w:b/>
          <w:bCs/>
        </w:rPr>
        <w:lastRenderedPageBreak/>
        <w:t>The Bank’s budget</w:t>
      </w:r>
    </w:p>
    <w:p w14:paraId="12BC9D6C" w14:textId="7DAB4C1A" w:rsidR="00687F53" w:rsidRDefault="00687F53" w:rsidP="00BA2B4B">
      <w:pPr>
        <w:pStyle w:val="regpar"/>
        <w:ind w:firstLine="0"/>
      </w:pPr>
      <w:r>
        <w:t>The Bank of Israel's budget relates to the Bank’s administrative activit</w:t>
      </w:r>
      <w:r w:rsidR="00BA2B4B">
        <w:t xml:space="preserve">y </w:t>
      </w:r>
      <w:r>
        <w:t>necessary for performing its functions and achieving its targets.</w:t>
      </w:r>
    </w:p>
    <w:p w14:paraId="68F003FC" w14:textId="77777777" w:rsidR="00687F53" w:rsidRDefault="00687F53" w:rsidP="00687F53">
      <w:pPr>
        <w:pStyle w:val="regpar"/>
        <w:ind w:firstLine="0"/>
      </w:pPr>
    </w:p>
    <w:p w14:paraId="5AD5CCE3" w14:textId="583B7246" w:rsidR="00687F53" w:rsidRPr="00BF67EC" w:rsidRDefault="00687F53" w:rsidP="00084303">
      <w:pPr>
        <w:pStyle w:val="regpar"/>
        <w:ind w:firstLine="0"/>
      </w:pPr>
      <w:r>
        <w:t xml:space="preserve">In accordance with the Bank of Israel Law, the Bank of Israel's budget is divided into several areas of activity: 1) Management and Central Services (the expenditure budgets of the entities that deal with the management of the Bank and with the provision of services and support); 2) Performance of the Bank’s functions (the expenditure budgets of the core departments); </w:t>
      </w:r>
      <w:r w:rsidR="00C84CE8">
        <w:t>3</w:t>
      </w:r>
      <w:r>
        <w:t xml:space="preserve">) </w:t>
      </w:r>
      <w:r w:rsidRPr="00BF67EC">
        <w:t xml:space="preserve">Pensions; </w:t>
      </w:r>
      <w:r w:rsidR="00C84CE8" w:rsidRPr="00BF67EC">
        <w:t>4</w:t>
      </w:r>
      <w:r w:rsidRPr="00BF67EC">
        <w:t xml:space="preserve">) Investments; </w:t>
      </w:r>
      <w:r w:rsidR="00C84CE8" w:rsidRPr="00BF67EC">
        <w:t>5</w:t>
      </w:r>
      <w:r w:rsidRPr="00BF67EC">
        <w:t xml:space="preserve">) Income; </w:t>
      </w:r>
      <w:r w:rsidR="00C84CE8" w:rsidRPr="00BF67EC">
        <w:t>6</w:t>
      </w:r>
      <w:r w:rsidRPr="00BF67EC">
        <w:t xml:space="preserve">) Reserve; </w:t>
      </w:r>
      <w:r w:rsidR="00C84CE8" w:rsidRPr="00BF67EC">
        <w:t>7</w:t>
      </w:r>
      <w:r w:rsidRPr="00BF67EC">
        <w:t xml:space="preserve">) </w:t>
      </w:r>
      <w:r w:rsidR="00A61D2A" w:rsidRPr="00BF67EC">
        <w:t>Currency i</w:t>
      </w:r>
      <w:r w:rsidR="00C84CE8" w:rsidRPr="00BF67EC">
        <w:t>ssu</w:t>
      </w:r>
      <w:r w:rsidR="00A61D2A" w:rsidRPr="00BF67EC">
        <w:t>e</w:t>
      </w:r>
      <w:r w:rsidRPr="00BF67EC">
        <w:t xml:space="preserve">; </w:t>
      </w:r>
      <w:r w:rsidR="00C84CE8" w:rsidRPr="00BF67EC">
        <w:t>8</w:t>
      </w:r>
      <w:r w:rsidRPr="00BF67EC">
        <w:t xml:space="preserve">) Managing the assets of the Citizens of Israel Fund for natural gas profits, and </w:t>
      </w:r>
      <w:r w:rsidR="00C84CE8" w:rsidRPr="00BF67EC">
        <w:t>9</w:t>
      </w:r>
      <w:r w:rsidRPr="00BF67EC">
        <w:t>) the Credit Data System.</w:t>
      </w:r>
    </w:p>
    <w:p w14:paraId="57220159" w14:textId="77777777" w:rsidR="00687F53" w:rsidRPr="00BF67EC" w:rsidRDefault="00687F53" w:rsidP="00687F53">
      <w:pPr>
        <w:pStyle w:val="regpar"/>
        <w:ind w:firstLine="0"/>
      </w:pPr>
    </w:p>
    <w:p w14:paraId="4E9A87DA" w14:textId="53A896BE" w:rsidR="00687F53" w:rsidRPr="00BF67EC" w:rsidRDefault="00687F53" w:rsidP="004F7CE7">
      <w:pPr>
        <w:pStyle w:val="regpar"/>
        <w:ind w:firstLine="0"/>
      </w:pPr>
      <w:r w:rsidRPr="00BF67EC">
        <w:t xml:space="preserve">The Bank of Israel’s overall budget for </w:t>
      </w:r>
      <w:r w:rsidR="00CA446A" w:rsidRPr="00BF67EC">
        <w:t>2023</w:t>
      </w:r>
      <w:r w:rsidR="00A61D2A" w:rsidRPr="00BF67EC">
        <w:t xml:space="preserve"> </w:t>
      </w:r>
      <w:r w:rsidRPr="00BF67EC">
        <w:t>totals NIS</w:t>
      </w:r>
      <w:r w:rsidR="00093D77" w:rsidRPr="00BF67EC">
        <w:t xml:space="preserve"> 1,</w:t>
      </w:r>
      <w:r w:rsidR="00CA446A" w:rsidRPr="00BF67EC">
        <w:t>108.8</w:t>
      </w:r>
      <w:r w:rsidRPr="00BF67EC">
        <w:t xml:space="preserve"> million. The budget is </w:t>
      </w:r>
      <w:r w:rsidR="00CA446A" w:rsidRPr="00BF67EC">
        <w:t xml:space="preserve">2.9 </w:t>
      </w:r>
      <w:r w:rsidRPr="00BF67EC">
        <w:t xml:space="preserve">percent </w:t>
      </w:r>
      <w:r w:rsidR="00093D77" w:rsidRPr="00BF67EC">
        <w:t>higher</w:t>
      </w:r>
      <w:r w:rsidRPr="00BF67EC">
        <w:t xml:space="preserve"> than in</w:t>
      </w:r>
      <w:r w:rsidR="00CA446A" w:rsidRPr="00BF67EC">
        <w:t xml:space="preserve"> 2022</w:t>
      </w:r>
      <w:r w:rsidRPr="00BF67EC">
        <w:t>, primarily due to a</w:t>
      </w:r>
      <w:r w:rsidR="00093D77" w:rsidRPr="00BF67EC">
        <w:t>n</w:t>
      </w:r>
      <w:r w:rsidRPr="00BF67EC">
        <w:t xml:space="preserve"> </w:t>
      </w:r>
      <w:r w:rsidR="00093D77" w:rsidRPr="00BF67EC">
        <w:t>incre</w:t>
      </w:r>
      <w:r w:rsidRPr="00BF67EC">
        <w:t>ase in</w:t>
      </w:r>
      <w:r w:rsidR="00093D77" w:rsidRPr="00BF67EC">
        <w:t xml:space="preserve"> the </w:t>
      </w:r>
      <w:r w:rsidR="004F7CE7" w:rsidRPr="00BF67EC">
        <w:t xml:space="preserve">budget for the </w:t>
      </w:r>
      <w:r w:rsidR="00CA446A" w:rsidRPr="00BF67EC">
        <w:t xml:space="preserve">Credit Data System </w:t>
      </w:r>
      <w:r w:rsidRPr="00BF67EC">
        <w:t>this year.</w:t>
      </w:r>
    </w:p>
    <w:p w14:paraId="195A8BD7" w14:textId="49B8FA25" w:rsidR="00687F53" w:rsidRPr="00BF67EC" w:rsidRDefault="00687F53" w:rsidP="00687F53">
      <w:pPr>
        <w:pStyle w:val="regpar"/>
        <w:ind w:firstLine="0"/>
      </w:pPr>
    </w:p>
    <w:p w14:paraId="41B3822F" w14:textId="6B289C2D" w:rsidR="00687F53" w:rsidRPr="00BF67EC" w:rsidRDefault="00093D77" w:rsidP="00CA446A">
      <w:pPr>
        <w:pStyle w:val="regpar"/>
        <w:ind w:firstLine="0"/>
      </w:pPr>
      <w:r w:rsidRPr="00BF67EC">
        <w:t>The f</w:t>
      </w:r>
      <w:r w:rsidR="00687F53" w:rsidRPr="00BF67EC">
        <w:t>ollowing are the main changes in the Bank of Israel’s budget for</w:t>
      </w:r>
      <w:r w:rsidR="00CA446A" w:rsidRPr="00BF67EC">
        <w:t xml:space="preserve"> 2023</w:t>
      </w:r>
      <w:r w:rsidR="00687F53" w:rsidRPr="00BF67EC">
        <w:t>:</w:t>
      </w:r>
    </w:p>
    <w:p w14:paraId="1E961F11" w14:textId="77777777" w:rsidR="00687F53" w:rsidRPr="00BF67EC" w:rsidRDefault="00687F53" w:rsidP="00687F53">
      <w:pPr>
        <w:pStyle w:val="regpar"/>
        <w:ind w:firstLine="0"/>
      </w:pPr>
    </w:p>
    <w:p w14:paraId="23D90EE2" w14:textId="5509E3BF" w:rsidR="00EF1502" w:rsidRPr="00BF67EC" w:rsidRDefault="00EF1502" w:rsidP="00AE35EB">
      <w:pPr>
        <w:pStyle w:val="regpar"/>
        <w:ind w:firstLine="0"/>
      </w:pPr>
      <w:r w:rsidRPr="00BF67EC">
        <w:rPr>
          <w:b/>
          <w:bCs/>
        </w:rPr>
        <w:t>Credit Data System:</w:t>
      </w:r>
      <w:r w:rsidRPr="00BF67EC">
        <w:t xml:space="preserve"> In April 2019, the Credit Data System was launched for the public, in accordance with the Credit Data Law, 5776–2016. The “Credit Data System” activity area includes the budget for a range of activities required by the Credit Data Law. </w:t>
      </w:r>
      <w:r w:rsidR="007C4CC0" w:rsidRPr="00BF67EC">
        <w:t xml:space="preserve">In </w:t>
      </w:r>
      <w:r w:rsidR="006A7B15" w:rsidRPr="00BF67EC">
        <w:t>2023</w:t>
      </w:r>
      <w:r w:rsidR="007C4CC0" w:rsidRPr="00BF67EC">
        <w:t>, t</w:t>
      </w:r>
      <w:r w:rsidRPr="00BF67EC">
        <w:t xml:space="preserve">he budget in this area will be NIS </w:t>
      </w:r>
      <w:r w:rsidR="007C4CC0" w:rsidRPr="00BF67EC">
        <w:t>115.9 m</w:t>
      </w:r>
      <w:r w:rsidRPr="00BF67EC">
        <w:t xml:space="preserve">illion, an increase of </w:t>
      </w:r>
      <w:r w:rsidR="007C4CC0" w:rsidRPr="00BF67EC">
        <w:t>30</w:t>
      </w:r>
      <w:r w:rsidRPr="00BF67EC">
        <w:t xml:space="preserve"> percent compared with </w:t>
      </w:r>
      <w:r w:rsidR="007C4CC0" w:rsidRPr="00BF67EC">
        <w:t>2022</w:t>
      </w:r>
      <w:r w:rsidRPr="00BF67EC">
        <w:t>. This</w:t>
      </w:r>
      <w:r w:rsidR="00F64959" w:rsidRPr="00BF67EC">
        <w:t xml:space="preserve"> </w:t>
      </w:r>
      <w:r w:rsidRPr="00BF67EC">
        <w:t xml:space="preserve">increase </w:t>
      </w:r>
      <w:r w:rsidR="00F64959" w:rsidRPr="00BF67EC">
        <w:t xml:space="preserve">derives mainly from the need to refresh hardware 3 years after the system went on air, a 3-year project that is reflected in the budget presented today and additional investments for developing the database, such as adding on new information sources and users to continue enhancing competition and compliance with the goals of the Law. In addition, the budget includes </w:t>
      </w:r>
      <w:r w:rsidR="006A7B15" w:rsidRPr="00BF67EC">
        <w:t xml:space="preserve">the </w:t>
      </w:r>
      <w:r w:rsidR="00F64959" w:rsidRPr="00BF67EC">
        <w:t xml:space="preserve">planning </w:t>
      </w:r>
      <w:r w:rsidR="006A7B15" w:rsidRPr="00BF67EC">
        <w:t xml:space="preserve">of </w:t>
      </w:r>
      <w:r w:rsidR="00F64959" w:rsidRPr="00BF67EC">
        <w:t xml:space="preserve">a new project—“the credit database for small and </w:t>
      </w:r>
      <w:r w:rsidR="005427A9" w:rsidRPr="00BF67EC">
        <w:t>medium size</w:t>
      </w:r>
      <w:r w:rsidR="000B5B71" w:rsidRPr="00BF67EC">
        <w:t xml:space="preserve"> </w:t>
      </w:r>
      <w:r w:rsidR="00F64959" w:rsidRPr="00BF67EC">
        <w:t>enterprises (SME</w:t>
      </w:r>
      <w:r w:rsidR="009D0738" w:rsidRPr="00BF67EC">
        <w:t>s</w:t>
      </w:r>
      <w:r w:rsidR="00F64959" w:rsidRPr="00BF67EC">
        <w:t>)”, which is expected to be a mega-project that will contribute markedly to enhancing access to credit for small and midsized enterprises and competition in the Israeli economy.</w:t>
      </w:r>
    </w:p>
    <w:p w14:paraId="40ADECE1" w14:textId="58628A0B" w:rsidR="00EF1502" w:rsidRPr="00BF67EC" w:rsidRDefault="00EF1502" w:rsidP="00084303">
      <w:pPr>
        <w:pStyle w:val="regpar"/>
        <w:ind w:firstLine="0"/>
        <w:rPr>
          <w:b/>
          <w:bCs/>
        </w:rPr>
      </w:pPr>
    </w:p>
    <w:p w14:paraId="2DA86862" w14:textId="59FC6F73" w:rsidR="00687F53" w:rsidRDefault="005177D1" w:rsidP="00552399">
      <w:pPr>
        <w:pStyle w:val="regpar"/>
        <w:ind w:firstLine="0"/>
      </w:pPr>
      <w:r w:rsidRPr="00BF67EC">
        <w:rPr>
          <w:b/>
          <w:bCs/>
        </w:rPr>
        <w:t>Managing the assets of the Citizens of Israel Fund:</w:t>
      </w:r>
      <w:r w:rsidRPr="00BF67EC">
        <w:t xml:space="preserve"> </w:t>
      </w:r>
      <w:r w:rsidR="00BD5C77" w:rsidRPr="00BF67EC">
        <w:t xml:space="preserve">In accordance with the Citizens of Israel Fund Law, 5774–2014, a fund was established to manage the State’s revenues from the oil and gas </w:t>
      </w:r>
      <w:r w:rsidR="006A7B15" w:rsidRPr="00BF67EC">
        <w:t xml:space="preserve">profit </w:t>
      </w:r>
      <w:r w:rsidR="00BD5C77" w:rsidRPr="00BF67EC">
        <w:t xml:space="preserve">levy. The Fund will be called the Citizens of Israel Fund (hereinafter, “the Fund”). The goal of the Fund is to manage the </w:t>
      </w:r>
      <w:r w:rsidR="001B4F92" w:rsidRPr="00BF67EC">
        <w:t xml:space="preserve">State’s </w:t>
      </w:r>
      <w:r w:rsidR="00BD5C77" w:rsidRPr="00BF67EC">
        <w:t>revenues from the levy with a long</w:t>
      </w:r>
      <w:r w:rsidR="00552399" w:rsidRPr="00BF67EC">
        <w:t xml:space="preserve"> range </w:t>
      </w:r>
      <w:r w:rsidR="00BD5C77" w:rsidRPr="00BF67EC">
        <w:t xml:space="preserve">economic perspective, in order to maximize the return and with the </w:t>
      </w:r>
      <w:r w:rsidR="00552399" w:rsidRPr="00BF67EC">
        <w:t xml:space="preserve">objective </w:t>
      </w:r>
      <w:r w:rsidR="00BD5C77" w:rsidRPr="00BF67EC">
        <w:t xml:space="preserve">of enabling future generations to benefit from the </w:t>
      </w:r>
      <w:r w:rsidR="00F02DB1" w:rsidRPr="00BF67EC">
        <w:t xml:space="preserve">income </w:t>
      </w:r>
      <w:r w:rsidR="00BD5C77" w:rsidRPr="00BF67EC">
        <w:t xml:space="preserve">in respect of this natural resource, in </w:t>
      </w:r>
      <w:r w:rsidR="00F02DB1" w:rsidRPr="00BF67EC">
        <w:t xml:space="preserve">line </w:t>
      </w:r>
      <w:r w:rsidR="00BD5C77" w:rsidRPr="00BF67EC">
        <w:t>with the Law. The Fund’s assets shall be managed through a designated Department being established at the Bank of Israel, and the Fund’s institutions (the Fund’s Council and its Investment Committee) that were established in 2022. The Fund’s institutions shall outline the investment policy. During 2022, the Bank of Israel invested the initial flows received from the Israel Tax Authority in accordance with the guidelines of the Fund institutions. The budget for 2023 will be NIS 0.9 million, a decrease of 42 percent relative to 2022.</w:t>
      </w:r>
    </w:p>
    <w:p w14:paraId="66B36441" w14:textId="77777777" w:rsidR="005177D1" w:rsidRDefault="005177D1" w:rsidP="00687F53">
      <w:pPr>
        <w:pStyle w:val="regpar"/>
        <w:ind w:firstLine="0"/>
      </w:pPr>
    </w:p>
    <w:p w14:paraId="60048DCF" w14:textId="1A226E01" w:rsidR="00687F53" w:rsidRDefault="00687F53" w:rsidP="00190845">
      <w:pPr>
        <w:pStyle w:val="regpar"/>
        <w:ind w:firstLine="0"/>
      </w:pPr>
      <w:r>
        <w:rPr>
          <w:b/>
          <w:bCs/>
        </w:rPr>
        <w:t>Budget for future years:</w:t>
      </w:r>
      <w:r>
        <w:t xml:space="preserve"> The budget for permitted commitments for coming years is NIS </w:t>
      </w:r>
      <w:r w:rsidR="00190845">
        <w:t xml:space="preserve">428 </w:t>
      </w:r>
      <w:r>
        <w:t xml:space="preserve">million, of which </w:t>
      </w:r>
      <w:r w:rsidR="00190845">
        <w:t>36</w:t>
      </w:r>
      <w:r>
        <w:t xml:space="preserve"> percent is designated for future commitments in respect of the operation of the Credit Data System</w:t>
      </w:r>
      <w:r w:rsidR="001E417F">
        <w:t xml:space="preserve">, and </w:t>
      </w:r>
      <w:r w:rsidR="00190845">
        <w:t xml:space="preserve">35 </w:t>
      </w:r>
      <w:r w:rsidR="001E417F">
        <w:t>percent is designated for the issuance of currency</w:t>
      </w:r>
      <w:r>
        <w:t>.</w:t>
      </w:r>
    </w:p>
    <w:p w14:paraId="29C136B0" w14:textId="77777777" w:rsidR="00687F53" w:rsidRDefault="00687F53" w:rsidP="00687F53">
      <w:pPr>
        <w:pStyle w:val="regpar"/>
        <w:ind w:firstLine="0"/>
      </w:pPr>
    </w:p>
    <w:p w14:paraId="745BB468" w14:textId="42755308" w:rsidR="00687F53" w:rsidRDefault="00687F53" w:rsidP="00687F53">
      <w:pPr>
        <w:pStyle w:val="regpar"/>
        <w:ind w:firstLine="0"/>
      </w:pPr>
      <w:r>
        <w:t xml:space="preserve">The administrative activities budget does not include income and expenses stemming from the implementation of monetary tools, the provision of credit to banking corporations and to other financial institutions, activities related to managing liquidity in the economy, </w:t>
      </w:r>
      <w:r w:rsidR="009B11E3">
        <w:t xml:space="preserve">investment of the </w:t>
      </w:r>
      <w:r>
        <w:t>foreign exchange reserves, etc. Such income and expenses are reflected in the Bank of Israel's financial statements and in the Investment of the Foreign Exchange Reserves report of the Bank.</w:t>
      </w:r>
    </w:p>
    <w:p w14:paraId="7D24FC01" w14:textId="77777777" w:rsidR="00687F53" w:rsidRDefault="00687F53" w:rsidP="00687F53">
      <w:pPr>
        <w:pStyle w:val="regpar"/>
        <w:ind w:firstLine="0"/>
      </w:pPr>
    </w:p>
    <w:p w14:paraId="0EE4A6E1" w14:textId="0738F134" w:rsidR="00687F53" w:rsidRDefault="00687F53" w:rsidP="00687F53">
      <w:pPr>
        <w:spacing w:line="240" w:lineRule="auto"/>
        <w:jc w:val="left"/>
      </w:pPr>
    </w:p>
    <w:p w14:paraId="74E2CA98" w14:textId="7138025D" w:rsidR="00687F53" w:rsidRDefault="00687F53" w:rsidP="008012D4">
      <w:pPr>
        <w:pStyle w:val="regpar"/>
        <w:ind w:firstLine="0"/>
        <w:jc w:val="left"/>
        <w:rPr>
          <w:b/>
          <w:bCs/>
        </w:rPr>
      </w:pPr>
      <w:r>
        <w:rPr>
          <w:b/>
          <w:bCs/>
        </w:rPr>
        <w:t xml:space="preserve">Table 1: The Bank of Israel’s Budget for </w:t>
      </w:r>
      <w:r w:rsidR="008012D4">
        <w:rPr>
          <w:b/>
          <w:bCs/>
        </w:rPr>
        <w:t>2023</w:t>
      </w:r>
      <w:r>
        <w:rPr>
          <w:b/>
          <w:bCs/>
        </w:rPr>
        <w:t xml:space="preserve"> </w:t>
      </w:r>
    </w:p>
    <w:p w14:paraId="3B8326A6" w14:textId="77777777" w:rsidR="00687F53" w:rsidRDefault="00687F53" w:rsidP="00687F53">
      <w:pPr>
        <w:pStyle w:val="regpar"/>
        <w:ind w:firstLine="0"/>
        <w:jc w:val="left"/>
      </w:pPr>
      <w:r>
        <w:t>(financial data in NIS thousand)</w:t>
      </w:r>
    </w:p>
    <w:tbl>
      <w:tblPr>
        <w:tblpPr w:leftFromText="180" w:rightFromText="180" w:vertAnchor="text" w:horzAnchor="margin" w:tblpY="18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276"/>
        <w:gridCol w:w="1821"/>
        <w:gridCol w:w="1156"/>
        <w:gridCol w:w="1134"/>
      </w:tblGrid>
      <w:tr w:rsidR="00C91D49" w14:paraId="7219810E" w14:textId="77777777" w:rsidTr="00FC6705">
        <w:tc>
          <w:tcPr>
            <w:tcW w:w="4531" w:type="dxa"/>
            <w:vMerge w:val="restart"/>
            <w:tcBorders>
              <w:top w:val="single" w:sz="4" w:space="0" w:color="auto"/>
              <w:left w:val="single" w:sz="4" w:space="0" w:color="auto"/>
              <w:bottom w:val="single" w:sz="4" w:space="0" w:color="auto"/>
              <w:right w:val="single" w:sz="4" w:space="0" w:color="auto"/>
            </w:tcBorders>
          </w:tcPr>
          <w:p w14:paraId="316E8AD8" w14:textId="77777777" w:rsidR="00C91D49" w:rsidRDefault="00C91D49">
            <w:pPr>
              <w:spacing w:line="240" w:lineRule="auto"/>
              <w:jc w:val="center"/>
              <w:rPr>
                <w:rFonts w:asciiTheme="majorBidi" w:hAnsiTheme="majorBidi" w:cstheme="majorBidi"/>
                <w:b/>
                <w:bCs/>
                <w:sz w:val="22"/>
                <w:szCs w:val="22"/>
              </w:rPr>
            </w:pPr>
          </w:p>
        </w:tc>
        <w:tc>
          <w:tcPr>
            <w:tcW w:w="4253" w:type="dxa"/>
            <w:gridSpan w:val="3"/>
            <w:tcBorders>
              <w:top w:val="single" w:sz="4" w:space="0" w:color="auto"/>
              <w:left w:val="single" w:sz="4" w:space="0" w:color="auto"/>
              <w:bottom w:val="single" w:sz="4" w:space="0" w:color="auto"/>
              <w:right w:val="single" w:sz="4" w:space="0" w:color="auto"/>
            </w:tcBorders>
            <w:hideMark/>
          </w:tcPr>
          <w:p w14:paraId="78D14074" w14:textId="051BD3FB" w:rsidR="00C91D49" w:rsidRDefault="008012D4">
            <w:pPr>
              <w:spacing w:line="240" w:lineRule="auto"/>
              <w:jc w:val="center"/>
              <w:rPr>
                <w:rFonts w:asciiTheme="majorBidi" w:hAnsiTheme="majorBidi" w:cstheme="majorBidi"/>
                <w:b/>
                <w:bCs/>
                <w:sz w:val="22"/>
                <w:szCs w:val="22"/>
              </w:rPr>
            </w:pPr>
            <w:r>
              <w:rPr>
                <w:rFonts w:asciiTheme="majorBidi" w:hAnsiTheme="majorBidi" w:cstheme="majorBidi"/>
                <w:b/>
                <w:bCs/>
                <w:sz w:val="22"/>
                <w:szCs w:val="22"/>
              </w:rPr>
              <w:t>2023</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14:paraId="0EA2A6FE" w14:textId="3B7BED8E" w:rsidR="00C91D49" w:rsidRDefault="008012D4">
            <w:pPr>
              <w:spacing w:line="240" w:lineRule="auto"/>
              <w:jc w:val="center"/>
              <w:rPr>
                <w:rFonts w:asciiTheme="majorBidi" w:hAnsiTheme="majorBidi" w:cstheme="majorBidi"/>
                <w:sz w:val="22"/>
                <w:szCs w:val="22"/>
              </w:rPr>
            </w:pPr>
            <w:r>
              <w:rPr>
                <w:rFonts w:asciiTheme="majorBidi" w:hAnsiTheme="majorBidi" w:cstheme="majorBidi"/>
                <w:b/>
                <w:bCs/>
                <w:sz w:val="22"/>
                <w:szCs w:val="22"/>
              </w:rPr>
              <w:t>2022</w:t>
            </w:r>
            <w:r w:rsidR="00C91D49">
              <w:rPr>
                <w:rFonts w:asciiTheme="majorBidi" w:hAnsiTheme="majorBidi" w:cstheme="majorBidi"/>
                <w:b/>
                <w:bCs/>
                <w:sz w:val="22"/>
                <w:szCs w:val="22"/>
              </w:rPr>
              <w:t xml:space="preserve"> budget</w:t>
            </w:r>
          </w:p>
        </w:tc>
      </w:tr>
      <w:tr w:rsidR="00C91D49" w14:paraId="47B287D3" w14:textId="77777777" w:rsidTr="00FC6705">
        <w:trPr>
          <w:trHeight w:val="807"/>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5778FDC8" w14:textId="77777777" w:rsidR="00C91D49" w:rsidRDefault="00C91D49">
            <w:pPr>
              <w:spacing w:line="240" w:lineRule="auto"/>
              <w:jc w:val="left"/>
              <w:rPr>
                <w:rFonts w:asciiTheme="majorBidi" w:hAnsiTheme="majorBidi" w:cstheme="majorBidi"/>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57ACB9B2" w14:textId="77777777" w:rsidR="00C91D49" w:rsidRDefault="00C91D49">
            <w:pPr>
              <w:spacing w:line="240" w:lineRule="auto"/>
              <w:rPr>
                <w:rFonts w:asciiTheme="majorBidi" w:hAnsiTheme="majorBidi" w:cstheme="majorBidi"/>
                <w:b/>
                <w:bCs/>
                <w:sz w:val="22"/>
                <w:szCs w:val="22"/>
              </w:rPr>
            </w:pPr>
            <w:r>
              <w:rPr>
                <w:rFonts w:asciiTheme="majorBidi" w:hAnsiTheme="majorBidi" w:cstheme="majorBidi"/>
                <w:b/>
                <w:bCs/>
                <w:sz w:val="22"/>
                <w:szCs w:val="22"/>
              </w:rPr>
              <w:t>Budget</w:t>
            </w:r>
          </w:p>
        </w:tc>
        <w:tc>
          <w:tcPr>
            <w:tcW w:w="1821" w:type="dxa"/>
            <w:tcBorders>
              <w:top w:val="single" w:sz="4" w:space="0" w:color="auto"/>
              <w:left w:val="single" w:sz="4" w:space="0" w:color="auto"/>
              <w:bottom w:val="single" w:sz="4" w:space="0" w:color="auto"/>
              <w:right w:val="single" w:sz="4" w:space="0" w:color="auto"/>
            </w:tcBorders>
            <w:vAlign w:val="bottom"/>
            <w:hideMark/>
          </w:tcPr>
          <w:p w14:paraId="185CCBEA" w14:textId="77777777" w:rsidR="00C91D49" w:rsidRDefault="00C91D49">
            <w:pPr>
              <w:spacing w:line="240" w:lineRule="auto"/>
              <w:jc w:val="center"/>
              <w:rPr>
                <w:rFonts w:asciiTheme="majorBidi" w:hAnsiTheme="majorBidi" w:cstheme="majorBidi"/>
                <w:b/>
                <w:bCs/>
                <w:sz w:val="22"/>
                <w:szCs w:val="22"/>
              </w:rPr>
            </w:pPr>
            <w:r>
              <w:rPr>
                <w:rFonts w:asciiTheme="majorBidi" w:hAnsiTheme="majorBidi" w:cstheme="majorBidi"/>
                <w:b/>
                <w:bCs/>
                <w:sz w:val="22"/>
                <w:szCs w:val="22"/>
              </w:rPr>
              <w:t>Permitted commitments for coming years</w:t>
            </w:r>
          </w:p>
        </w:tc>
        <w:tc>
          <w:tcPr>
            <w:tcW w:w="1156" w:type="dxa"/>
            <w:tcBorders>
              <w:top w:val="single" w:sz="4" w:space="0" w:color="auto"/>
              <w:left w:val="single" w:sz="4" w:space="0" w:color="auto"/>
              <w:bottom w:val="single" w:sz="4" w:space="0" w:color="auto"/>
              <w:right w:val="single" w:sz="4" w:space="0" w:color="auto"/>
            </w:tcBorders>
            <w:vAlign w:val="bottom"/>
            <w:hideMark/>
          </w:tcPr>
          <w:p w14:paraId="3B079937" w14:textId="77777777" w:rsidR="00C91D49" w:rsidRDefault="00C91D49">
            <w:pPr>
              <w:spacing w:line="240" w:lineRule="auto"/>
              <w:jc w:val="center"/>
              <w:rPr>
                <w:rFonts w:asciiTheme="majorBidi" w:hAnsiTheme="majorBidi" w:cstheme="majorBidi"/>
                <w:b/>
                <w:bCs/>
                <w:sz w:val="22"/>
                <w:szCs w:val="22"/>
              </w:rPr>
            </w:pPr>
            <w:r>
              <w:rPr>
                <w:rFonts w:asciiTheme="majorBidi" w:hAnsiTheme="majorBidi" w:cstheme="majorBidi"/>
                <w:b/>
                <w:bCs/>
                <w:sz w:val="22"/>
                <w:szCs w:val="22"/>
              </w:rPr>
              <w:t>Personnel ceiling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D9837" w14:textId="77777777" w:rsidR="00C91D49" w:rsidRDefault="00C91D49">
            <w:pPr>
              <w:spacing w:line="240" w:lineRule="auto"/>
              <w:jc w:val="left"/>
              <w:rPr>
                <w:rFonts w:asciiTheme="majorBidi" w:hAnsiTheme="majorBidi" w:cstheme="majorBidi"/>
                <w:sz w:val="22"/>
                <w:szCs w:val="22"/>
              </w:rPr>
            </w:pPr>
          </w:p>
        </w:tc>
      </w:tr>
      <w:tr w:rsidR="00C91D49" w14:paraId="706A76E5" w14:textId="77777777" w:rsidTr="00402AF6">
        <w:trPr>
          <w:trHeight w:val="812"/>
        </w:trPr>
        <w:tc>
          <w:tcPr>
            <w:tcW w:w="4531" w:type="dxa"/>
            <w:tcBorders>
              <w:top w:val="single" w:sz="4" w:space="0" w:color="auto"/>
              <w:left w:val="single" w:sz="4" w:space="0" w:color="auto"/>
              <w:bottom w:val="single" w:sz="4" w:space="0" w:color="auto"/>
              <w:right w:val="single" w:sz="4" w:space="0" w:color="auto"/>
            </w:tcBorders>
            <w:vAlign w:val="center"/>
          </w:tcPr>
          <w:p w14:paraId="65FF89AB" w14:textId="63B379AA" w:rsidR="00C91D49" w:rsidRPr="00402AF6" w:rsidRDefault="00C91D49" w:rsidP="00402AF6">
            <w:pPr>
              <w:spacing w:line="240" w:lineRule="auto"/>
              <w:jc w:val="left"/>
              <w:rPr>
                <w:rFonts w:asciiTheme="majorBidi" w:hAnsiTheme="majorBidi" w:cstheme="majorBidi"/>
                <w:b/>
                <w:bCs/>
                <w:sz w:val="22"/>
                <w:szCs w:val="22"/>
              </w:rPr>
            </w:pPr>
            <w:r>
              <w:rPr>
                <w:rFonts w:asciiTheme="majorBidi" w:hAnsiTheme="majorBidi" w:cstheme="majorBidi"/>
                <w:b/>
                <w:bCs/>
                <w:sz w:val="22"/>
                <w:szCs w:val="22"/>
              </w:rPr>
              <w:t>Bank of Israel</w:t>
            </w:r>
          </w:p>
          <w:p w14:paraId="17514C26" w14:textId="77777777" w:rsidR="00C91D49" w:rsidRDefault="00C91D49" w:rsidP="00402AF6">
            <w:pPr>
              <w:pStyle w:val="regpar"/>
              <w:spacing w:line="240" w:lineRule="auto"/>
              <w:ind w:firstLine="0"/>
              <w:rPr>
                <w:rFonts w:asciiTheme="majorBidi" w:hAnsiTheme="majorBidi" w:cstheme="majorBidi"/>
                <w:sz w:val="22"/>
                <w:szCs w:val="22"/>
              </w:rPr>
            </w:pPr>
            <w:r>
              <w:rPr>
                <w:rFonts w:asciiTheme="majorBidi" w:hAnsiTheme="majorBidi" w:cstheme="majorBidi"/>
                <w:sz w:val="22"/>
                <w:szCs w:val="22"/>
                <w:rtl/>
              </w:rPr>
              <w:t xml:space="preserve">= = = = </w:t>
            </w:r>
            <w:r>
              <w:rPr>
                <w:rFonts w:asciiTheme="majorBidi" w:hAnsiTheme="majorBidi" w:cstheme="majorBidi"/>
                <w:sz w:val="22"/>
                <w:szCs w:val="22"/>
              </w:rPr>
              <w:t xml:space="preserve"> </w:t>
            </w:r>
            <w:r>
              <w:rPr>
                <w:rFonts w:asciiTheme="majorBidi" w:hAnsiTheme="majorBidi" w:cstheme="majorBidi"/>
                <w:sz w:val="22"/>
                <w:szCs w:val="22"/>
                <w:rtl/>
              </w:rPr>
              <w:t>= =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43E9F" w14:textId="77777777" w:rsidR="008012D4" w:rsidRPr="008012D4" w:rsidRDefault="008012D4" w:rsidP="008012D4">
            <w:pPr>
              <w:jc w:val="center"/>
              <w:rPr>
                <w:rFonts w:asciiTheme="majorBidi" w:hAnsiTheme="majorBidi" w:cstheme="majorBidi"/>
                <w:b/>
                <w:bCs/>
                <w:sz w:val="22"/>
                <w:szCs w:val="22"/>
                <w:rtl/>
              </w:rPr>
            </w:pPr>
            <w:r w:rsidRPr="008012D4">
              <w:rPr>
                <w:rFonts w:asciiTheme="majorBidi" w:hAnsiTheme="majorBidi" w:cstheme="majorBidi"/>
                <w:b/>
                <w:bCs/>
                <w:sz w:val="22"/>
                <w:szCs w:val="22"/>
                <w:rtl/>
              </w:rPr>
              <w:t>1,108,835</w:t>
            </w:r>
          </w:p>
          <w:p w14:paraId="380D66C8" w14:textId="77777777" w:rsidR="00C91D49" w:rsidRPr="008012D4" w:rsidRDefault="00C91D49" w:rsidP="008012D4">
            <w:pPr>
              <w:spacing w:line="240" w:lineRule="auto"/>
              <w:jc w:val="center"/>
              <w:rPr>
                <w:rFonts w:asciiTheme="majorBidi" w:hAnsiTheme="majorBidi" w:cstheme="majorBidi"/>
                <w:b/>
                <w:bCs/>
                <w:sz w:val="22"/>
                <w:szCs w:val="22"/>
              </w:rPr>
            </w:pPr>
            <w:r w:rsidRPr="008012D4">
              <w:rPr>
                <w:rFonts w:asciiTheme="majorBidi" w:hAnsiTheme="majorBidi" w:cstheme="majorBidi"/>
                <w:sz w:val="22"/>
                <w:szCs w:val="22"/>
                <w:rtl/>
              </w:rPr>
              <w:t>= = = =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E3220FA" w14:textId="77777777" w:rsidR="008012D4" w:rsidRPr="008012D4" w:rsidRDefault="008012D4" w:rsidP="008012D4">
            <w:pPr>
              <w:jc w:val="center"/>
              <w:rPr>
                <w:rFonts w:asciiTheme="majorBidi" w:hAnsiTheme="majorBidi" w:cstheme="majorBidi"/>
                <w:b/>
                <w:bCs/>
                <w:sz w:val="22"/>
                <w:szCs w:val="22"/>
                <w:rtl/>
              </w:rPr>
            </w:pPr>
            <w:r w:rsidRPr="008012D4">
              <w:rPr>
                <w:rFonts w:asciiTheme="majorBidi" w:hAnsiTheme="majorBidi" w:cstheme="majorBidi"/>
                <w:b/>
                <w:bCs/>
                <w:sz w:val="22"/>
                <w:szCs w:val="22"/>
                <w:rtl/>
              </w:rPr>
              <w:t>428,364</w:t>
            </w:r>
          </w:p>
          <w:p w14:paraId="5251C07A" w14:textId="77777777" w:rsidR="00C91D49" w:rsidRPr="008012D4" w:rsidRDefault="00C91D49" w:rsidP="008012D4">
            <w:pPr>
              <w:spacing w:line="240" w:lineRule="auto"/>
              <w:jc w:val="center"/>
              <w:rPr>
                <w:rFonts w:asciiTheme="majorBidi" w:hAnsiTheme="majorBidi" w:cstheme="majorBidi"/>
                <w:b/>
                <w:bCs/>
                <w:sz w:val="22"/>
                <w:szCs w:val="22"/>
                <w:rtl/>
              </w:rPr>
            </w:pPr>
            <w:r w:rsidRPr="008012D4">
              <w:rPr>
                <w:rFonts w:asciiTheme="majorBidi" w:hAnsiTheme="majorBidi" w:cstheme="majorBidi"/>
                <w:sz w:val="22"/>
                <w:szCs w:val="22"/>
                <w:rtl/>
              </w:rPr>
              <w:t>= = = =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D1FBFDB" w14:textId="77777777" w:rsidR="008012D4" w:rsidRPr="008012D4" w:rsidRDefault="008012D4" w:rsidP="008012D4">
            <w:pPr>
              <w:jc w:val="center"/>
              <w:rPr>
                <w:rFonts w:asciiTheme="majorBidi" w:hAnsiTheme="majorBidi" w:cstheme="majorBidi"/>
                <w:b/>
                <w:bCs/>
                <w:sz w:val="22"/>
                <w:szCs w:val="22"/>
                <w:rtl/>
              </w:rPr>
            </w:pPr>
            <w:r w:rsidRPr="008012D4">
              <w:rPr>
                <w:rFonts w:asciiTheme="majorBidi" w:hAnsiTheme="majorBidi" w:cstheme="majorBidi"/>
                <w:b/>
                <w:bCs/>
                <w:sz w:val="22"/>
                <w:szCs w:val="22"/>
                <w:rtl/>
              </w:rPr>
              <w:t>950.7</w:t>
            </w:r>
          </w:p>
          <w:p w14:paraId="51FF0953" w14:textId="77777777" w:rsidR="00C91D49" w:rsidRPr="008012D4" w:rsidRDefault="00C91D49" w:rsidP="008012D4">
            <w:pPr>
              <w:spacing w:line="240" w:lineRule="auto"/>
              <w:jc w:val="center"/>
              <w:rPr>
                <w:rFonts w:asciiTheme="majorBidi" w:hAnsiTheme="majorBidi" w:cstheme="majorBidi"/>
                <w:b/>
                <w:bCs/>
                <w:sz w:val="22"/>
                <w:szCs w:val="22"/>
              </w:rPr>
            </w:pPr>
            <w:r w:rsidRPr="008012D4">
              <w:rPr>
                <w:rFonts w:asciiTheme="majorBidi" w:hAnsiTheme="majorBidi" w:cstheme="majorBidi"/>
                <w:sz w:val="22"/>
                <w:szCs w:val="22"/>
                <w:rtl/>
              </w:rPr>
              <w:t>= = =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75828" w14:textId="77777777" w:rsidR="008012D4" w:rsidRPr="008012D4" w:rsidRDefault="008012D4" w:rsidP="008012D4">
            <w:pPr>
              <w:jc w:val="center"/>
              <w:rPr>
                <w:rFonts w:asciiTheme="majorBidi" w:hAnsiTheme="majorBidi" w:cstheme="majorBidi"/>
                <w:b/>
                <w:bCs/>
                <w:sz w:val="22"/>
                <w:szCs w:val="22"/>
                <w:rtl/>
              </w:rPr>
            </w:pPr>
            <w:r w:rsidRPr="008012D4">
              <w:rPr>
                <w:rFonts w:asciiTheme="majorBidi" w:hAnsiTheme="majorBidi" w:cstheme="majorBidi"/>
                <w:b/>
                <w:bCs/>
                <w:sz w:val="22"/>
                <w:szCs w:val="22"/>
                <w:rtl/>
              </w:rPr>
              <w:t>1,077,115</w:t>
            </w:r>
          </w:p>
          <w:p w14:paraId="15F339C2" w14:textId="77777777" w:rsidR="00C91D49" w:rsidRPr="008012D4" w:rsidRDefault="00C91D49" w:rsidP="008012D4">
            <w:pPr>
              <w:spacing w:line="240" w:lineRule="auto"/>
              <w:jc w:val="center"/>
              <w:rPr>
                <w:rFonts w:asciiTheme="majorBidi" w:hAnsiTheme="majorBidi" w:cstheme="majorBidi"/>
                <w:b/>
                <w:bCs/>
                <w:sz w:val="22"/>
                <w:szCs w:val="22"/>
                <w:rtl/>
              </w:rPr>
            </w:pPr>
            <w:r w:rsidRPr="008012D4">
              <w:rPr>
                <w:rFonts w:asciiTheme="majorBidi" w:hAnsiTheme="majorBidi" w:cstheme="majorBidi"/>
                <w:sz w:val="22"/>
                <w:szCs w:val="22"/>
                <w:rtl/>
              </w:rPr>
              <w:t>= = = = =</w:t>
            </w:r>
          </w:p>
        </w:tc>
      </w:tr>
      <w:tr w:rsidR="008012D4" w14:paraId="59B2A7F6"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52D7B018" w14:textId="79C554C1"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Management and Central Services</w:t>
            </w:r>
          </w:p>
        </w:tc>
        <w:tc>
          <w:tcPr>
            <w:tcW w:w="1276" w:type="dxa"/>
            <w:tcBorders>
              <w:top w:val="single" w:sz="4" w:space="0" w:color="auto"/>
              <w:left w:val="single" w:sz="4" w:space="0" w:color="auto"/>
              <w:bottom w:val="single" w:sz="4" w:space="0" w:color="auto"/>
              <w:right w:val="single" w:sz="4" w:space="0" w:color="auto"/>
            </w:tcBorders>
          </w:tcPr>
          <w:p w14:paraId="378B5D9D" w14:textId="5916743D"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278,825</w:t>
            </w:r>
          </w:p>
        </w:tc>
        <w:tc>
          <w:tcPr>
            <w:tcW w:w="1821" w:type="dxa"/>
            <w:tcBorders>
              <w:top w:val="single" w:sz="4" w:space="0" w:color="auto"/>
              <w:left w:val="single" w:sz="4" w:space="0" w:color="auto"/>
              <w:bottom w:val="single" w:sz="4" w:space="0" w:color="auto"/>
              <w:right w:val="single" w:sz="4" w:space="0" w:color="auto"/>
            </w:tcBorders>
          </w:tcPr>
          <w:p w14:paraId="78932227" w14:textId="4DB2F375"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39,131</w:t>
            </w:r>
          </w:p>
        </w:tc>
        <w:tc>
          <w:tcPr>
            <w:tcW w:w="1156" w:type="dxa"/>
            <w:tcBorders>
              <w:top w:val="single" w:sz="4" w:space="0" w:color="auto"/>
              <w:left w:val="single" w:sz="4" w:space="0" w:color="auto"/>
              <w:bottom w:val="single" w:sz="4" w:space="0" w:color="auto"/>
              <w:right w:val="single" w:sz="4" w:space="0" w:color="auto"/>
            </w:tcBorders>
          </w:tcPr>
          <w:p w14:paraId="3F92355E" w14:textId="0CF38665"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381.3</w:t>
            </w:r>
          </w:p>
        </w:tc>
        <w:tc>
          <w:tcPr>
            <w:tcW w:w="1134" w:type="dxa"/>
            <w:tcBorders>
              <w:top w:val="single" w:sz="4" w:space="0" w:color="auto"/>
              <w:left w:val="single" w:sz="4" w:space="0" w:color="auto"/>
              <w:bottom w:val="single" w:sz="4" w:space="0" w:color="auto"/>
              <w:right w:val="single" w:sz="4" w:space="0" w:color="auto"/>
            </w:tcBorders>
          </w:tcPr>
          <w:p w14:paraId="67163315" w14:textId="49CA00DC"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272,031</w:t>
            </w:r>
          </w:p>
        </w:tc>
      </w:tr>
      <w:tr w:rsidR="008012D4" w14:paraId="7CCC83D3"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0368F749"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Performance of Bank’s functions</w:t>
            </w:r>
          </w:p>
        </w:tc>
        <w:tc>
          <w:tcPr>
            <w:tcW w:w="1276" w:type="dxa"/>
            <w:tcBorders>
              <w:top w:val="single" w:sz="4" w:space="0" w:color="auto"/>
              <w:left w:val="single" w:sz="4" w:space="0" w:color="auto"/>
              <w:bottom w:val="single" w:sz="4" w:space="0" w:color="auto"/>
              <w:right w:val="single" w:sz="4" w:space="0" w:color="auto"/>
            </w:tcBorders>
            <w:hideMark/>
          </w:tcPr>
          <w:p w14:paraId="6CE3642A" w14:textId="4C6CD8D9"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276,451</w:t>
            </w:r>
          </w:p>
        </w:tc>
        <w:tc>
          <w:tcPr>
            <w:tcW w:w="1821" w:type="dxa"/>
            <w:tcBorders>
              <w:top w:val="single" w:sz="4" w:space="0" w:color="auto"/>
              <w:left w:val="single" w:sz="4" w:space="0" w:color="auto"/>
              <w:bottom w:val="single" w:sz="4" w:space="0" w:color="auto"/>
              <w:right w:val="single" w:sz="4" w:space="0" w:color="auto"/>
            </w:tcBorders>
            <w:hideMark/>
          </w:tcPr>
          <w:p w14:paraId="6A868562" w14:textId="62ABB13E"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35,482</w:t>
            </w:r>
          </w:p>
        </w:tc>
        <w:tc>
          <w:tcPr>
            <w:tcW w:w="1156" w:type="dxa"/>
            <w:tcBorders>
              <w:top w:val="single" w:sz="4" w:space="0" w:color="auto"/>
              <w:left w:val="single" w:sz="4" w:space="0" w:color="auto"/>
              <w:bottom w:val="single" w:sz="4" w:space="0" w:color="auto"/>
              <w:right w:val="single" w:sz="4" w:space="0" w:color="auto"/>
            </w:tcBorders>
            <w:hideMark/>
          </w:tcPr>
          <w:p w14:paraId="45B7F09F" w14:textId="03F6C43B"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494.9</w:t>
            </w:r>
          </w:p>
        </w:tc>
        <w:tc>
          <w:tcPr>
            <w:tcW w:w="1134" w:type="dxa"/>
            <w:tcBorders>
              <w:top w:val="single" w:sz="4" w:space="0" w:color="auto"/>
              <w:left w:val="single" w:sz="4" w:space="0" w:color="auto"/>
              <w:bottom w:val="single" w:sz="4" w:space="0" w:color="auto"/>
              <w:right w:val="single" w:sz="4" w:space="0" w:color="auto"/>
            </w:tcBorders>
            <w:hideMark/>
          </w:tcPr>
          <w:p w14:paraId="3C96CC71" w14:textId="5707D330"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273,068</w:t>
            </w:r>
          </w:p>
        </w:tc>
      </w:tr>
      <w:tr w:rsidR="008012D4" w14:paraId="37909880"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792E7460"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Pensions</w:t>
            </w:r>
          </w:p>
        </w:tc>
        <w:tc>
          <w:tcPr>
            <w:tcW w:w="1276" w:type="dxa"/>
            <w:tcBorders>
              <w:top w:val="single" w:sz="4" w:space="0" w:color="auto"/>
              <w:left w:val="single" w:sz="4" w:space="0" w:color="auto"/>
              <w:bottom w:val="single" w:sz="4" w:space="0" w:color="auto"/>
              <w:right w:val="single" w:sz="4" w:space="0" w:color="auto"/>
            </w:tcBorders>
          </w:tcPr>
          <w:p w14:paraId="063374CC" w14:textId="3A33054A"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300,508</w:t>
            </w:r>
          </w:p>
        </w:tc>
        <w:tc>
          <w:tcPr>
            <w:tcW w:w="1821" w:type="dxa"/>
            <w:tcBorders>
              <w:top w:val="single" w:sz="4" w:space="0" w:color="auto"/>
              <w:left w:val="single" w:sz="4" w:space="0" w:color="auto"/>
              <w:bottom w:val="single" w:sz="4" w:space="0" w:color="auto"/>
              <w:right w:val="single" w:sz="4" w:space="0" w:color="auto"/>
            </w:tcBorders>
            <w:hideMark/>
          </w:tcPr>
          <w:p w14:paraId="7F147B90" w14:textId="098D99B2"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116</w:t>
            </w:r>
          </w:p>
        </w:tc>
        <w:tc>
          <w:tcPr>
            <w:tcW w:w="1156" w:type="dxa"/>
            <w:tcBorders>
              <w:top w:val="single" w:sz="4" w:space="0" w:color="auto"/>
              <w:left w:val="single" w:sz="4" w:space="0" w:color="auto"/>
              <w:bottom w:val="single" w:sz="4" w:space="0" w:color="auto"/>
              <w:right w:val="single" w:sz="4" w:space="0" w:color="auto"/>
            </w:tcBorders>
          </w:tcPr>
          <w:p w14:paraId="4FD55220" w14:textId="77777777" w:rsidR="008012D4" w:rsidRPr="008012D4" w:rsidRDefault="008012D4" w:rsidP="008012D4">
            <w:pPr>
              <w:spacing w:line="240" w:lineRule="auto"/>
              <w:jc w:val="center"/>
              <w:rPr>
                <w:rFonts w:asciiTheme="majorBidi" w:hAnsiTheme="majorBidi" w:cstheme="majorBid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5BC778E" w14:textId="73CAA104"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308,439</w:t>
            </w:r>
          </w:p>
        </w:tc>
      </w:tr>
      <w:tr w:rsidR="008012D4" w14:paraId="2B4E330C"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7E3F0BB3"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Investments</w:t>
            </w:r>
          </w:p>
        </w:tc>
        <w:tc>
          <w:tcPr>
            <w:tcW w:w="1276" w:type="dxa"/>
            <w:tcBorders>
              <w:top w:val="single" w:sz="4" w:space="0" w:color="auto"/>
              <w:left w:val="single" w:sz="4" w:space="0" w:color="auto"/>
              <w:bottom w:val="single" w:sz="4" w:space="0" w:color="auto"/>
              <w:right w:val="single" w:sz="4" w:space="0" w:color="auto"/>
            </w:tcBorders>
          </w:tcPr>
          <w:p w14:paraId="53B0C411" w14:textId="15AE253D"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45,371</w:t>
            </w:r>
          </w:p>
        </w:tc>
        <w:tc>
          <w:tcPr>
            <w:tcW w:w="1821" w:type="dxa"/>
            <w:tcBorders>
              <w:top w:val="single" w:sz="4" w:space="0" w:color="auto"/>
              <w:left w:val="single" w:sz="4" w:space="0" w:color="auto"/>
              <w:bottom w:val="single" w:sz="4" w:space="0" w:color="auto"/>
              <w:right w:val="single" w:sz="4" w:space="0" w:color="auto"/>
            </w:tcBorders>
            <w:hideMark/>
          </w:tcPr>
          <w:p w14:paraId="3F5EABB3" w14:textId="02B3ACE4"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38,184</w:t>
            </w:r>
          </w:p>
        </w:tc>
        <w:tc>
          <w:tcPr>
            <w:tcW w:w="1156" w:type="dxa"/>
            <w:tcBorders>
              <w:top w:val="single" w:sz="4" w:space="0" w:color="auto"/>
              <w:left w:val="single" w:sz="4" w:space="0" w:color="auto"/>
              <w:bottom w:val="single" w:sz="4" w:space="0" w:color="auto"/>
              <w:right w:val="single" w:sz="4" w:space="0" w:color="auto"/>
            </w:tcBorders>
          </w:tcPr>
          <w:p w14:paraId="2DEDBE9B" w14:textId="77777777" w:rsidR="008012D4" w:rsidRPr="008012D4" w:rsidRDefault="008012D4" w:rsidP="008012D4">
            <w:pPr>
              <w:spacing w:line="240" w:lineRule="auto"/>
              <w:jc w:val="center"/>
              <w:rPr>
                <w:rFonts w:asciiTheme="majorBidi" w:hAnsiTheme="majorBidi" w:cstheme="majorBid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4B60C37" w14:textId="119A6CA2"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46,405</w:t>
            </w:r>
          </w:p>
        </w:tc>
      </w:tr>
      <w:tr w:rsidR="008012D4" w14:paraId="33CDAE30"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64687716"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Income</w:t>
            </w:r>
          </w:p>
        </w:tc>
        <w:tc>
          <w:tcPr>
            <w:tcW w:w="1276" w:type="dxa"/>
            <w:tcBorders>
              <w:top w:val="single" w:sz="4" w:space="0" w:color="auto"/>
              <w:left w:val="single" w:sz="4" w:space="0" w:color="auto"/>
              <w:bottom w:val="single" w:sz="4" w:space="0" w:color="auto"/>
              <w:right w:val="single" w:sz="4" w:space="0" w:color="auto"/>
            </w:tcBorders>
          </w:tcPr>
          <w:p w14:paraId="16AD75AA" w14:textId="642F6E2F"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(8,281)</w:t>
            </w:r>
          </w:p>
        </w:tc>
        <w:tc>
          <w:tcPr>
            <w:tcW w:w="1821" w:type="dxa"/>
            <w:tcBorders>
              <w:top w:val="single" w:sz="4" w:space="0" w:color="auto"/>
              <w:left w:val="single" w:sz="4" w:space="0" w:color="auto"/>
              <w:bottom w:val="single" w:sz="4" w:space="0" w:color="auto"/>
              <w:right w:val="single" w:sz="4" w:space="0" w:color="auto"/>
            </w:tcBorders>
          </w:tcPr>
          <w:p w14:paraId="1787B91A" w14:textId="77777777" w:rsidR="008012D4" w:rsidRPr="008012D4" w:rsidRDefault="008012D4" w:rsidP="008012D4">
            <w:pPr>
              <w:spacing w:line="240" w:lineRule="auto"/>
              <w:jc w:val="center"/>
              <w:rPr>
                <w:rFonts w:asciiTheme="majorBidi" w:hAnsiTheme="majorBidi" w:cstheme="majorBidi"/>
                <w:sz w:val="22"/>
                <w:szCs w:val="22"/>
                <w:rtl/>
              </w:rPr>
            </w:pPr>
          </w:p>
        </w:tc>
        <w:tc>
          <w:tcPr>
            <w:tcW w:w="1156" w:type="dxa"/>
            <w:tcBorders>
              <w:top w:val="single" w:sz="4" w:space="0" w:color="auto"/>
              <w:left w:val="single" w:sz="4" w:space="0" w:color="auto"/>
              <w:bottom w:val="single" w:sz="4" w:space="0" w:color="auto"/>
              <w:right w:val="single" w:sz="4" w:space="0" w:color="auto"/>
            </w:tcBorders>
          </w:tcPr>
          <w:p w14:paraId="4CD4D2B7" w14:textId="77777777" w:rsidR="008012D4" w:rsidRPr="008012D4" w:rsidRDefault="008012D4" w:rsidP="008012D4">
            <w:pPr>
              <w:spacing w:line="240" w:lineRule="auto"/>
              <w:jc w:val="center"/>
              <w:rPr>
                <w:rFonts w:asciiTheme="majorBidi" w:hAnsiTheme="majorBidi" w:cstheme="majorBid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BA4A022" w14:textId="5C236BBF"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(7,851)</w:t>
            </w:r>
          </w:p>
        </w:tc>
      </w:tr>
      <w:tr w:rsidR="008012D4" w14:paraId="16EF3495"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4190A280"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Reserve</w:t>
            </w:r>
          </w:p>
        </w:tc>
        <w:tc>
          <w:tcPr>
            <w:tcW w:w="1276" w:type="dxa"/>
            <w:tcBorders>
              <w:top w:val="single" w:sz="4" w:space="0" w:color="auto"/>
              <w:left w:val="single" w:sz="4" w:space="0" w:color="auto"/>
              <w:bottom w:val="single" w:sz="4" w:space="0" w:color="auto"/>
              <w:right w:val="single" w:sz="4" w:space="0" w:color="auto"/>
            </w:tcBorders>
          </w:tcPr>
          <w:p w14:paraId="64B6EE53" w14:textId="2769D584"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18,506</w:t>
            </w:r>
          </w:p>
        </w:tc>
        <w:tc>
          <w:tcPr>
            <w:tcW w:w="1821" w:type="dxa"/>
            <w:tcBorders>
              <w:top w:val="single" w:sz="4" w:space="0" w:color="auto"/>
              <w:left w:val="single" w:sz="4" w:space="0" w:color="auto"/>
              <w:bottom w:val="single" w:sz="4" w:space="0" w:color="auto"/>
              <w:right w:val="single" w:sz="4" w:space="0" w:color="auto"/>
            </w:tcBorders>
            <w:hideMark/>
          </w:tcPr>
          <w:p w14:paraId="58E1E095" w14:textId="08ED7657"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13,000</w:t>
            </w:r>
          </w:p>
        </w:tc>
        <w:tc>
          <w:tcPr>
            <w:tcW w:w="1156" w:type="dxa"/>
            <w:tcBorders>
              <w:top w:val="single" w:sz="4" w:space="0" w:color="auto"/>
              <w:left w:val="single" w:sz="4" w:space="0" w:color="auto"/>
              <w:bottom w:val="single" w:sz="4" w:space="0" w:color="auto"/>
              <w:right w:val="single" w:sz="4" w:space="0" w:color="auto"/>
            </w:tcBorders>
            <w:hideMark/>
          </w:tcPr>
          <w:p w14:paraId="6C71ACB0" w14:textId="2A6BD3E8"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10</w:t>
            </w:r>
          </w:p>
        </w:tc>
        <w:tc>
          <w:tcPr>
            <w:tcW w:w="1134" w:type="dxa"/>
            <w:tcBorders>
              <w:top w:val="single" w:sz="4" w:space="0" w:color="auto"/>
              <w:left w:val="single" w:sz="4" w:space="0" w:color="auto"/>
              <w:bottom w:val="single" w:sz="4" w:space="0" w:color="auto"/>
              <w:right w:val="single" w:sz="4" w:space="0" w:color="auto"/>
            </w:tcBorders>
            <w:hideMark/>
          </w:tcPr>
          <w:p w14:paraId="5FFABFBE" w14:textId="776B5264"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13,497</w:t>
            </w:r>
          </w:p>
        </w:tc>
      </w:tr>
      <w:tr w:rsidR="008012D4" w14:paraId="41D8FC46"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1115AB3E"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Currency issue</w:t>
            </w:r>
          </w:p>
        </w:tc>
        <w:tc>
          <w:tcPr>
            <w:tcW w:w="1276" w:type="dxa"/>
            <w:tcBorders>
              <w:top w:val="single" w:sz="4" w:space="0" w:color="auto"/>
              <w:left w:val="single" w:sz="4" w:space="0" w:color="auto"/>
              <w:bottom w:val="single" w:sz="4" w:space="0" w:color="auto"/>
              <w:right w:val="single" w:sz="4" w:space="0" w:color="auto"/>
            </w:tcBorders>
          </w:tcPr>
          <w:p w14:paraId="075724CC" w14:textId="4817D309"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80,650</w:t>
            </w:r>
          </w:p>
        </w:tc>
        <w:tc>
          <w:tcPr>
            <w:tcW w:w="1821" w:type="dxa"/>
            <w:tcBorders>
              <w:top w:val="single" w:sz="4" w:space="0" w:color="auto"/>
              <w:left w:val="single" w:sz="4" w:space="0" w:color="auto"/>
              <w:bottom w:val="single" w:sz="4" w:space="0" w:color="auto"/>
              <w:right w:val="single" w:sz="4" w:space="0" w:color="auto"/>
            </w:tcBorders>
            <w:hideMark/>
          </w:tcPr>
          <w:p w14:paraId="352B4D39" w14:textId="2506C3C6"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148,888</w:t>
            </w:r>
          </w:p>
        </w:tc>
        <w:tc>
          <w:tcPr>
            <w:tcW w:w="1156" w:type="dxa"/>
            <w:tcBorders>
              <w:top w:val="single" w:sz="4" w:space="0" w:color="auto"/>
              <w:left w:val="single" w:sz="4" w:space="0" w:color="auto"/>
              <w:bottom w:val="single" w:sz="4" w:space="0" w:color="auto"/>
              <w:right w:val="single" w:sz="4" w:space="0" w:color="auto"/>
            </w:tcBorders>
          </w:tcPr>
          <w:p w14:paraId="593E5680" w14:textId="77777777" w:rsidR="008012D4" w:rsidRPr="008012D4" w:rsidRDefault="008012D4" w:rsidP="008012D4">
            <w:pPr>
              <w:spacing w:line="240" w:lineRule="auto"/>
              <w:jc w:val="center"/>
              <w:rPr>
                <w:rFonts w:asciiTheme="majorBidi" w:hAnsiTheme="majorBidi" w:cstheme="majorBid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78961B0" w14:textId="45790412"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80,803</w:t>
            </w:r>
          </w:p>
        </w:tc>
      </w:tr>
      <w:tr w:rsidR="008012D4" w14:paraId="70B2FA9B"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546C8E26" w14:textId="77777777" w:rsidR="008012D4" w:rsidRDefault="008012D4" w:rsidP="008012D4">
            <w:pPr>
              <w:spacing w:line="240" w:lineRule="auto"/>
              <w:jc w:val="left"/>
              <w:rPr>
                <w:rFonts w:asciiTheme="majorBidi" w:hAnsiTheme="majorBidi" w:cstheme="majorBidi"/>
                <w:sz w:val="22"/>
                <w:szCs w:val="22"/>
              </w:rPr>
            </w:pPr>
            <w:r w:rsidRPr="00BF67EC">
              <w:rPr>
                <w:rFonts w:asciiTheme="majorBidi" w:hAnsiTheme="majorBidi" w:cstheme="majorBidi"/>
                <w:sz w:val="22"/>
                <w:szCs w:val="22"/>
              </w:rPr>
              <w:t>Operation of the Citizens of Israel Fund for natural gas profits</w:t>
            </w:r>
          </w:p>
        </w:tc>
        <w:tc>
          <w:tcPr>
            <w:tcW w:w="1276" w:type="dxa"/>
            <w:tcBorders>
              <w:top w:val="single" w:sz="4" w:space="0" w:color="auto"/>
              <w:left w:val="single" w:sz="4" w:space="0" w:color="auto"/>
              <w:bottom w:val="single" w:sz="4" w:space="0" w:color="auto"/>
              <w:right w:val="single" w:sz="4" w:space="0" w:color="auto"/>
            </w:tcBorders>
          </w:tcPr>
          <w:p w14:paraId="6396302E" w14:textId="2C357417"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905</w:t>
            </w:r>
          </w:p>
        </w:tc>
        <w:tc>
          <w:tcPr>
            <w:tcW w:w="1821" w:type="dxa"/>
            <w:tcBorders>
              <w:top w:val="single" w:sz="4" w:space="0" w:color="auto"/>
              <w:left w:val="single" w:sz="4" w:space="0" w:color="auto"/>
              <w:bottom w:val="single" w:sz="4" w:space="0" w:color="auto"/>
              <w:right w:val="single" w:sz="4" w:space="0" w:color="auto"/>
            </w:tcBorders>
          </w:tcPr>
          <w:p w14:paraId="13C32F87" w14:textId="0F91422C"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169</w:t>
            </w:r>
          </w:p>
        </w:tc>
        <w:tc>
          <w:tcPr>
            <w:tcW w:w="1156" w:type="dxa"/>
            <w:tcBorders>
              <w:top w:val="single" w:sz="4" w:space="0" w:color="auto"/>
              <w:left w:val="single" w:sz="4" w:space="0" w:color="auto"/>
              <w:bottom w:val="single" w:sz="4" w:space="0" w:color="auto"/>
              <w:right w:val="single" w:sz="4" w:space="0" w:color="auto"/>
            </w:tcBorders>
          </w:tcPr>
          <w:p w14:paraId="42030737" w14:textId="60F16293"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8</w:t>
            </w:r>
          </w:p>
        </w:tc>
        <w:tc>
          <w:tcPr>
            <w:tcW w:w="1134" w:type="dxa"/>
            <w:tcBorders>
              <w:top w:val="single" w:sz="4" w:space="0" w:color="auto"/>
              <w:left w:val="single" w:sz="4" w:space="0" w:color="auto"/>
              <w:bottom w:val="single" w:sz="4" w:space="0" w:color="auto"/>
              <w:right w:val="single" w:sz="4" w:space="0" w:color="auto"/>
            </w:tcBorders>
          </w:tcPr>
          <w:p w14:paraId="0938932A" w14:textId="1F840F46"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1,567</w:t>
            </w:r>
          </w:p>
        </w:tc>
      </w:tr>
      <w:tr w:rsidR="008012D4" w14:paraId="1613015D" w14:textId="77777777" w:rsidTr="00222296">
        <w:tc>
          <w:tcPr>
            <w:tcW w:w="4531" w:type="dxa"/>
            <w:tcBorders>
              <w:top w:val="single" w:sz="4" w:space="0" w:color="auto"/>
              <w:left w:val="single" w:sz="4" w:space="0" w:color="auto"/>
              <w:bottom w:val="single" w:sz="4" w:space="0" w:color="auto"/>
              <w:right w:val="single" w:sz="4" w:space="0" w:color="auto"/>
            </w:tcBorders>
            <w:vAlign w:val="center"/>
          </w:tcPr>
          <w:p w14:paraId="7B03E618" w14:textId="77777777" w:rsidR="008012D4" w:rsidRDefault="008012D4" w:rsidP="008012D4">
            <w:pPr>
              <w:spacing w:line="240" w:lineRule="auto"/>
              <w:jc w:val="left"/>
              <w:rPr>
                <w:rFonts w:asciiTheme="majorBidi" w:hAnsiTheme="majorBidi" w:cstheme="majorBidi"/>
                <w:sz w:val="22"/>
                <w:szCs w:val="22"/>
              </w:rPr>
            </w:pPr>
            <w:r>
              <w:rPr>
                <w:rFonts w:asciiTheme="majorBidi" w:hAnsiTheme="majorBidi" w:cstheme="majorBidi"/>
                <w:sz w:val="22"/>
                <w:szCs w:val="22"/>
              </w:rPr>
              <w:t>Credit data system</w:t>
            </w:r>
          </w:p>
        </w:tc>
        <w:tc>
          <w:tcPr>
            <w:tcW w:w="1276" w:type="dxa"/>
            <w:tcBorders>
              <w:top w:val="single" w:sz="4" w:space="0" w:color="auto"/>
              <w:left w:val="single" w:sz="4" w:space="0" w:color="auto"/>
              <w:bottom w:val="single" w:sz="4" w:space="0" w:color="auto"/>
              <w:right w:val="single" w:sz="4" w:space="0" w:color="auto"/>
            </w:tcBorders>
          </w:tcPr>
          <w:p w14:paraId="5F9F29D7" w14:textId="139C2312"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115,900</w:t>
            </w:r>
          </w:p>
        </w:tc>
        <w:tc>
          <w:tcPr>
            <w:tcW w:w="1821" w:type="dxa"/>
            <w:tcBorders>
              <w:top w:val="single" w:sz="4" w:space="0" w:color="auto"/>
              <w:left w:val="single" w:sz="4" w:space="0" w:color="auto"/>
              <w:bottom w:val="single" w:sz="4" w:space="0" w:color="auto"/>
              <w:right w:val="single" w:sz="4" w:space="0" w:color="auto"/>
            </w:tcBorders>
            <w:hideMark/>
          </w:tcPr>
          <w:p w14:paraId="78151882" w14:textId="04C9FD5E"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153,395</w:t>
            </w:r>
          </w:p>
        </w:tc>
        <w:tc>
          <w:tcPr>
            <w:tcW w:w="1156" w:type="dxa"/>
            <w:tcBorders>
              <w:top w:val="single" w:sz="4" w:space="0" w:color="auto"/>
              <w:left w:val="single" w:sz="4" w:space="0" w:color="auto"/>
              <w:bottom w:val="single" w:sz="4" w:space="0" w:color="auto"/>
              <w:right w:val="single" w:sz="4" w:space="0" w:color="auto"/>
            </w:tcBorders>
            <w:hideMark/>
          </w:tcPr>
          <w:p w14:paraId="5C5A39A6" w14:textId="15B44370" w:rsidR="008012D4" w:rsidRPr="008012D4" w:rsidRDefault="008012D4" w:rsidP="008012D4">
            <w:pPr>
              <w:spacing w:line="240" w:lineRule="auto"/>
              <w:jc w:val="center"/>
              <w:rPr>
                <w:rFonts w:asciiTheme="majorBidi" w:hAnsiTheme="majorBidi" w:cstheme="majorBidi"/>
                <w:sz w:val="22"/>
                <w:szCs w:val="22"/>
                <w:rtl/>
              </w:rPr>
            </w:pPr>
            <w:r w:rsidRPr="008012D4">
              <w:rPr>
                <w:rFonts w:asciiTheme="majorBidi" w:hAnsiTheme="majorBidi" w:cstheme="majorBidi"/>
                <w:sz w:val="22"/>
                <w:szCs w:val="22"/>
                <w:rtl/>
              </w:rPr>
              <w:t>56.5</w:t>
            </w:r>
          </w:p>
        </w:tc>
        <w:tc>
          <w:tcPr>
            <w:tcW w:w="1134" w:type="dxa"/>
            <w:tcBorders>
              <w:top w:val="single" w:sz="4" w:space="0" w:color="auto"/>
              <w:left w:val="single" w:sz="4" w:space="0" w:color="auto"/>
              <w:bottom w:val="single" w:sz="4" w:space="0" w:color="auto"/>
              <w:right w:val="single" w:sz="4" w:space="0" w:color="auto"/>
            </w:tcBorders>
            <w:hideMark/>
          </w:tcPr>
          <w:p w14:paraId="0C626A0D" w14:textId="545637BE" w:rsidR="008012D4" w:rsidRPr="008012D4" w:rsidRDefault="008012D4" w:rsidP="008012D4">
            <w:pPr>
              <w:spacing w:line="240" w:lineRule="auto"/>
              <w:jc w:val="center"/>
              <w:rPr>
                <w:rFonts w:asciiTheme="majorBidi" w:hAnsiTheme="majorBidi" w:cstheme="majorBidi"/>
                <w:sz w:val="22"/>
                <w:szCs w:val="22"/>
              </w:rPr>
            </w:pPr>
            <w:r w:rsidRPr="008012D4">
              <w:rPr>
                <w:rFonts w:asciiTheme="majorBidi" w:hAnsiTheme="majorBidi" w:cstheme="majorBidi"/>
                <w:sz w:val="22"/>
                <w:szCs w:val="22"/>
                <w:rtl/>
              </w:rPr>
              <w:t>89,156</w:t>
            </w:r>
          </w:p>
        </w:tc>
      </w:tr>
    </w:tbl>
    <w:p w14:paraId="72280188" w14:textId="77777777" w:rsidR="00687F53" w:rsidRDefault="00687F53" w:rsidP="00687F53">
      <w:pPr>
        <w:pStyle w:val="regpar"/>
        <w:spacing w:line="240" w:lineRule="auto"/>
        <w:ind w:firstLine="0"/>
        <w:jc w:val="center"/>
        <w:rPr>
          <w:rtl/>
        </w:rPr>
      </w:pPr>
    </w:p>
    <w:p w14:paraId="49F933D0" w14:textId="77777777" w:rsidR="00687F53" w:rsidRDefault="00687F53" w:rsidP="00901F1C">
      <w:pPr>
        <w:pStyle w:val="regpar"/>
        <w:ind w:firstLine="0"/>
        <w:jc w:val="left"/>
      </w:pPr>
    </w:p>
    <w:sectPr w:rsidR="00687F53" w:rsidSect="00B77994">
      <w:headerReference w:type="first" r:id="rId12"/>
      <w:footerReference w:type="first" r:id="rId13"/>
      <w:endnotePr>
        <w:numFmt w:val="hebrew2"/>
      </w:endnotePr>
      <w:pgSz w:w="11880" w:h="16820"/>
      <w:pgMar w:top="624" w:right="1390" w:bottom="567" w:left="1418" w:header="57" w:footer="283" w:gutter="0"/>
      <w:cols w:space="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245D" w14:textId="77777777" w:rsidR="008938EE" w:rsidRDefault="008938EE">
      <w:pPr>
        <w:spacing w:line="240" w:lineRule="auto"/>
      </w:pPr>
      <w:r>
        <w:separator/>
      </w:r>
    </w:p>
  </w:endnote>
  <w:endnote w:type="continuationSeparator" w:id="0">
    <w:p w14:paraId="591EAA01" w14:textId="77777777" w:rsidR="008938EE" w:rsidRDefault="00893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934E" w14:textId="7F42F61A" w:rsidR="008712AE" w:rsidRDefault="008712AE" w:rsidP="008712AE">
    <w:pPr>
      <w:pStyle w:val="a3"/>
      <w:jc w:val="center"/>
    </w:pPr>
    <w:r>
      <w:t>POB 780, 91007 Jerusalem  Tel: 972–2–6552713</w:t>
    </w:r>
  </w:p>
  <w:p w14:paraId="6C9C58E9" w14:textId="555021E2" w:rsidR="00B77994" w:rsidRDefault="008938EE" w:rsidP="008712AE">
    <w:pPr>
      <w:pStyle w:val="a3"/>
      <w:jc w:val="center"/>
    </w:pPr>
    <w:hyperlink r:id="rId1" w:history="1">
      <w:r w:rsidR="008712AE" w:rsidRPr="00683F05">
        <w:rPr>
          <w:rStyle w:val="Hyperlink"/>
        </w:rPr>
        <w:t>www.boi.org.il</w:t>
      </w:r>
    </w:hyperlink>
    <w:r w:rsidR="008712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32D8" w14:textId="77777777" w:rsidR="008938EE" w:rsidRDefault="008938EE">
      <w:pPr>
        <w:spacing w:line="160" w:lineRule="exact"/>
      </w:pPr>
    </w:p>
  </w:footnote>
  <w:footnote w:type="continuationSeparator" w:id="0">
    <w:p w14:paraId="06E3839D" w14:textId="77777777" w:rsidR="008938EE" w:rsidRDefault="008938EE">
      <w:pPr>
        <w:pStyle w:val="rule"/>
      </w:pPr>
      <w:r>
        <w:t>–––––––––––––––––––––––––––</w:t>
      </w:r>
    </w:p>
    <w:p w14:paraId="613CC200" w14:textId="77777777" w:rsidR="008938EE" w:rsidRDefault="008938EE">
      <w:pPr>
        <w:pStyle w:val="noteseparator"/>
      </w:pPr>
    </w:p>
  </w:footnote>
  <w:footnote w:id="1">
    <w:p w14:paraId="03CFB9D1" w14:textId="2C238EC2" w:rsidR="00687F53" w:rsidRDefault="00687F53" w:rsidP="00396E7E">
      <w:pPr>
        <w:pStyle w:val="a8"/>
        <w:spacing w:line="240" w:lineRule="auto"/>
      </w:pPr>
      <w:r>
        <w:rPr>
          <w:rStyle w:val="a7"/>
        </w:rPr>
        <w:footnoteRef/>
      </w:r>
      <w:r>
        <w:t xml:space="preserve"> </w:t>
      </w:r>
      <w:r w:rsidR="003C2E58">
        <w:t>Under the Bank of Israel Law, 5770–2010, t</w:t>
      </w:r>
      <w:r>
        <w:t>he Supervisory Council</w:t>
      </w:r>
      <w:r w:rsidR="003C2E58">
        <w:t xml:space="preserve"> </w:t>
      </w:r>
      <w:r>
        <w:t xml:space="preserve">is the </w:t>
      </w:r>
      <w:r w:rsidR="00396E7E">
        <w:t>entity</w:t>
      </w:r>
      <w:r>
        <w:t xml:space="preserve"> charged with supervising the administrative activity of the Bank of Israel. The Supervisory Council consists mostly of members from among the public. </w:t>
      </w:r>
    </w:p>
    <w:p w14:paraId="531840B2" w14:textId="77777777" w:rsidR="00687F53" w:rsidRDefault="00687F53" w:rsidP="00687F53">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DCFF" w14:textId="77777777" w:rsidR="00B77994" w:rsidRDefault="00B77994" w:rsidP="00B77994">
    <w:pPr>
      <w:pStyle w:val="a5"/>
    </w:pPr>
  </w:p>
  <w:p w14:paraId="6E9B076A" w14:textId="0E805406" w:rsidR="00B77994" w:rsidRDefault="00B77994" w:rsidP="00B77994">
    <w:pPr>
      <w:pStyle w:val="regpar"/>
      <w:ind w:firstLine="0"/>
      <w:jc w:val="center"/>
      <w:rPr>
        <w:b/>
      </w:rPr>
    </w:pPr>
  </w:p>
  <w:p w14:paraId="4C78532F" w14:textId="77777777" w:rsidR="00B77994" w:rsidRDefault="00B77994" w:rsidP="00B77994">
    <w:pPr>
      <w:pStyle w:val="regpar"/>
      <w:ind w:firstLine="0"/>
      <w:jc w:val="left"/>
      <w:rPr>
        <w:b/>
      </w:rPr>
    </w:pPr>
  </w:p>
  <w:p w14:paraId="3F1C1EA5" w14:textId="77777777" w:rsidR="00B77994" w:rsidRDefault="00B77994" w:rsidP="00B77994">
    <w:pPr>
      <w:pStyle w:val="regpar"/>
      <w:ind w:firstLine="0"/>
      <w:jc w:val="center"/>
      <w:rPr>
        <w:b/>
        <w:sz w:val="28"/>
        <w:szCs w:val="28"/>
      </w:rPr>
    </w:pPr>
  </w:p>
  <w:p w14:paraId="34D08159" w14:textId="77777777" w:rsidR="00B77994" w:rsidRDefault="00B77994" w:rsidP="00B77994">
    <w:pPr>
      <w:pStyle w:val="regpar"/>
      <w:ind w:firstLine="0"/>
      <w:jc w:val="center"/>
      <w:rPr>
        <w:b/>
        <w:sz w:val="28"/>
        <w:szCs w:val="28"/>
      </w:rPr>
    </w:pPr>
  </w:p>
  <w:p w14:paraId="5D2D4E61" w14:textId="69557542" w:rsidR="00B77994" w:rsidRDefault="00B77994" w:rsidP="00B77994">
    <w:pPr>
      <w:pStyle w:val="regpa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163E01A4"/>
    <w:multiLevelType w:val="hybridMultilevel"/>
    <w:tmpl w:val="4D1E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946A2"/>
    <w:multiLevelType w:val="hybridMultilevel"/>
    <w:tmpl w:val="67DE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E0607"/>
    <w:multiLevelType w:val="hybridMultilevel"/>
    <w:tmpl w:val="52A4DB4A"/>
    <w:lvl w:ilvl="0" w:tplc="3E90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5AE25579"/>
    <w:multiLevelType w:val="hybridMultilevel"/>
    <w:tmpl w:val="BA969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C683AED"/>
    <w:multiLevelType w:val="hybridMultilevel"/>
    <w:tmpl w:val="AE5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661E5368"/>
    <w:multiLevelType w:val="hybridMultilevel"/>
    <w:tmpl w:val="EFA6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242A3"/>
    <w:multiLevelType w:val="hybridMultilevel"/>
    <w:tmpl w:val="5E1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6"/>
  </w:num>
  <w:num w:numId="3">
    <w:abstractNumId w:val="9"/>
  </w:num>
  <w:num w:numId="4">
    <w:abstractNumId w:val="11"/>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8"/>
  </w:num>
  <w:num w:numId="11">
    <w:abstractNumId w:val="3"/>
  </w:num>
  <w:num w:numId="12">
    <w:abstractNumId w:val="12"/>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63E"/>
    <w:rsid w:val="00002A48"/>
    <w:rsid w:val="00005737"/>
    <w:rsid w:val="00014291"/>
    <w:rsid w:val="000159F3"/>
    <w:rsid w:val="00016705"/>
    <w:rsid w:val="00016929"/>
    <w:rsid w:val="00017E04"/>
    <w:rsid w:val="000243D9"/>
    <w:rsid w:val="00026F35"/>
    <w:rsid w:val="000305B1"/>
    <w:rsid w:val="00040D56"/>
    <w:rsid w:val="000466C2"/>
    <w:rsid w:val="000502D1"/>
    <w:rsid w:val="00054561"/>
    <w:rsid w:val="000614E5"/>
    <w:rsid w:val="00066C5D"/>
    <w:rsid w:val="00067EAC"/>
    <w:rsid w:val="00070F2C"/>
    <w:rsid w:val="00071266"/>
    <w:rsid w:val="00072BD6"/>
    <w:rsid w:val="0007485B"/>
    <w:rsid w:val="00076856"/>
    <w:rsid w:val="00077915"/>
    <w:rsid w:val="00084303"/>
    <w:rsid w:val="00084E4D"/>
    <w:rsid w:val="000868A3"/>
    <w:rsid w:val="00093619"/>
    <w:rsid w:val="00093A61"/>
    <w:rsid w:val="00093D77"/>
    <w:rsid w:val="00094FFA"/>
    <w:rsid w:val="000A0AE8"/>
    <w:rsid w:val="000A6E05"/>
    <w:rsid w:val="000B2451"/>
    <w:rsid w:val="000B5143"/>
    <w:rsid w:val="000B5B71"/>
    <w:rsid w:val="000C1242"/>
    <w:rsid w:val="000D3201"/>
    <w:rsid w:val="000D3F79"/>
    <w:rsid w:val="000E08B9"/>
    <w:rsid w:val="000E2C08"/>
    <w:rsid w:val="000E2EB0"/>
    <w:rsid w:val="000F535B"/>
    <w:rsid w:val="000F755D"/>
    <w:rsid w:val="00102695"/>
    <w:rsid w:val="00104F58"/>
    <w:rsid w:val="00110016"/>
    <w:rsid w:val="001116D7"/>
    <w:rsid w:val="001140C0"/>
    <w:rsid w:val="00114F59"/>
    <w:rsid w:val="001172A8"/>
    <w:rsid w:val="00121BED"/>
    <w:rsid w:val="001239DD"/>
    <w:rsid w:val="00124ED8"/>
    <w:rsid w:val="00126370"/>
    <w:rsid w:val="00127549"/>
    <w:rsid w:val="00130460"/>
    <w:rsid w:val="00143931"/>
    <w:rsid w:val="00143F0D"/>
    <w:rsid w:val="0014603A"/>
    <w:rsid w:val="001550A7"/>
    <w:rsid w:val="00160123"/>
    <w:rsid w:val="00161743"/>
    <w:rsid w:val="00164912"/>
    <w:rsid w:val="0016621D"/>
    <w:rsid w:val="00173702"/>
    <w:rsid w:val="0018444C"/>
    <w:rsid w:val="00187782"/>
    <w:rsid w:val="00187D68"/>
    <w:rsid w:val="00190845"/>
    <w:rsid w:val="00190909"/>
    <w:rsid w:val="00194F7F"/>
    <w:rsid w:val="00197CA2"/>
    <w:rsid w:val="001A2237"/>
    <w:rsid w:val="001A4A2B"/>
    <w:rsid w:val="001A6127"/>
    <w:rsid w:val="001B0294"/>
    <w:rsid w:val="001B4B84"/>
    <w:rsid w:val="001B4F92"/>
    <w:rsid w:val="001B69BB"/>
    <w:rsid w:val="001C1743"/>
    <w:rsid w:val="001C209A"/>
    <w:rsid w:val="001C502E"/>
    <w:rsid w:val="001C5614"/>
    <w:rsid w:val="001D57CD"/>
    <w:rsid w:val="001D5EBA"/>
    <w:rsid w:val="001E2931"/>
    <w:rsid w:val="001E417F"/>
    <w:rsid w:val="001E6D0C"/>
    <w:rsid w:val="001E6DD3"/>
    <w:rsid w:val="001F28E6"/>
    <w:rsid w:val="001F51F4"/>
    <w:rsid w:val="001F5976"/>
    <w:rsid w:val="00203B3D"/>
    <w:rsid w:val="00210F11"/>
    <w:rsid w:val="00212EBE"/>
    <w:rsid w:val="00221ABA"/>
    <w:rsid w:val="002230DC"/>
    <w:rsid w:val="002232E4"/>
    <w:rsid w:val="00236391"/>
    <w:rsid w:val="00243044"/>
    <w:rsid w:val="00246FA7"/>
    <w:rsid w:val="00250C32"/>
    <w:rsid w:val="0025222B"/>
    <w:rsid w:val="00263AC9"/>
    <w:rsid w:val="00267BB7"/>
    <w:rsid w:val="00275B82"/>
    <w:rsid w:val="00276225"/>
    <w:rsid w:val="00283C91"/>
    <w:rsid w:val="002878D8"/>
    <w:rsid w:val="0028797C"/>
    <w:rsid w:val="00293AA9"/>
    <w:rsid w:val="00295684"/>
    <w:rsid w:val="002A325D"/>
    <w:rsid w:val="002A5885"/>
    <w:rsid w:val="002A5EE7"/>
    <w:rsid w:val="002C31A2"/>
    <w:rsid w:val="002C5B02"/>
    <w:rsid w:val="002D0B04"/>
    <w:rsid w:val="002D460E"/>
    <w:rsid w:val="002D5769"/>
    <w:rsid w:val="002D6616"/>
    <w:rsid w:val="002D6644"/>
    <w:rsid w:val="002D69E6"/>
    <w:rsid w:val="002D7400"/>
    <w:rsid w:val="002E5259"/>
    <w:rsid w:val="002E77B6"/>
    <w:rsid w:val="002F02D1"/>
    <w:rsid w:val="002F761B"/>
    <w:rsid w:val="00302325"/>
    <w:rsid w:val="003121C6"/>
    <w:rsid w:val="0031394B"/>
    <w:rsid w:val="003140DF"/>
    <w:rsid w:val="00316F1F"/>
    <w:rsid w:val="00323D8C"/>
    <w:rsid w:val="00324613"/>
    <w:rsid w:val="00327BCD"/>
    <w:rsid w:val="00333620"/>
    <w:rsid w:val="00333F56"/>
    <w:rsid w:val="003370E3"/>
    <w:rsid w:val="003445F3"/>
    <w:rsid w:val="003456A1"/>
    <w:rsid w:val="00347069"/>
    <w:rsid w:val="00347EEC"/>
    <w:rsid w:val="00350413"/>
    <w:rsid w:val="00350B5F"/>
    <w:rsid w:val="003514AB"/>
    <w:rsid w:val="00354C47"/>
    <w:rsid w:val="00357E66"/>
    <w:rsid w:val="003605C6"/>
    <w:rsid w:val="00366DB8"/>
    <w:rsid w:val="00367A32"/>
    <w:rsid w:val="00376023"/>
    <w:rsid w:val="00376976"/>
    <w:rsid w:val="003814C4"/>
    <w:rsid w:val="00383973"/>
    <w:rsid w:val="00387675"/>
    <w:rsid w:val="00392558"/>
    <w:rsid w:val="003938F8"/>
    <w:rsid w:val="00395D70"/>
    <w:rsid w:val="00396E7E"/>
    <w:rsid w:val="003A0963"/>
    <w:rsid w:val="003A1107"/>
    <w:rsid w:val="003A3B39"/>
    <w:rsid w:val="003B0942"/>
    <w:rsid w:val="003B4074"/>
    <w:rsid w:val="003B42AA"/>
    <w:rsid w:val="003B4DF1"/>
    <w:rsid w:val="003C2E58"/>
    <w:rsid w:val="003C3B6F"/>
    <w:rsid w:val="003C6E15"/>
    <w:rsid w:val="003D0E36"/>
    <w:rsid w:val="003D71F7"/>
    <w:rsid w:val="003E107B"/>
    <w:rsid w:val="003F360E"/>
    <w:rsid w:val="004002DD"/>
    <w:rsid w:val="00402AF6"/>
    <w:rsid w:val="00403AF2"/>
    <w:rsid w:val="0040533A"/>
    <w:rsid w:val="00405AA2"/>
    <w:rsid w:val="00406562"/>
    <w:rsid w:val="00406709"/>
    <w:rsid w:val="00406809"/>
    <w:rsid w:val="00407252"/>
    <w:rsid w:val="00421E16"/>
    <w:rsid w:val="00423781"/>
    <w:rsid w:val="0042406A"/>
    <w:rsid w:val="004266FD"/>
    <w:rsid w:val="004307F0"/>
    <w:rsid w:val="004350D1"/>
    <w:rsid w:val="004356C6"/>
    <w:rsid w:val="004361EA"/>
    <w:rsid w:val="00437FD7"/>
    <w:rsid w:val="00441DC9"/>
    <w:rsid w:val="00445085"/>
    <w:rsid w:val="00452814"/>
    <w:rsid w:val="00454C06"/>
    <w:rsid w:val="00457687"/>
    <w:rsid w:val="004576AA"/>
    <w:rsid w:val="004655E8"/>
    <w:rsid w:val="00472FB7"/>
    <w:rsid w:val="004735EC"/>
    <w:rsid w:val="00481D7F"/>
    <w:rsid w:val="00482641"/>
    <w:rsid w:val="00482B8E"/>
    <w:rsid w:val="004839AA"/>
    <w:rsid w:val="00484A86"/>
    <w:rsid w:val="00492029"/>
    <w:rsid w:val="004A0A80"/>
    <w:rsid w:val="004A2970"/>
    <w:rsid w:val="004B0811"/>
    <w:rsid w:val="004C5B3B"/>
    <w:rsid w:val="004C7155"/>
    <w:rsid w:val="004D0449"/>
    <w:rsid w:val="004D197A"/>
    <w:rsid w:val="004D5337"/>
    <w:rsid w:val="004D55DA"/>
    <w:rsid w:val="004E1F79"/>
    <w:rsid w:val="004E7032"/>
    <w:rsid w:val="004F23C9"/>
    <w:rsid w:val="004F5A85"/>
    <w:rsid w:val="004F7CE7"/>
    <w:rsid w:val="00500F8B"/>
    <w:rsid w:val="00503622"/>
    <w:rsid w:val="00515681"/>
    <w:rsid w:val="00517461"/>
    <w:rsid w:val="005177D1"/>
    <w:rsid w:val="00517FD4"/>
    <w:rsid w:val="005273A2"/>
    <w:rsid w:val="00530C47"/>
    <w:rsid w:val="005317F2"/>
    <w:rsid w:val="00531AD1"/>
    <w:rsid w:val="00533BD5"/>
    <w:rsid w:val="00536575"/>
    <w:rsid w:val="0054075A"/>
    <w:rsid w:val="005427A9"/>
    <w:rsid w:val="005504CF"/>
    <w:rsid w:val="00552399"/>
    <w:rsid w:val="00552922"/>
    <w:rsid w:val="0055658B"/>
    <w:rsid w:val="005602EC"/>
    <w:rsid w:val="0056099E"/>
    <w:rsid w:val="00562B0B"/>
    <w:rsid w:val="005676E1"/>
    <w:rsid w:val="0058092D"/>
    <w:rsid w:val="0058112B"/>
    <w:rsid w:val="00581AE6"/>
    <w:rsid w:val="00590949"/>
    <w:rsid w:val="00591171"/>
    <w:rsid w:val="00594895"/>
    <w:rsid w:val="005A3664"/>
    <w:rsid w:val="005A5253"/>
    <w:rsid w:val="005B0C33"/>
    <w:rsid w:val="005B0DB8"/>
    <w:rsid w:val="005B5BFC"/>
    <w:rsid w:val="005B6B00"/>
    <w:rsid w:val="005C1FAF"/>
    <w:rsid w:val="005C635F"/>
    <w:rsid w:val="005C76FF"/>
    <w:rsid w:val="005D0971"/>
    <w:rsid w:val="005D175A"/>
    <w:rsid w:val="005D225E"/>
    <w:rsid w:val="005D26C5"/>
    <w:rsid w:val="005D4700"/>
    <w:rsid w:val="005E1AD6"/>
    <w:rsid w:val="005E23D5"/>
    <w:rsid w:val="005E795F"/>
    <w:rsid w:val="006031D8"/>
    <w:rsid w:val="00604840"/>
    <w:rsid w:val="00611232"/>
    <w:rsid w:val="0061268B"/>
    <w:rsid w:val="00612A07"/>
    <w:rsid w:val="00613B3E"/>
    <w:rsid w:val="00617A39"/>
    <w:rsid w:val="00621DB2"/>
    <w:rsid w:val="00624732"/>
    <w:rsid w:val="00632487"/>
    <w:rsid w:val="0063248B"/>
    <w:rsid w:val="0063391C"/>
    <w:rsid w:val="00641FBE"/>
    <w:rsid w:val="006446DA"/>
    <w:rsid w:val="00644EC6"/>
    <w:rsid w:val="00645241"/>
    <w:rsid w:val="0064598C"/>
    <w:rsid w:val="00645B7A"/>
    <w:rsid w:val="00650B9A"/>
    <w:rsid w:val="00653813"/>
    <w:rsid w:val="006540CC"/>
    <w:rsid w:val="0065491B"/>
    <w:rsid w:val="00655D2E"/>
    <w:rsid w:val="00660075"/>
    <w:rsid w:val="00677C0C"/>
    <w:rsid w:val="00681BC1"/>
    <w:rsid w:val="00683C36"/>
    <w:rsid w:val="00684279"/>
    <w:rsid w:val="00687F53"/>
    <w:rsid w:val="006918C1"/>
    <w:rsid w:val="00694066"/>
    <w:rsid w:val="00696506"/>
    <w:rsid w:val="006A29C7"/>
    <w:rsid w:val="006A2E45"/>
    <w:rsid w:val="006A36A4"/>
    <w:rsid w:val="006A56FF"/>
    <w:rsid w:val="006A761D"/>
    <w:rsid w:val="006A7B15"/>
    <w:rsid w:val="006B03B7"/>
    <w:rsid w:val="006B3860"/>
    <w:rsid w:val="006B39E9"/>
    <w:rsid w:val="006B571A"/>
    <w:rsid w:val="006C0FD5"/>
    <w:rsid w:val="006C17E0"/>
    <w:rsid w:val="006D10C5"/>
    <w:rsid w:val="006E30C1"/>
    <w:rsid w:val="006E33B5"/>
    <w:rsid w:val="006E35F9"/>
    <w:rsid w:val="006F331D"/>
    <w:rsid w:val="00700194"/>
    <w:rsid w:val="007012E2"/>
    <w:rsid w:val="00701620"/>
    <w:rsid w:val="00702486"/>
    <w:rsid w:val="00702515"/>
    <w:rsid w:val="00706A01"/>
    <w:rsid w:val="0071317E"/>
    <w:rsid w:val="00726929"/>
    <w:rsid w:val="00730C23"/>
    <w:rsid w:val="00730F15"/>
    <w:rsid w:val="007342CE"/>
    <w:rsid w:val="00740582"/>
    <w:rsid w:val="007414E1"/>
    <w:rsid w:val="00741B11"/>
    <w:rsid w:val="00750904"/>
    <w:rsid w:val="00757654"/>
    <w:rsid w:val="007617BD"/>
    <w:rsid w:val="0076603C"/>
    <w:rsid w:val="00770D80"/>
    <w:rsid w:val="00772339"/>
    <w:rsid w:val="00773CC8"/>
    <w:rsid w:val="007749AB"/>
    <w:rsid w:val="00781542"/>
    <w:rsid w:val="0078710E"/>
    <w:rsid w:val="00787F4C"/>
    <w:rsid w:val="00790523"/>
    <w:rsid w:val="007917B0"/>
    <w:rsid w:val="0079604D"/>
    <w:rsid w:val="007A1002"/>
    <w:rsid w:val="007A1A5F"/>
    <w:rsid w:val="007A34C9"/>
    <w:rsid w:val="007A6C5D"/>
    <w:rsid w:val="007A7425"/>
    <w:rsid w:val="007A7980"/>
    <w:rsid w:val="007B04FD"/>
    <w:rsid w:val="007B71B6"/>
    <w:rsid w:val="007B7BC6"/>
    <w:rsid w:val="007C1B58"/>
    <w:rsid w:val="007C4CC0"/>
    <w:rsid w:val="007D41E1"/>
    <w:rsid w:val="007E1A57"/>
    <w:rsid w:val="007E616F"/>
    <w:rsid w:val="007F0611"/>
    <w:rsid w:val="007F2CA6"/>
    <w:rsid w:val="007F423C"/>
    <w:rsid w:val="007F5EA9"/>
    <w:rsid w:val="007F71A7"/>
    <w:rsid w:val="008012D4"/>
    <w:rsid w:val="00801CA2"/>
    <w:rsid w:val="00802625"/>
    <w:rsid w:val="00802BDE"/>
    <w:rsid w:val="00802BFE"/>
    <w:rsid w:val="008052DA"/>
    <w:rsid w:val="00807431"/>
    <w:rsid w:val="00810763"/>
    <w:rsid w:val="0081676A"/>
    <w:rsid w:val="00821C1F"/>
    <w:rsid w:val="008263FA"/>
    <w:rsid w:val="00826845"/>
    <w:rsid w:val="00831781"/>
    <w:rsid w:val="00835E59"/>
    <w:rsid w:val="00836106"/>
    <w:rsid w:val="00836D7A"/>
    <w:rsid w:val="00841E41"/>
    <w:rsid w:val="0084331E"/>
    <w:rsid w:val="00843E13"/>
    <w:rsid w:val="00843F4B"/>
    <w:rsid w:val="00850A5F"/>
    <w:rsid w:val="00850D4E"/>
    <w:rsid w:val="00853C73"/>
    <w:rsid w:val="00857394"/>
    <w:rsid w:val="008600E4"/>
    <w:rsid w:val="00861CEC"/>
    <w:rsid w:val="00864131"/>
    <w:rsid w:val="00864F06"/>
    <w:rsid w:val="008676DF"/>
    <w:rsid w:val="008712AE"/>
    <w:rsid w:val="00872CF4"/>
    <w:rsid w:val="008760BA"/>
    <w:rsid w:val="00877C88"/>
    <w:rsid w:val="00880DC2"/>
    <w:rsid w:val="0088365D"/>
    <w:rsid w:val="008907C3"/>
    <w:rsid w:val="008920C9"/>
    <w:rsid w:val="008924D8"/>
    <w:rsid w:val="00892705"/>
    <w:rsid w:val="008938EE"/>
    <w:rsid w:val="008965FF"/>
    <w:rsid w:val="00897D7D"/>
    <w:rsid w:val="008A0D61"/>
    <w:rsid w:val="008A117A"/>
    <w:rsid w:val="008A4B64"/>
    <w:rsid w:val="008A4D24"/>
    <w:rsid w:val="008A4E71"/>
    <w:rsid w:val="008B3910"/>
    <w:rsid w:val="008B4C09"/>
    <w:rsid w:val="008B564A"/>
    <w:rsid w:val="008C0767"/>
    <w:rsid w:val="008C2D26"/>
    <w:rsid w:val="008C671A"/>
    <w:rsid w:val="008D2340"/>
    <w:rsid w:val="008E2532"/>
    <w:rsid w:val="008E34E9"/>
    <w:rsid w:val="008F0C79"/>
    <w:rsid w:val="008F3DE8"/>
    <w:rsid w:val="008F4908"/>
    <w:rsid w:val="00901F1C"/>
    <w:rsid w:val="009055ED"/>
    <w:rsid w:val="00912CE3"/>
    <w:rsid w:val="009249B9"/>
    <w:rsid w:val="009269B2"/>
    <w:rsid w:val="00926CC4"/>
    <w:rsid w:val="00930D0F"/>
    <w:rsid w:val="00932779"/>
    <w:rsid w:val="009345ED"/>
    <w:rsid w:val="00934ED3"/>
    <w:rsid w:val="00941183"/>
    <w:rsid w:val="0094178E"/>
    <w:rsid w:val="00943D8F"/>
    <w:rsid w:val="00943EFE"/>
    <w:rsid w:val="00946CAD"/>
    <w:rsid w:val="00970925"/>
    <w:rsid w:val="0097395B"/>
    <w:rsid w:val="00975D1C"/>
    <w:rsid w:val="00987141"/>
    <w:rsid w:val="00991A2A"/>
    <w:rsid w:val="009937AE"/>
    <w:rsid w:val="00993F16"/>
    <w:rsid w:val="00994783"/>
    <w:rsid w:val="009A16EF"/>
    <w:rsid w:val="009A2328"/>
    <w:rsid w:val="009A374A"/>
    <w:rsid w:val="009B01E1"/>
    <w:rsid w:val="009B11E3"/>
    <w:rsid w:val="009C2CE3"/>
    <w:rsid w:val="009C4A35"/>
    <w:rsid w:val="009D0738"/>
    <w:rsid w:val="009D5B6B"/>
    <w:rsid w:val="009D6B3B"/>
    <w:rsid w:val="009D71A3"/>
    <w:rsid w:val="009E5610"/>
    <w:rsid w:val="009F047F"/>
    <w:rsid w:val="009F3027"/>
    <w:rsid w:val="009F471B"/>
    <w:rsid w:val="009F5C01"/>
    <w:rsid w:val="009F655D"/>
    <w:rsid w:val="009F7306"/>
    <w:rsid w:val="00A005FA"/>
    <w:rsid w:val="00A03827"/>
    <w:rsid w:val="00A06CAC"/>
    <w:rsid w:val="00A0764C"/>
    <w:rsid w:val="00A10C60"/>
    <w:rsid w:val="00A12AA5"/>
    <w:rsid w:val="00A13A8C"/>
    <w:rsid w:val="00A141BC"/>
    <w:rsid w:val="00A176D5"/>
    <w:rsid w:val="00A251E5"/>
    <w:rsid w:val="00A2557F"/>
    <w:rsid w:val="00A27711"/>
    <w:rsid w:val="00A30E4A"/>
    <w:rsid w:val="00A310DA"/>
    <w:rsid w:val="00A339CF"/>
    <w:rsid w:val="00A362B4"/>
    <w:rsid w:val="00A41ECF"/>
    <w:rsid w:val="00A43D36"/>
    <w:rsid w:val="00A525AC"/>
    <w:rsid w:val="00A60E0E"/>
    <w:rsid w:val="00A61B62"/>
    <w:rsid w:val="00A61D2A"/>
    <w:rsid w:val="00A66A80"/>
    <w:rsid w:val="00A72CBB"/>
    <w:rsid w:val="00A73F5D"/>
    <w:rsid w:val="00A84730"/>
    <w:rsid w:val="00A85159"/>
    <w:rsid w:val="00A87E8E"/>
    <w:rsid w:val="00A91D66"/>
    <w:rsid w:val="00A925A1"/>
    <w:rsid w:val="00AA32D3"/>
    <w:rsid w:val="00AA4754"/>
    <w:rsid w:val="00AA4992"/>
    <w:rsid w:val="00AA71D5"/>
    <w:rsid w:val="00AB0BFA"/>
    <w:rsid w:val="00AB0EB8"/>
    <w:rsid w:val="00AB44B8"/>
    <w:rsid w:val="00AB478D"/>
    <w:rsid w:val="00AC5B03"/>
    <w:rsid w:val="00AC5E64"/>
    <w:rsid w:val="00AD26D4"/>
    <w:rsid w:val="00AE35EB"/>
    <w:rsid w:val="00AF535D"/>
    <w:rsid w:val="00B0294A"/>
    <w:rsid w:val="00B02AD8"/>
    <w:rsid w:val="00B02B42"/>
    <w:rsid w:val="00B03A12"/>
    <w:rsid w:val="00B06509"/>
    <w:rsid w:val="00B06C58"/>
    <w:rsid w:val="00B158CF"/>
    <w:rsid w:val="00B17B0C"/>
    <w:rsid w:val="00B23E71"/>
    <w:rsid w:val="00B25794"/>
    <w:rsid w:val="00B2630E"/>
    <w:rsid w:val="00B269CD"/>
    <w:rsid w:val="00B273A9"/>
    <w:rsid w:val="00B3068E"/>
    <w:rsid w:val="00B3103B"/>
    <w:rsid w:val="00B35AE5"/>
    <w:rsid w:val="00B37BBE"/>
    <w:rsid w:val="00B46F7B"/>
    <w:rsid w:val="00B476CC"/>
    <w:rsid w:val="00B52957"/>
    <w:rsid w:val="00B552D1"/>
    <w:rsid w:val="00B57F69"/>
    <w:rsid w:val="00B60085"/>
    <w:rsid w:val="00B61DFC"/>
    <w:rsid w:val="00B65109"/>
    <w:rsid w:val="00B6764F"/>
    <w:rsid w:val="00B72712"/>
    <w:rsid w:val="00B74D51"/>
    <w:rsid w:val="00B77994"/>
    <w:rsid w:val="00B81305"/>
    <w:rsid w:val="00B854CF"/>
    <w:rsid w:val="00B9723D"/>
    <w:rsid w:val="00BA2B4B"/>
    <w:rsid w:val="00BA3A63"/>
    <w:rsid w:val="00BA589A"/>
    <w:rsid w:val="00BA78B9"/>
    <w:rsid w:val="00BC46DE"/>
    <w:rsid w:val="00BC6BBA"/>
    <w:rsid w:val="00BC7CDD"/>
    <w:rsid w:val="00BD570C"/>
    <w:rsid w:val="00BD5C77"/>
    <w:rsid w:val="00BD7746"/>
    <w:rsid w:val="00BE50DA"/>
    <w:rsid w:val="00BF0276"/>
    <w:rsid w:val="00BF67EC"/>
    <w:rsid w:val="00BF6F15"/>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5022D"/>
    <w:rsid w:val="00C50C0A"/>
    <w:rsid w:val="00C52A97"/>
    <w:rsid w:val="00C60B71"/>
    <w:rsid w:val="00C613BF"/>
    <w:rsid w:val="00C62185"/>
    <w:rsid w:val="00C62AC4"/>
    <w:rsid w:val="00C63A99"/>
    <w:rsid w:val="00C64770"/>
    <w:rsid w:val="00C67CCF"/>
    <w:rsid w:val="00C707C0"/>
    <w:rsid w:val="00C73477"/>
    <w:rsid w:val="00C76EFC"/>
    <w:rsid w:val="00C773B3"/>
    <w:rsid w:val="00C80C62"/>
    <w:rsid w:val="00C81F0F"/>
    <w:rsid w:val="00C82902"/>
    <w:rsid w:val="00C839A9"/>
    <w:rsid w:val="00C84CE8"/>
    <w:rsid w:val="00C870AA"/>
    <w:rsid w:val="00C90075"/>
    <w:rsid w:val="00C91D49"/>
    <w:rsid w:val="00C96635"/>
    <w:rsid w:val="00C97616"/>
    <w:rsid w:val="00CA446A"/>
    <w:rsid w:val="00CA48EA"/>
    <w:rsid w:val="00CA4BB8"/>
    <w:rsid w:val="00CC493C"/>
    <w:rsid w:val="00CC598E"/>
    <w:rsid w:val="00CC59FC"/>
    <w:rsid w:val="00CC65CD"/>
    <w:rsid w:val="00CD1FAE"/>
    <w:rsid w:val="00CD51D2"/>
    <w:rsid w:val="00CE1CDD"/>
    <w:rsid w:val="00CE2B4D"/>
    <w:rsid w:val="00CE65D4"/>
    <w:rsid w:val="00CE7A79"/>
    <w:rsid w:val="00CF4492"/>
    <w:rsid w:val="00D038A8"/>
    <w:rsid w:val="00D0407A"/>
    <w:rsid w:val="00D043CC"/>
    <w:rsid w:val="00D14E29"/>
    <w:rsid w:val="00D25B51"/>
    <w:rsid w:val="00D33F84"/>
    <w:rsid w:val="00D3751C"/>
    <w:rsid w:val="00D424D1"/>
    <w:rsid w:val="00D463F8"/>
    <w:rsid w:val="00D54F0D"/>
    <w:rsid w:val="00D56CA9"/>
    <w:rsid w:val="00D56FEA"/>
    <w:rsid w:val="00D621C1"/>
    <w:rsid w:val="00D776C6"/>
    <w:rsid w:val="00D77FC6"/>
    <w:rsid w:val="00D85592"/>
    <w:rsid w:val="00D866ED"/>
    <w:rsid w:val="00D870FD"/>
    <w:rsid w:val="00D907F6"/>
    <w:rsid w:val="00D911C0"/>
    <w:rsid w:val="00D93E87"/>
    <w:rsid w:val="00D94C50"/>
    <w:rsid w:val="00DA4139"/>
    <w:rsid w:val="00DA5C83"/>
    <w:rsid w:val="00DA6399"/>
    <w:rsid w:val="00DC192C"/>
    <w:rsid w:val="00DD0AB5"/>
    <w:rsid w:val="00DD1273"/>
    <w:rsid w:val="00DD20B4"/>
    <w:rsid w:val="00DD58FA"/>
    <w:rsid w:val="00DE121E"/>
    <w:rsid w:val="00DE751F"/>
    <w:rsid w:val="00DE76BB"/>
    <w:rsid w:val="00DF20C1"/>
    <w:rsid w:val="00DF6F17"/>
    <w:rsid w:val="00E03DAD"/>
    <w:rsid w:val="00E042D4"/>
    <w:rsid w:val="00E0434B"/>
    <w:rsid w:val="00E1087D"/>
    <w:rsid w:val="00E11C80"/>
    <w:rsid w:val="00E1226C"/>
    <w:rsid w:val="00E222DD"/>
    <w:rsid w:val="00E305A3"/>
    <w:rsid w:val="00E3258A"/>
    <w:rsid w:val="00E33F37"/>
    <w:rsid w:val="00E37EA3"/>
    <w:rsid w:val="00E40792"/>
    <w:rsid w:val="00E448BF"/>
    <w:rsid w:val="00E4778C"/>
    <w:rsid w:val="00E52DD0"/>
    <w:rsid w:val="00E6497E"/>
    <w:rsid w:val="00E65CA7"/>
    <w:rsid w:val="00E67A70"/>
    <w:rsid w:val="00E701BC"/>
    <w:rsid w:val="00E711AB"/>
    <w:rsid w:val="00E74B20"/>
    <w:rsid w:val="00E878FC"/>
    <w:rsid w:val="00E9221F"/>
    <w:rsid w:val="00EA1D70"/>
    <w:rsid w:val="00EA2FB0"/>
    <w:rsid w:val="00EA3CE9"/>
    <w:rsid w:val="00EA4348"/>
    <w:rsid w:val="00EB22BD"/>
    <w:rsid w:val="00EB2AB7"/>
    <w:rsid w:val="00EC361E"/>
    <w:rsid w:val="00EC6A3B"/>
    <w:rsid w:val="00EC71B2"/>
    <w:rsid w:val="00ED1987"/>
    <w:rsid w:val="00ED1A90"/>
    <w:rsid w:val="00ED3869"/>
    <w:rsid w:val="00ED576F"/>
    <w:rsid w:val="00ED6F4E"/>
    <w:rsid w:val="00EE4F43"/>
    <w:rsid w:val="00EE654F"/>
    <w:rsid w:val="00EF1502"/>
    <w:rsid w:val="00EF2E58"/>
    <w:rsid w:val="00EF5815"/>
    <w:rsid w:val="00F02DB1"/>
    <w:rsid w:val="00F0557B"/>
    <w:rsid w:val="00F14FC5"/>
    <w:rsid w:val="00F217C5"/>
    <w:rsid w:val="00F2315C"/>
    <w:rsid w:val="00F23C43"/>
    <w:rsid w:val="00F2605B"/>
    <w:rsid w:val="00F26C5D"/>
    <w:rsid w:val="00F32332"/>
    <w:rsid w:val="00F35D37"/>
    <w:rsid w:val="00F35E4C"/>
    <w:rsid w:val="00F41E74"/>
    <w:rsid w:val="00F433E4"/>
    <w:rsid w:val="00F454A2"/>
    <w:rsid w:val="00F5394E"/>
    <w:rsid w:val="00F5404C"/>
    <w:rsid w:val="00F56652"/>
    <w:rsid w:val="00F573B0"/>
    <w:rsid w:val="00F6266E"/>
    <w:rsid w:val="00F64959"/>
    <w:rsid w:val="00F74B4E"/>
    <w:rsid w:val="00F84E74"/>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B516D"/>
    <w:rsid w:val="00FC1161"/>
    <w:rsid w:val="00FC6705"/>
    <w:rsid w:val="00FD37FC"/>
    <w:rsid w:val="00FE0A60"/>
    <w:rsid w:val="00FE2A5C"/>
    <w:rsid w:val="00FE4890"/>
    <w:rsid w:val="00FF08A4"/>
    <w:rsid w:val="00FF0AEF"/>
    <w:rsid w:val="00FF27B3"/>
    <w:rsid w:val="00FF5F85"/>
    <w:rsid w:val="00FF6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200"/>
        <w:tab w:val="right" w:pos="8400"/>
      </w:tabs>
    </w:pPr>
  </w:style>
  <w:style w:type="character" w:styleId="a7">
    <w:name w:val="footnote reference"/>
    <w:semiHidden/>
    <w:rPr>
      <w:position w:val="6"/>
      <w:sz w:val="14"/>
      <w:szCs w:val="14"/>
    </w:rPr>
  </w:style>
  <w:style w:type="paragraph" w:styleId="a8">
    <w:name w:val="footnote text"/>
    <w:basedOn w:val="regpar"/>
    <w:link w:val="a9"/>
    <w:semiHidden/>
    <w:pPr>
      <w:spacing w:line="240" w:lineRule="exact"/>
    </w:pPr>
    <w:rPr>
      <w:sz w:val="20"/>
      <w:szCs w:val="20"/>
    </w:rPr>
  </w:style>
  <w:style w:type="character" w:styleId="aa">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8"/>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b">
    <w:name w:val="Body Text Indent"/>
    <w:basedOn w:val="a"/>
    <w:pPr>
      <w:widowControl w:val="0"/>
      <w:ind w:left="284" w:hanging="284"/>
    </w:pPr>
  </w:style>
  <w:style w:type="character" w:styleId="Hyperlink">
    <w:name w:val="Hyperlink"/>
    <w:rPr>
      <w:color w:val="0000FF"/>
      <w:u w:val="single"/>
    </w:rPr>
  </w:style>
  <w:style w:type="paragraph" w:styleId="ac">
    <w:name w:val="Date"/>
    <w:basedOn w:val="a"/>
    <w:next w:val="a"/>
    <w:rsid w:val="00E03DAD"/>
  </w:style>
  <w:style w:type="table" w:styleId="ad">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e">
    <w:name w:val="Balloon Text"/>
    <w:basedOn w:val="a"/>
    <w:link w:val="af"/>
    <w:uiPriority w:val="99"/>
    <w:semiHidden/>
    <w:unhideWhenUsed/>
    <w:rsid w:val="00EC6A3B"/>
    <w:pPr>
      <w:spacing w:line="240" w:lineRule="auto"/>
    </w:pPr>
    <w:rPr>
      <w:rFonts w:ascii="Tahoma" w:hAnsi="Tahoma" w:cs="Tahoma"/>
      <w:sz w:val="16"/>
      <w:szCs w:val="16"/>
    </w:rPr>
  </w:style>
  <w:style w:type="character" w:customStyle="1" w:styleId="af">
    <w:name w:val="טקסט בלונים תו"/>
    <w:link w:val="ae"/>
    <w:uiPriority w:val="99"/>
    <w:semiHidden/>
    <w:rsid w:val="00EC6A3B"/>
    <w:rPr>
      <w:rFonts w:ascii="Tahoma" w:hAnsi="Tahoma" w:cs="Tahoma"/>
      <w:sz w:val="16"/>
      <w:szCs w:val="16"/>
    </w:rPr>
  </w:style>
  <w:style w:type="paragraph" w:styleId="af0">
    <w:name w:val="Revision"/>
    <w:hidden/>
    <w:uiPriority w:val="99"/>
    <w:semiHidden/>
    <w:rsid w:val="00C81F0F"/>
    <w:rPr>
      <w:rFonts w:ascii="Times" w:hAnsi="Times" w:cs="Times"/>
      <w:sz w:val="24"/>
      <w:szCs w:val="24"/>
    </w:rPr>
  </w:style>
  <w:style w:type="paragraph" w:styleId="af1">
    <w:name w:val="Plain Text"/>
    <w:basedOn w:val="a"/>
    <w:link w:val="af2"/>
    <w:uiPriority w:val="99"/>
    <w:semiHidden/>
    <w:unhideWhenUsed/>
    <w:rsid w:val="00E52DD0"/>
    <w:pPr>
      <w:spacing w:line="240" w:lineRule="auto"/>
      <w:jc w:val="left"/>
    </w:pPr>
    <w:rPr>
      <w:rFonts w:ascii="Calibri" w:eastAsia="Calibri" w:hAnsi="Calibri" w:cs="Arial"/>
      <w:sz w:val="22"/>
      <w:szCs w:val="21"/>
    </w:rPr>
  </w:style>
  <w:style w:type="character" w:customStyle="1" w:styleId="af2">
    <w:name w:val="טקסט רגיל תו"/>
    <w:link w:val="af1"/>
    <w:uiPriority w:val="99"/>
    <w:semiHidden/>
    <w:rsid w:val="00E52DD0"/>
    <w:rPr>
      <w:rFonts w:ascii="Calibri" w:eastAsia="Calibri" w:hAnsi="Calibri" w:cs="Arial"/>
      <w:sz w:val="22"/>
      <w:szCs w:val="21"/>
    </w:rPr>
  </w:style>
  <w:style w:type="paragraph" w:styleId="af3">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9">
    <w:name w:val="טקסט הערת שוליים תו"/>
    <w:basedOn w:val="a0"/>
    <w:link w:val="a8"/>
    <w:semiHidden/>
    <w:rsid w:val="00A27711"/>
    <w:rPr>
      <w:rFonts w:ascii="Times" w:hAnsi="Times" w:cs="Times"/>
    </w:rPr>
  </w:style>
  <w:style w:type="character" w:styleId="af4">
    <w:name w:val="annotation reference"/>
    <w:basedOn w:val="a0"/>
    <w:uiPriority w:val="99"/>
    <w:semiHidden/>
    <w:unhideWhenUsed/>
    <w:rsid w:val="008D2340"/>
    <w:rPr>
      <w:sz w:val="16"/>
      <w:szCs w:val="16"/>
    </w:rPr>
  </w:style>
  <w:style w:type="paragraph" w:styleId="af5">
    <w:name w:val="annotation text"/>
    <w:basedOn w:val="a"/>
    <w:link w:val="af6"/>
    <w:uiPriority w:val="99"/>
    <w:semiHidden/>
    <w:unhideWhenUsed/>
    <w:rsid w:val="008D2340"/>
    <w:pPr>
      <w:spacing w:line="240" w:lineRule="auto"/>
    </w:pPr>
    <w:rPr>
      <w:sz w:val="20"/>
      <w:szCs w:val="20"/>
    </w:rPr>
  </w:style>
  <w:style w:type="character" w:customStyle="1" w:styleId="af6">
    <w:name w:val="טקסט הערה תו"/>
    <w:basedOn w:val="a0"/>
    <w:link w:val="af5"/>
    <w:uiPriority w:val="99"/>
    <w:semiHidden/>
    <w:rsid w:val="008D2340"/>
    <w:rPr>
      <w:rFonts w:ascii="Times" w:hAnsi="Times" w:cs="Times"/>
    </w:rPr>
  </w:style>
  <w:style w:type="paragraph" w:styleId="af7">
    <w:name w:val="annotation subject"/>
    <w:basedOn w:val="af5"/>
    <w:next w:val="af5"/>
    <w:link w:val="af8"/>
    <w:uiPriority w:val="99"/>
    <w:semiHidden/>
    <w:unhideWhenUsed/>
    <w:rsid w:val="008D2340"/>
    <w:rPr>
      <w:b/>
      <w:bCs/>
    </w:rPr>
  </w:style>
  <w:style w:type="character" w:customStyle="1" w:styleId="af8">
    <w:name w:val="נושא הערה תו"/>
    <w:basedOn w:val="af6"/>
    <w:link w:val="af7"/>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8092D"/>
    <w:rPr>
      <w:color w:val="605E5C"/>
      <w:shd w:val="clear" w:color="auto" w:fill="E1DFDD"/>
    </w:rPr>
  </w:style>
  <w:style w:type="character" w:customStyle="1" w:styleId="a6">
    <w:name w:val="כותרת עליונה תו"/>
    <w:basedOn w:val="a0"/>
    <w:link w:val="a5"/>
    <w:uiPriority w:val="99"/>
    <w:rsid w:val="00B77994"/>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33624140">
      <w:bodyDiv w:val="1"/>
      <w:marLeft w:val="0"/>
      <w:marRight w:val="0"/>
      <w:marTop w:val="0"/>
      <w:marBottom w:val="0"/>
      <w:divBdr>
        <w:top w:val="none" w:sz="0" w:space="0" w:color="auto"/>
        <w:left w:val="none" w:sz="0" w:space="0" w:color="auto"/>
        <w:bottom w:val="none" w:sz="0" w:space="0" w:color="auto"/>
        <w:right w:val="none" w:sz="0" w:space="0" w:color="auto"/>
      </w:divBdr>
    </w:div>
    <w:div w:id="1052273302">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CD24B-A5E4-4AA5-A60C-6CA9F5FD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2023-02-20T08:15:00Z</dcterms:created>
  <dcterms:modified xsi:type="dcterms:W3CDTF">2023-02-20T08:15:00Z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