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2D" w:rsidRPr="001D7A8E" w:rsidRDefault="0065022D" w:rsidP="001D7A8E">
      <w:pPr>
        <w:spacing w:after="0"/>
        <w:rPr>
          <w:rFonts w:ascii="Calibri" w:hAnsi="Calibri" w:cs="Calibri" w:hint="cs"/>
          <w:rtl/>
        </w:rPr>
      </w:pPr>
      <w:bookmarkStart w:id="0" w:name="_GoBack"/>
      <w:bookmarkEnd w:id="0"/>
    </w:p>
    <w:p w:rsidR="00495410" w:rsidRDefault="00495410" w:rsidP="001D7A8E">
      <w:pPr>
        <w:spacing w:after="0" w:line="360" w:lineRule="auto"/>
        <w:ind w:left="56" w:right="-101"/>
        <w:jc w:val="center"/>
        <w:rPr>
          <w:rFonts w:ascii="Calibri" w:hAnsi="Calibri" w:cs="Calibri"/>
          <w:sz w:val="28"/>
          <w:szCs w:val="28"/>
          <w:rtl/>
          <w:lang w:val="en-GB"/>
        </w:rPr>
      </w:pPr>
    </w:p>
    <w:p w:rsidR="00F604B7" w:rsidRDefault="00F604B7" w:rsidP="00F604B7">
      <w:pPr>
        <w:spacing w:line="360" w:lineRule="auto"/>
        <w:jc w:val="both"/>
        <w:rPr>
          <w:rFonts w:cs="David"/>
          <w:noProof/>
          <w:vertAlign w:val="subscript"/>
          <w:rtl/>
        </w:rPr>
      </w:pPr>
    </w:p>
    <w:p w:rsidR="009943F4" w:rsidRPr="00C85243" w:rsidRDefault="009A37D8" w:rsidP="009943F4">
      <w:pPr>
        <w:spacing w:after="240"/>
        <w:jc w:val="center"/>
        <w:rPr>
          <w:rFonts w:ascii="David" w:hAnsi="David"/>
          <w:b/>
          <w:bCs/>
          <w:sz w:val="28"/>
          <w:szCs w:val="28"/>
        </w:rPr>
      </w:pPr>
      <w:r>
        <w:rPr>
          <w:rFonts w:ascii="David" w:hAnsi="David" w:cs="Arial"/>
          <w:b/>
          <w:bCs/>
          <w:sz w:val="28"/>
          <w:szCs w:val="28"/>
          <w:rtl/>
          <w:lang w:bidi="ar-SA"/>
        </w:rPr>
        <w:t xml:space="preserve">قرار لجنة العقوبات </w:t>
      </w:r>
      <w:r>
        <w:rPr>
          <w:rFonts w:ascii="David" w:hAnsi="David" w:cs="Arial" w:hint="cs"/>
          <w:b/>
          <w:bCs/>
          <w:sz w:val="28"/>
          <w:szCs w:val="28"/>
          <w:rtl/>
          <w:lang w:bidi="ar-SA"/>
        </w:rPr>
        <w:t>الخاصّة با</w:t>
      </w:r>
      <w:r w:rsidRPr="009A37D8">
        <w:rPr>
          <w:rFonts w:ascii="David" w:hAnsi="David" w:cs="Arial"/>
          <w:b/>
          <w:bCs/>
          <w:sz w:val="28"/>
          <w:szCs w:val="28"/>
          <w:rtl/>
          <w:lang w:bidi="ar-SA"/>
        </w:rPr>
        <w:t xml:space="preserve">لمؤسسات المصرفية بشأن مخالفة تعليمات قانون حظر غسل الأموال </w:t>
      </w:r>
      <w:r>
        <w:rPr>
          <w:rFonts w:ascii="David" w:hAnsi="David" w:cs="Arial"/>
          <w:b/>
          <w:bCs/>
          <w:sz w:val="28"/>
          <w:szCs w:val="28"/>
          <w:rtl/>
          <w:lang w:bidi="ar-SA"/>
        </w:rPr>
        <w:t xml:space="preserve">من قبل بنك </w:t>
      </w:r>
      <w:proofErr w:type="spellStart"/>
      <w:r>
        <w:rPr>
          <w:rFonts w:ascii="David" w:hAnsi="David" w:cs="Arial"/>
          <w:b/>
          <w:bCs/>
          <w:sz w:val="28"/>
          <w:szCs w:val="28"/>
          <w:rtl/>
          <w:lang w:bidi="ar-SA"/>
        </w:rPr>
        <w:t>لئومي</w:t>
      </w:r>
      <w:proofErr w:type="spellEnd"/>
      <w:r>
        <w:rPr>
          <w:rFonts w:ascii="David" w:hAnsi="David" w:cs="Arial"/>
          <w:b/>
          <w:bCs/>
          <w:sz w:val="28"/>
          <w:szCs w:val="28"/>
          <w:rtl/>
          <w:lang w:bidi="ar-SA"/>
        </w:rPr>
        <w:t xml:space="preserve"> إسرائيل </w:t>
      </w:r>
      <w:proofErr w:type="spellStart"/>
      <w:r>
        <w:rPr>
          <w:rFonts w:ascii="David" w:hAnsi="David" w:cs="Arial" w:hint="cs"/>
          <w:b/>
          <w:bCs/>
          <w:sz w:val="28"/>
          <w:szCs w:val="28"/>
          <w:rtl/>
          <w:lang w:bidi="ar-SA"/>
        </w:rPr>
        <w:t>م.ض</w:t>
      </w:r>
      <w:proofErr w:type="spellEnd"/>
      <w:r w:rsidRPr="009A37D8">
        <w:rPr>
          <w:rFonts w:ascii="David" w:hAnsi="David" w:cs="Arial"/>
          <w:b/>
          <w:bCs/>
          <w:sz w:val="28"/>
          <w:szCs w:val="28"/>
          <w:rtl/>
          <w:lang w:bidi="ar-SA"/>
        </w:rPr>
        <w:t xml:space="preserve"> - فرض عقوبة مالية بمبلغ 1.88 مليون شيكل.</w:t>
      </w:r>
    </w:p>
    <w:p w:rsidR="009943F4" w:rsidRDefault="009943F4" w:rsidP="009A37D8">
      <w:pPr>
        <w:rPr>
          <w:rFonts w:ascii="David" w:hAnsi="David"/>
          <w:sz w:val="24"/>
          <w:szCs w:val="24"/>
          <w:rtl/>
        </w:rPr>
      </w:pPr>
    </w:p>
    <w:p w:rsidR="009A37D8" w:rsidRPr="000C6CEE" w:rsidRDefault="009A37D8" w:rsidP="009A37D8">
      <w:pPr>
        <w:rPr>
          <w:rFonts w:cstheme="minorHAnsi"/>
          <w:sz w:val="24"/>
          <w:szCs w:val="24"/>
          <w:rtl/>
          <w:lang w:bidi="ar-SA"/>
        </w:rPr>
      </w:pPr>
      <w:r w:rsidRPr="000C6CEE">
        <w:rPr>
          <w:rFonts w:cstheme="minorHAnsi"/>
          <w:sz w:val="24"/>
          <w:szCs w:val="24"/>
          <w:rtl/>
          <w:lang w:bidi="ar-SA"/>
        </w:rPr>
        <w:t>لجنة العقوبات الخاصة بالمؤسسات المصرفية هي لجنة تم إنشاؤها بموجب قانون حظر غسل الأموال لعام 2000، وتتمتع بصلاحية فرض عقوبات مالية على المؤسسات المصرفية (حتى حوا</w:t>
      </w:r>
      <w:r w:rsidR="00EE568F" w:rsidRPr="000C6CEE">
        <w:rPr>
          <w:rFonts w:cstheme="minorHAnsi"/>
          <w:sz w:val="24"/>
          <w:szCs w:val="24"/>
          <w:rtl/>
          <w:lang w:bidi="ar-SA"/>
        </w:rPr>
        <w:t xml:space="preserve">لي 2.26 مليون شيكل لكل مخالفة) في حال </w:t>
      </w:r>
      <w:r w:rsidRPr="000C6CEE">
        <w:rPr>
          <w:rFonts w:cstheme="minorHAnsi"/>
          <w:sz w:val="24"/>
          <w:szCs w:val="24"/>
          <w:rtl/>
          <w:lang w:bidi="ar-SA"/>
        </w:rPr>
        <w:t>خرق القانون والأوامر والأنظمة الصادرة بمقتضاه.</w:t>
      </w:r>
    </w:p>
    <w:p w:rsidR="00EE568F" w:rsidRPr="000C6CEE" w:rsidRDefault="00EE568F" w:rsidP="009943F4">
      <w:pPr>
        <w:spacing w:before="240"/>
        <w:rPr>
          <w:rFonts w:cstheme="minorHAnsi"/>
          <w:sz w:val="24"/>
          <w:szCs w:val="24"/>
          <w:lang w:bidi="ar-SA"/>
        </w:rPr>
      </w:pPr>
      <w:r w:rsidRPr="000C6CEE">
        <w:rPr>
          <w:rFonts w:cstheme="minorHAnsi"/>
          <w:sz w:val="24"/>
          <w:szCs w:val="24"/>
          <w:rtl/>
          <w:lang w:bidi="ar-SA"/>
        </w:rPr>
        <w:t xml:space="preserve">ويترأس اللجنة المراقب على البنوك السيد </w:t>
      </w:r>
      <w:proofErr w:type="spellStart"/>
      <w:r w:rsidRPr="000C6CEE">
        <w:rPr>
          <w:rFonts w:cstheme="minorHAnsi"/>
          <w:sz w:val="24"/>
          <w:szCs w:val="24"/>
          <w:rtl/>
          <w:lang w:bidi="ar-SA"/>
        </w:rPr>
        <w:t>يائير</w:t>
      </w:r>
      <w:proofErr w:type="spellEnd"/>
      <w:r w:rsidRPr="000C6CEE">
        <w:rPr>
          <w:rFonts w:cstheme="minorHAnsi"/>
          <w:sz w:val="24"/>
          <w:szCs w:val="24"/>
          <w:rtl/>
          <w:lang w:bidi="ar-SA"/>
        </w:rPr>
        <w:t xml:space="preserve"> </w:t>
      </w:r>
      <w:proofErr w:type="spellStart"/>
      <w:r w:rsidRPr="000C6CEE">
        <w:rPr>
          <w:rFonts w:cstheme="minorHAnsi"/>
          <w:sz w:val="24"/>
          <w:szCs w:val="24"/>
          <w:rtl/>
          <w:lang w:bidi="ar-SA"/>
        </w:rPr>
        <w:t>أفيدان</w:t>
      </w:r>
      <w:proofErr w:type="spellEnd"/>
      <w:r w:rsidRPr="000C6CEE">
        <w:rPr>
          <w:rFonts w:cstheme="minorHAnsi"/>
          <w:sz w:val="24"/>
          <w:szCs w:val="24"/>
          <w:rtl/>
          <w:lang w:bidi="ar-SA"/>
        </w:rPr>
        <w:t>، وتضم في عضويتها رئيسة سلطة حظر غسل ا</w:t>
      </w:r>
      <w:r w:rsidR="00897EBA">
        <w:rPr>
          <w:rFonts w:cstheme="minorHAnsi"/>
          <w:sz w:val="24"/>
          <w:szCs w:val="24"/>
          <w:rtl/>
          <w:lang w:bidi="ar-SA"/>
        </w:rPr>
        <w:t>لأموال وتمويل الإرهاب</w:t>
      </w:r>
      <w:r w:rsidRPr="000C6CEE">
        <w:rPr>
          <w:rFonts w:cstheme="minorHAnsi"/>
          <w:sz w:val="24"/>
          <w:szCs w:val="24"/>
          <w:rtl/>
          <w:lang w:bidi="ar-SA"/>
        </w:rPr>
        <w:t xml:space="preserve"> المحامية </w:t>
      </w:r>
      <w:proofErr w:type="spellStart"/>
      <w:r w:rsidRPr="000C6CEE">
        <w:rPr>
          <w:rFonts w:cstheme="minorHAnsi"/>
          <w:sz w:val="24"/>
          <w:szCs w:val="24"/>
          <w:rtl/>
          <w:lang w:bidi="ar-SA"/>
        </w:rPr>
        <w:t>عيليت</w:t>
      </w:r>
      <w:proofErr w:type="spellEnd"/>
      <w:r w:rsidRPr="000C6CEE">
        <w:rPr>
          <w:rFonts w:cstheme="minorHAnsi"/>
          <w:sz w:val="24"/>
          <w:szCs w:val="24"/>
          <w:rtl/>
          <w:lang w:bidi="ar-SA"/>
        </w:rPr>
        <w:t xml:space="preserve"> </w:t>
      </w:r>
      <w:proofErr w:type="spellStart"/>
      <w:r w:rsidRPr="000C6CEE">
        <w:rPr>
          <w:rFonts w:cstheme="minorHAnsi"/>
          <w:sz w:val="24"/>
          <w:szCs w:val="24"/>
          <w:rtl/>
          <w:lang w:bidi="ar-SA"/>
        </w:rPr>
        <w:t>اوستروفيتش</w:t>
      </w:r>
      <w:proofErr w:type="spellEnd"/>
      <w:r w:rsidRPr="000C6CEE">
        <w:rPr>
          <w:rFonts w:cstheme="minorHAnsi"/>
          <w:sz w:val="24"/>
          <w:szCs w:val="24"/>
          <w:rtl/>
          <w:lang w:bidi="ar-SA"/>
        </w:rPr>
        <w:t xml:space="preserve"> ليفي، ومديرة وحدة الامتثال في الرقابة على البنوك السيدة </w:t>
      </w:r>
      <w:proofErr w:type="spellStart"/>
      <w:r w:rsidRPr="000C6CEE">
        <w:rPr>
          <w:rFonts w:cstheme="minorHAnsi"/>
          <w:sz w:val="24"/>
          <w:szCs w:val="24"/>
          <w:rtl/>
          <w:lang w:bidi="ar-SA"/>
        </w:rPr>
        <w:t>أوشريت</w:t>
      </w:r>
      <w:proofErr w:type="spellEnd"/>
      <w:r w:rsidRPr="000C6CEE">
        <w:rPr>
          <w:rFonts w:cstheme="minorHAnsi"/>
          <w:sz w:val="24"/>
          <w:szCs w:val="24"/>
          <w:rtl/>
          <w:lang w:bidi="ar-SA"/>
        </w:rPr>
        <w:t xml:space="preserve"> لين. </w:t>
      </w:r>
    </w:p>
    <w:p w:rsidR="007341C3" w:rsidRPr="000C6CEE" w:rsidRDefault="007341C3" w:rsidP="009943F4">
      <w:pPr>
        <w:spacing w:before="240" w:after="240"/>
        <w:rPr>
          <w:rFonts w:cstheme="minorHAnsi"/>
          <w:sz w:val="24"/>
          <w:szCs w:val="24"/>
          <w:rtl/>
          <w:lang w:bidi="ar-SA"/>
        </w:rPr>
      </w:pPr>
      <w:r w:rsidRPr="000C6CEE">
        <w:rPr>
          <w:rFonts w:cstheme="minorHAnsi"/>
          <w:sz w:val="24"/>
          <w:szCs w:val="24"/>
          <w:rtl/>
          <w:lang w:bidi="ar-SA"/>
        </w:rPr>
        <w:t xml:space="preserve">وقررت اللجنة فرض غرامة مالية قدرها 1.88 مليون شيكل على بنك </w:t>
      </w:r>
      <w:proofErr w:type="spellStart"/>
      <w:r w:rsidRPr="000C6CEE">
        <w:rPr>
          <w:rFonts w:cstheme="minorHAnsi"/>
          <w:sz w:val="24"/>
          <w:szCs w:val="24"/>
          <w:rtl/>
          <w:lang w:bidi="ar-SA"/>
        </w:rPr>
        <w:t>لئومي</w:t>
      </w:r>
      <w:proofErr w:type="spellEnd"/>
      <w:r w:rsidRPr="000C6CEE">
        <w:rPr>
          <w:rFonts w:cstheme="minorHAnsi"/>
          <w:sz w:val="24"/>
          <w:szCs w:val="24"/>
          <w:rtl/>
          <w:lang w:bidi="ar-SA"/>
        </w:rPr>
        <w:t xml:space="preserve"> إسرائيل </w:t>
      </w:r>
      <w:proofErr w:type="spellStart"/>
      <w:r w:rsidRPr="000C6CEE">
        <w:rPr>
          <w:rFonts w:cstheme="minorHAnsi"/>
          <w:sz w:val="24"/>
          <w:szCs w:val="24"/>
          <w:rtl/>
          <w:lang w:bidi="ar-SA"/>
        </w:rPr>
        <w:t>م.ض</w:t>
      </w:r>
      <w:proofErr w:type="spellEnd"/>
      <w:r w:rsidRPr="000C6CEE">
        <w:rPr>
          <w:rFonts w:cstheme="minorHAnsi"/>
          <w:sz w:val="24"/>
          <w:szCs w:val="24"/>
          <w:rtl/>
          <w:lang w:bidi="ar-SA"/>
        </w:rPr>
        <w:t>، فيما يتعلق بنشاط البنك في الإطار الرقمي "</w:t>
      </w:r>
      <w:proofErr w:type="spellStart"/>
      <w:r w:rsidRPr="000C6CEE">
        <w:rPr>
          <w:rFonts w:cstheme="minorHAnsi"/>
          <w:sz w:val="24"/>
          <w:szCs w:val="24"/>
          <w:rtl/>
          <w:lang w:bidi="ar-SA"/>
        </w:rPr>
        <w:t>بيبر</w:t>
      </w:r>
      <w:proofErr w:type="spellEnd"/>
      <w:r w:rsidRPr="000C6CEE">
        <w:rPr>
          <w:rFonts w:cstheme="minorHAnsi"/>
          <w:sz w:val="24"/>
          <w:szCs w:val="24"/>
          <w:rtl/>
          <w:lang w:bidi="ar-SA"/>
        </w:rPr>
        <w:t>"، لقيامه ب</w:t>
      </w:r>
      <w:r w:rsidR="00D72779" w:rsidRPr="000C6CEE">
        <w:rPr>
          <w:rFonts w:cstheme="minorHAnsi"/>
          <w:sz w:val="24"/>
          <w:szCs w:val="24"/>
          <w:rtl/>
          <w:lang w:bidi="ar-SA"/>
        </w:rPr>
        <w:t>انتهاكين ل</w:t>
      </w:r>
      <w:r w:rsidRPr="000C6CEE">
        <w:rPr>
          <w:rFonts w:cstheme="minorHAnsi"/>
          <w:sz w:val="24"/>
          <w:szCs w:val="24"/>
          <w:rtl/>
          <w:lang w:bidi="ar-SA"/>
        </w:rPr>
        <w:t>أحكام القانون.</w:t>
      </w:r>
    </w:p>
    <w:p w:rsidR="00D72779" w:rsidRPr="000C6CEE" w:rsidRDefault="00D72779" w:rsidP="00D72779">
      <w:pPr>
        <w:spacing w:after="240"/>
        <w:rPr>
          <w:rFonts w:cstheme="minorHAnsi"/>
          <w:sz w:val="24"/>
          <w:szCs w:val="24"/>
          <w:rtl/>
          <w:lang w:bidi="ar-SA"/>
        </w:rPr>
      </w:pPr>
      <w:r w:rsidRPr="000C6CEE">
        <w:rPr>
          <w:rFonts w:cstheme="minorHAnsi"/>
          <w:sz w:val="24"/>
          <w:szCs w:val="24"/>
          <w:rtl/>
          <w:lang w:bidi="ar-SA"/>
        </w:rPr>
        <w:t>و</w:t>
      </w:r>
      <w:r w:rsidR="00BF1EED" w:rsidRPr="000C6CEE">
        <w:rPr>
          <w:rFonts w:cstheme="minorHAnsi"/>
          <w:sz w:val="24"/>
          <w:szCs w:val="24"/>
          <w:rtl/>
          <w:lang w:bidi="ar-SA"/>
        </w:rPr>
        <w:t xml:space="preserve">تنبع الانتهاكات من </w:t>
      </w:r>
      <w:r w:rsidRPr="000C6CEE">
        <w:rPr>
          <w:rFonts w:cstheme="minorHAnsi"/>
          <w:sz w:val="24"/>
          <w:szCs w:val="24"/>
          <w:rtl/>
          <w:lang w:bidi="ar-SA"/>
        </w:rPr>
        <w:t>أعطال</w:t>
      </w:r>
      <w:r w:rsidR="00BF1EED" w:rsidRPr="000C6CEE">
        <w:rPr>
          <w:rFonts w:cstheme="minorHAnsi"/>
          <w:sz w:val="24"/>
          <w:szCs w:val="24"/>
          <w:rtl/>
          <w:lang w:bidi="ar-SA"/>
        </w:rPr>
        <w:t xml:space="preserve"> </w:t>
      </w:r>
      <w:r w:rsidR="00897EBA">
        <w:rPr>
          <w:rFonts w:cstheme="minorHAnsi"/>
          <w:sz w:val="24"/>
          <w:szCs w:val="24"/>
          <w:rtl/>
          <w:lang w:bidi="ar-SA"/>
        </w:rPr>
        <w:t xml:space="preserve">تكنولوجية وجوهرها </w:t>
      </w:r>
      <w:r w:rsidR="00BF1EED" w:rsidRPr="000C6CEE">
        <w:rPr>
          <w:rFonts w:cstheme="minorHAnsi"/>
          <w:sz w:val="24"/>
          <w:szCs w:val="24"/>
          <w:rtl/>
          <w:lang w:bidi="ar-SA"/>
        </w:rPr>
        <w:t>عدم</w:t>
      </w:r>
      <w:r w:rsidRPr="000C6CEE">
        <w:rPr>
          <w:rFonts w:cstheme="minorHAnsi"/>
          <w:sz w:val="24"/>
          <w:szCs w:val="24"/>
          <w:rtl/>
          <w:lang w:bidi="ar-SA"/>
        </w:rPr>
        <w:t xml:space="preserve"> حفظ وثائق الهوية كما هو مطلوب </w:t>
      </w:r>
      <w:r w:rsidR="00BF1EED" w:rsidRPr="000C6CEE">
        <w:rPr>
          <w:rFonts w:cstheme="minorHAnsi"/>
          <w:sz w:val="24"/>
          <w:szCs w:val="24"/>
          <w:rtl/>
          <w:lang w:bidi="ar-SA"/>
        </w:rPr>
        <w:t>بموجب أمر حظر غسل الأموال (واجبات المؤسّسات المصرفيّة في تحديد الهوية والإبلاغ وإدارة</w:t>
      </w:r>
      <w:r w:rsidRPr="000C6CEE">
        <w:rPr>
          <w:rFonts w:cstheme="minorHAnsi"/>
          <w:sz w:val="24"/>
          <w:szCs w:val="24"/>
          <w:rtl/>
          <w:lang w:bidi="ar-SA"/>
        </w:rPr>
        <w:t xml:space="preserve"> السجلات ل</w:t>
      </w:r>
      <w:r w:rsidR="00BF1EED" w:rsidRPr="000C6CEE">
        <w:rPr>
          <w:rFonts w:cstheme="minorHAnsi"/>
          <w:sz w:val="24"/>
          <w:szCs w:val="24"/>
          <w:rtl/>
          <w:lang w:bidi="ar-SA"/>
        </w:rPr>
        <w:t>منع غسل الأموال وتمويل الإرهاب)</w:t>
      </w:r>
      <w:r w:rsidRPr="000C6CEE">
        <w:rPr>
          <w:rFonts w:cstheme="minorHAnsi"/>
          <w:sz w:val="24"/>
          <w:szCs w:val="24"/>
          <w:rtl/>
          <w:lang w:bidi="ar-SA"/>
        </w:rPr>
        <w:t>، 2</w:t>
      </w:r>
      <w:r w:rsidR="00BF1EED" w:rsidRPr="000C6CEE">
        <w:rPr>
          <w:rFonts w:cstheme="minorHAnsi"/>
          <w:sz w:val="24"/>
          <w:szCs w:val="24"/>
          <w:rtl/>
          <w:lang w:bidi="ar-SA"/>
        </w:rPr>
        <w:t xml:space="preserve">001 عند فتح </w:t>
      </w:r>
      <w:r w:rsidRPr="000C6CEE">
        <w:rPr>
          <w:rFonts w:cstheme="minorHAnsi"/>
          <w:sz w:val="24"/>
          <w:szCs w:val="24"/>
          <w:rtl/>
          <w:lang w:bidi="ar-SA"/>
        </w:rPr>
        <w:t>حسابات عبر الإنترنت.</w:t>
      </w:r>
    </w:p>
    <w:p w:rsidR="00F50F3E" w:rsidRPr="000C6CEE" w:rsidRDefault="00F50F3E" w:rsidP="00F50F3E">
      <w:pPr>
        <w:spacing w:after="0" w:line="360" w:lineRule="auto"/>
        <w:jc w:val="both"/>
        <w:rPr>
          <w:rFonts w:cstheme="minorHAnsi"/>
          <w:sz w:val="24"/>
          <w:szCs w:val="24"/>
          <w:rtl/>
        </w:rPr>
      </w:pPr>
      <w:r w:rsidRPr="000C6CEE">
        <w:rPr>
          <w:rFonts w:cstheme="minorHAnsi"/>
          <w:sz w:val="24"/>
          <w:szCs w:val="24"/>
          <w:rtl/>
          <w:lang w:bidi="ar-SA"/>
        </w:rPr>
        <w:t>وشددت اللجنة في قرارها على الأمور التالية:</w:t>
      </w:r>
    </w:p>
    <w:p w:rsidR="00F50F3E" w:rsidRPr="000C6CEE" w:rsidRDefault="00F50F3E" w:rsidP="00F50F3E">
      <w:pPr>
        <w:numPr>
          <w:ilvl w:val="0"/>
          <w:numId w:val="13"/>
        </w:numPr>
        <w:spacing w:after="0" w:line="360" w:lineRule="auto"/>
        <w:jc w:val="both"/>
        <w:rPr>
          <w:rFonts w:cstheme="minorHAnsi"/>
          <w:sz w:val="24"/>
          <w:szCs w:val="24"/>
        </w:rPr>
      </w:pPr>
      <w:r w:rsidRPr="000C6CEE">
        <w:rPr>
          <w:rFonts w:cstheme="minorHAnsi"/>
          <w:sz w:val="24"/>
          <w:szCs w:val="24"/>
          <w:rtl/>
          <w:lang w:bidi="ar-SA"/>
        </w:rPr>
        <w:t xml:space="preserve">يعد واجب الاحتفاظ بوثائق الهوية ركيزة أساسية لنظام مكافحة غسل الأموال وتمويل الإرهاب. وفقًا للمعايير الدولية التي وضعتها منظمة </w:t>
      </w:r>
      <w:r w:rsidRPr="000C6CEE">
        <w:rPr>
          <w:rFonts w:cstheme="minorHAnsi"/>
          <w:sz w:val="24"/>
          <w:szCs w:val="24"/>
        </w:rPr>
        <w:t>FATF</w:t>
      </w:r>
      <w:r w:rsidRPr="000C6CEE">
        <w:rPr>
          <w:rFonts w:cstheme="minorHAnsi"/>
          <w:sz w:val="24"/>
          <w:szCs w:val="24"/>
          <w:rtl/>
          <w:lang w:bidi="ar-SA"/>
        </w:rPr>
        <w:t>، فإن توثيق وحفظ وثائق الهوية ليس مخصصًا فقط لاحتياجات البنك أو الرقابة على البنوك، ولكن أيضًا وبشكل أساسي لاحتياجات هيئات تطبيق القانون في الدولة.</w:t>
      </w:r>
    </w:p>
    <w:p w:rsidR="00E7792E" w:rsidRPr="000C6CEE" w:rsidRDefault="00E7792E" w:rsidP="00E7792E">
      <w:pPr>
        <w:numPr>
          <w:ilvl w:val="0"/>
          <w:numId w:val="13"/>
        </w:numPr>
        <w:spacing w:after="0" w:line="360" w:lineRule="auto"/>
        <w:jc w:val="both"/>
        <w:rPr>
          <w:rFonts w:cstheme="minorHAnsi"/>
          <w:sz w:val="24"/>
          <w:szCs w:val="24"/>
        </w:rPr>
      </w:pPr>
      <w:r w:rsidRPr="000C6CEE">
        <w:rPr>
          <w:rFonts w:cstheme="minorHAnsi"/>
          <w:sz w:val="24"/>
          <w:szCs w:val="24"/>
          <w:rtl/>
          <w:lang w:bidi="ar-SA"/>
        </w:rPr>
        <w:t>من المهم تشجيع وتبني الابتكار مع إدخال أدوات تكنولوجية تمكّن من فتح حساب عبر الإنترنت. في الوقت نفسه، من الضروري أن يكون هناك نظام تحكم فعال بعد إدخال الأدوات والعمليات الجديدة.</w:t>
      </w:r>
    </w:p>
    <w:p w:rsidR="000C6CEE" w:rsidRPr="00897EBA" w:rsidRDefault="00897EBA" w:rsidP="00897EBA">
      <w:pPr>
        <w:numPr>
          <w:ilvl w:val="0"/>
          <w:numId w:val="13"/>
        </w:numPr>
        <w:spacing w:after="0" w:line="360" w:lineRule="auto"/>
        <w:jc w:val="both"/>
        <w:rPr>
          <w:rFonts w:cstheme="minorHAnsi"/>
          <w:sz w:val="24"/>
          <w:szCs w:val="24"/>
          <w:rtl/>
        </w:rPr>
      </w:pPr>
      <w:r>
        <w:rPr>
          <w:rFonts w:cstheme="minorHAnsi"/>
          <w:sz w:val="24"/>
          <w:szCs w:val="24"/>
          <w:rtl/>
          <w:lang w:bidi="ar-SA"/>
        </w:rPr>
        <w:t>يستثمر ال</w:t>
      </w:r>
      <w:r>
        <w:rPr>
          <w:rFonts w:cstheme="minorHAnsi" w:hint="cs"/>
          <w:sz w:val="24"/>
          <w:szCs w:val="24"/>
          <w:rtl/>
          <w:lang w:bidi="ar-SA"/>
        </w:rPr>
        <w:t>جهاز</w:t>
      </w:r>
      <w:r w:rsidR="00981426" w:rsidRPr="000C6CEE">
        <w:rPr>
          <w:rFonts w:cstheme="minorHAnsi"/>
          <w:sz w:val="24"/>
          <w:szCs w:val="24"/>
          <w:rtl/>
          <w:lang w:bidi="ar-SA"/>
        </w:rPr>
        <w:t xml:space="preserve"> </w:t>
      </w:r>
      <w:r w:rsidR="000C6CEE" w:rsidRPr="000C6CEE">
        <w:rPr>
          <w:rFonts w:cstheme="minorHAnsi"/>
          <w:sz w:val="24"/>
          <w:szCs w:val="24"/>
          <w:rtl/>
          <w:lang w:bidi="ar-SA"/>
        </w:rPr>
        <w:t>المصرفي الجهود والموارد في تطبيق</w:t>
      </w:r>
      <w:r w:rsidR="00981426" w:rsidRPr="000C6CEE">
        <w:rPr>
          <w:rFonts w:cstheme="minorHAnsi"/>
          <w:sz w:val="24"/>
          <w:szCs w:val="24"/>
          <w:rtl/>
          <w:lang w:bidi="ar-SA"/>
        </w:rPr>
        <w:t xml:space="preserve"> </w:t>
      </w:r>
      <w:r>
        <w:rPr>
          <w:rFonts w:cstheme="minorHAnsi"/>
          <w:sz w:val="24"/>
          <w:szCs w:val="24"/>
          <w:rtl/>
          <w:lang w:bidi="ar-SA"/>
        </w:rPr>
        <w:t xml:space="preserve">الالتزامات </w:t>
      </w:r>
      <w:r>
        <w:rPr>
          <w:rFonts w:cstheme="minorHAnsi" w:hint="cs"/>
          <w:sz w:val="24"/>
          <w:szCs w:val="24"/>
          <w:rtl/>
          <w:lang w:bidi="ar-SA"/>
        </w:rPr>
        <w:t>التي ينص عليها</w:t>
      </w:r>
      <w:r w:rsidR="00981426" w:rsidRPr="000C6CEE">
        <w:rPr>
          <w:rFonts w:cstheme="minorHAnsi"/>
          <w:sz w:val="24"/>
          <w:szCs w:val="24"/>
          <w:rtl/>
          <w:lang w:bidi="ar-SA"/>
        </w:rPr>
        <w:t xml:space="preserve"> نظام مكافحة غسل الأموال وتمويل الإ</w:t>
      </w:r>
      <w:r w:rsidR="000C6CEE" w:rsidRPr="000C6CEE">
        <w:rPr>
          <w:rFonts w:cstheme="minorHAnsi"/>
          <w:sz w:val="24"/>
          <w:szCs w:val="24"/>
          <w:rtl/>
          <w:lang w:bidi="ar-SA"/>
        </w:rPr>
        <w:t>رهاب. إلى جانب الاستثمار والجهد</w:t>
      </w:r>
      <w:r w:rsidR="00981426" w:rsidRPr="000C6CEE">
        <w:rPr>
          <w:rFonts w:cstheme="minorHAnsi"/>
          <w:sz w:val="24"/>
          <w:szCs w:val="24"/>
          <w:rtl/>
          <w:lang w:bidi="ar-SA"/>
        </w:rPr>
        <w:t xml:space="preserve">، هناك أيضًا اختبار </w:t>
      </w:r>
      <w:r w:rsidR="000C6CEE" w:rsidRPr="000C6CEE">
        <w:rPr>
          <w:rFonts w:cstheme="minorHAnsi"/>
          <w:sz w:val="24"/>
          <w:szCs w:val="24"/>
          <w:rtl/>
          <w:lang w:bidi="ar-SA"/>
        </w:rPr>
        <w:t>النتيجة لل</w:t>
      </w:r>
      <w:r w:rsidR="00981426" w:rsidRPr="000C6CEE">
        <w:rPr>
          <w:rFonts w:cstheme="minorHAnsi"/>
          <w:sz w:val="24"/>
          <w:szCs w:val="24"/>
          <w:rtl/>
          <w:lang w:bidi="ar-SA"/>
        </w:rPr>
        <w:t>وف</w:t>
      </w:r>
      <w:r w:rsidR="000C6CEE" w:rsidRPr="000C6CEE">
        <w:rPr>
          <w:rFonts w:cstheme="minorHAnsi"/>
          <w:sz w:val="24"/>
          <w:szCs w:val="24"/>
          <w:rtl/>
          <w:lang w:bidi="ar-SA"/>
        </w:rPr>
        <w:t>اء بواجبات الأمر وتعليمات الرقابة</w:t>
      </w:r>
      <w:r w:rsidR="00981426" w:rsidRPr="000C6CEE">
        <w:rPr>
          <w:rFonts w:cstheme="minorHAnsi"/>
          <w:sz w:val="24"/>
          <w:szCs w:val="24"/>
          <w:rtl/>
          <w:lang w:bidi="ar-SA"/>
        </w:rPr>
        <w:t xml:space="preserve"> فيما يتعلق بإدارة مخاطر حظر غسل الأموال.</w:t>
      </w:r>
    </w:p>
    <w:p w:rsidR="000C6CEE" w:rsidRPr="000C6CEE" w:rsidRDefault="000C6CEE" w:rsidP="000C6CEE">
      <w:pPr>
        <w:rPr>
          <w:rFonts w:cstheme="minorHAnsi"/>
          <w:sz w:val="24"/>
          <w:szCs w:val="24"/>
          <w:rtl/>
          <w:lang w:bidi="ar-SA"/>
        </w:rPr>
      </w:pPr>
      <w:r w:rsidRPr="000C6CEE">
        <w:rPr>
          <w:rFonts w:cstheme="minorHAnsi"/>
          <w:sz w:val="24"/>
          <w:szCs w:val="24"/>
          <w:rtl/>
          <w:lang w:bidi="ar-SA"/>
        </w:rPr>
        <w:t>وتجدر الإشارة إلى أن اللجنة اتخذت قرارها بعد جلسة استماع عقدت للبنك وأن اللجنة قررت تخفيض مبلغ العقوبة عن الحد الأقصى للعقوبة المقررة بموجب القانون نظرًا لاكتشاف البنك بشكل مستقل للمخالفات والإبلاغ عنها للرقابة على البنوك و</w:t>
      </w:r>
      <w:r w:rsidR="000E33D4">
        <w:rPr>
          <w:rFonts w:cstheme="minorHAnsi" w:hint="cs"/>
          <w:sz w:val="24"/>
          <w:szCs w:val="24"/>
          <w:rtl/>
          <w:lang w:bidi="ar-SA"/>
        </w:rPr>
        <w:t>ال</w:t>
      </w:r>
      <w:r w:rsidRPr="000C6CEE">
        <w:rPr>
          <w:rFonts w:cstheme="minorHAnsi"/>
          <w:sz w:val="24"/>
          <w:szCs w:val="24"/>
          <w:rtl/>
          <w:lang w:bidi="ar-SA"/>
        </w:rPr>
        <w:t>عمل على تصحيح العيوب.</w:t>
      </w:r>
    </w:p>
    <w:p w:rsidR="009943F4" w:rsidRPr="000C6CEE" w:rsidRDefault="000C6CEE" w:rsidP="009943F4">
      <w:pPr>
        <w:pStyle w:val="1"/>
        <w:spacing w:before="240"/>
        <w:rPr>
          <w:rFonts w:asciiTheme="minorHAnsi" w:hAnsiTheme="minorHAnsi" w:cstheme="minorHAnsi"/>
          <w:b w:val="0"/>
          <w:bCs w:val="0"/>
          <w:color w:val="auto"/>
          <w:sz w:val="24"/>
          <w:szCs w:val="24"/>
          <w:rtl/>
          <w:lang w:bidi="ar-SA"/>
        </w:rPr>
      </w:pPr>
      <w:r w:rsidRPr="000C6CEE">
        <w:rPr>
          <w:rFonts w:asciiTheme="minorHAnsi" w:hAnsiTheme="minorHAnsi" w:cstheme="minorHAnsi"/>
          <w:b w:val="0"/>
          <w:bCs w:val="0"/>
          <w:color w:val="auto"/>
          <w:sz w:val="24"/>
          <w:szCs w:val="24"/>
          <w:rtl/>
          <w:lang w:bidi="ar-SA"/>
        </w:rPr>
        <w:t>ويذكر أنّه يحق للبنك الاستئناف لمحكمة الصلح في غضون 30 يومًا.</w:t>
      </w:r>
    </w:p>
    <w:p w:rsidR="009943F4" w:rsidRPr="009943F4" w:rsidRDefault="009943F4" w:rsidP="009943F4">
      <w:pPr>
        <w:spacing w:after="240"/>
        <w:rPr>
          <w:rFonts w:ascii="David" w:hAnsi="David"/>
          <w:sz w:val="24"/>
          <w:szCs w:val="24"/>
          <w:rtl/>
        </w:rPr>
      </w:pPr>
    </w:p>
    <w:p w:rsidR="009943F4" w:rsidRPr="00C85243" w:rsidRDefault="009943F4" w:rsidP="009943F4">
      <w:pPr>
        <w:rPr>
          <w:rFonts w:ascii="David" w:hAnsi="David"/>
        </w:rPr>
      </w:pPr>
    </w:p>
    <w:p w:rsidR="00495410" w:rsidRPr="00B40929" w:rsidRDefault="00495410" w:rsidP="001D7A8E">
      <w:pPr>
        <w:spacing w:after="0" w:line="360" w:lineRule="auto"/>
        <w:ind w:left="56" w:right="-101"/>
        <w:jc w:val="center"/>
        <w:rPr>
          <w:rFonts w:cstheme="minorHAnsi"/>
          <w:sz w:val="24"/>
          <w:szCs w:val="24"/>
          <w:rtl/>
          <w:lang w:val="en-GB" w:bidi="ar-SA"/>
        </w:rPr>
      </w:pPr>
    </w:p>
    <w:sectPr w:rsidR="00495410" w:rsidRPr="00B40929" w:rsidSect="002C1182">
      <w:headerReference w:type="default" r:id="rId7"/>
      <w:pgSz w:w="11906" w:h="16838" w:code="9"/>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F5" w:rsidRDefault="004A52F5" w:rsidP="00691DD9">
      <w:pPr>
        <w:spacing w:after="0" w:line="240" w:lineRule="auto"/>
      </w:pPr>
      <w:r>
        <w:separator/>
      </w:r>
    </w:p>
  </w:endnote>
  <w:endnote w:type="continuationSeparator" w:id="0">
    <w:p w:rsidR="004A52F5" w:rsidRDefault="004A52F5" w:rsidP="0069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F5" w:rsidRDefault="004A52F5" w:rsidP="00691DD9">
      <w:pPr>
        <w:spacing w:after="0" w:line="240" w:lineRule="auto"/>
      </w:pPr>
      <w:r>
        <w:separator/>
      </w:r>
    </w:p>
  </w:footnote>
  <w:footnote w:type="continuationSeparator" w:id="0">
    <w:p w:rsidR="004A52F5" w:rsidRDefault="004A52F5" w:rsidP="0069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1051"/>
      <w:bidiVisual/>
      <w:tblW w:w="0" w:type="auto"/>
      <w:tblLayout w:type="fixed"/>
      <w:tblLook w:val="0000" w:firstRow="0" w:lastRow="0" w:firstColumn="0" w:lastColumn="0" w:noHBand="0" w:noVBand="0"/>
    </w:tblPr>
    <w:tblGrid>
      <w:gridCol w:w="2843"/>
      <w:gridCol w:w="2599"/>
      <w:gridCol w:w="3087"/>
    </w:tblGrid>
    <w:tr w:rsidR="00C7255A" w:rsidRPr="006702C1" w:rsidTr="00BB30F9">
      <w:trPr>
        <w:cantSplit/>
        <w:trHeight w:val="1157"/>
      </w:trPr>
      <w:tc>
        <w:tcPr>
          <w:tcW w:w="2843" w:type="dxa"/>
          <w:tcBorders>
            <w:top w:val="nil"/>
            <w:left w:val="nil"/>
            <w:bottom w:val="nil"/>
            <w:right w:val="nil"/>
          </w:tcBorders>
          <w:vAlign w:val="center"/>
        </w:tcPr>
        <w:p w:rsidR="00C7255A" w:rsidRPr="00BB30F9" w:rsidRDefault="00C7255A" w:rsidP="00BB30F9">
          <w:pPr>
            <w:spacing w:line="360" w:lineRule="auto"/>
            <w:jc w:val="center"/>
            <w:rPr>
              <w:rFonts w:asciiTheme="minorBidi" w:hAnsiTheme="minorBidi"/>
              <w:b/>
              <w:bCs/>
              <w:sz w:val="24"/>
              <w:szCs w:val="24"/>
              <w:rtl/>
            </w:rPr>
          </w:pPr>
          <w:r w:rsidRPr="00BB30F9">
            <w:rPr>
              <w:rFonts w:asciiTheme="minorBidi" w:hAnsiTheme="minorBidi"/>
              <w:b/>
              <w:bCs/>
              <w:sz w:val="24"/>
              <w:szCs w:val="24"/>
              <w:rtl/>
            </w:rPr>
            <w:t>בנק ישראל</w:t>
          </w:r>
        </w:p>
        <w:p w:rsidR="00C7255A" w:rsidRPr="00BB30F9" w:rsidRDefault="00C7255A" w:rsidP="00BB30F9">
          <w:pPr>
            <w:spacing w:line="360" w:lineRule="auto"/>
            <w:jc w:val="center"/>
            <w:rPr>
              <w:sz w:val="24"/>
              <w:szCs w:val="24"/>
            </w:rPr>
          </w:pPr>
          <w:r w:rsidRPr="00BB30F9">
            <w:rPr>
              <w:rFonts w:asciiTheme="minorBidi" w:hAnsiTheme="minorBidi"/>
              <w:sz w:val="24"/>
              <w:szCs w:val="24"/>
              <w:rtl/>
            </w:rPr>
            <w:t>דוברות והסברה כלכלית</w:t>
          </w:r>
        </w:p>
      </w:tc>
      <w:tc>
        <w:tcPr>
          <w:tcW w:w="2599" w:type="dxa"/>
          <w:tcBorders>
            <w:top w:val="nil"/>
            <w:left w:val="nil"/>
            <w:bottom w:val="nil"/>
            <w:right w:val="nil"/>
          </w:tcBorders>
        </w:tcPr>
        <w:p w:rsidR="00C7255A" w:rsidRPr="006702C1" w:rsidRDefault="00C7255A" w:rsidP="00BB30F9">
          <w:pPr>
            <w:jc w:val="center"/>
            <w:rPr>
              <w:sz w:val="24"/>
              <w:szCs w:val="24"/>
            </w:rPr>
          </w:pPr>
          <w:r w:rsidRPr="0088088F">
            <w:rPr>
              <w:rFonts w:cs="Arial"/>
              <w:noProof/>
              <w:sz w:val="24"/>
              <w:szCs w:val="24"/>
              <w:rtl/>
            </w:rPr>
            <w:drawing>
              <wp:inline distT="0" distB="0" distL="0" distR="0">
                <wp:extent cx="942975" cy="933450"/>
                <wp:effectExtent l="0" t="0" r="9525" b="0"/>
                <wp:docPr id="2" name="Picture 2" descr="C:\Users\Ayman\AppData\Local\Microsoft\Windows\INetCache\Content.Outlook\0HOE7Q1F\arabic_bank-of-isra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AppData\Local\Microsoft\Windows\INetCache\Content.Outlook\0HOE7Q1F\arabic_bank-of-israel (0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40" t="6141" r="7017" b="7894"/>
                        <a:stretch/>
                      </pic:blipFill>
                      <pic:spPr bwMode="auto">
                        <a:xfrm>
                          <a:off x="0" y="0"/>
                          <a:ext cx="9429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tcBorders>
            <w:top w:val="nil"/>
            <w:left w:val="nil"/>
            <w:bottom w:val="nil"/>
            <w:right w:val="nil"/>
          </w:tcBorders>
          <w:vAlign w:val="center"/>
        </w:tcPr>
        <w:p w:rsidR="00C7255A" w:rsidRPr="00BB30F9" w:rsidRDefault="00C7255A" w:rsidP="00BB30F9">
          <w:pPr>
            <w:spacing w:line="360" w:lineRule="auto"/>
            <w:jc w:val="center"/>
            <w:rPr>
              <w:rFonts w:ascii="Tahoma" w:hAnsi="Tahoma" w:cs="Tahoma"/>
              <w:b/>
              <w:bCs/>
              <w:rtl/>
              <w:lang w:bidi="ar-SA"/>
            </w:rPr>
          </w:pPr>
          <w:r w:rsidRPr="00BB30F9">
            <w:rPr>
              <w:rFonts w:ascii="Tahoma" w:hAnsi="Tahoma" w:cs="Tahoma"/>
              <w:b/>
              <w:bCs/>
              <w:rtl/>
              <w:lang w:bidi="ar-SA"/>
            </w:rPr>
            <w:t>بنك إسرائيل</w:t>
          </w:r>
        </w:p>
        <w:p w:rsidR="00C7255A" w:rsidRPr="00BB30F9" w:rsidRDefault="00BB30F9" w:rsidP="00BB30F9">
          <w:pPr>
            <w:spacing w:line="480" w:lineRule="auto"/>
            <w:jc w:val="center"/>
            <w:rPr>
              <w:rFonts w:ascii="Tahoma" w:hAnsi="Tahoma" w:cs="Tahoma"/>
              <w:sz w:val="24"/>
              <w:szCs w:val="24"/>
              <w:rtl/>
              <w:lang w:bidi="ar-SA"/>
            </w:rPr>
          </w:pPr>
          <w:r w:rsidRPr="00BB30F9">
            <w:rPr>
              <w:rFonts w:ascii="Tahoma" w:hAnsi="Tahoma" w:cs="Tahoma" w:hint="cs"/>
              <w:rtl/>
              <w:lang w:bidi="ar-SA"/>
            </w:rPr>
            <w:t>المكتب الاعلامي باللغة العربيّة</w:t>
          </w:r>
        </w:p>
      </w:tc>
    </w:tr>
  </w:tbl>
  <w:p w:rsidR="00C7255A" w:rsidRPr="00C7255A" w:rsidRDefault="00C7255A" w:rsidP="00C725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521"/>
    <w:multiLevelType w:val="hybridMultilevel"/>
    <w:tmpl w:val="53204D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25C6F"/>
    <w:multiLevelType w:val="hybridMultilevel"/>
    <w:tmpl w:val="AA3A1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7AB7"/>
    <w:multiLevelType w:val="hybridMultilevel"/>
    <w:tmpl w:val="10A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25E84"/>
    <w:multiLevelType w:val="hybridMultilevel"/>
    <w:tmpl w:val="51A6D3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3592B77"/>
    <w:multiLevelType w:val="hybridMultilevel"/>
    <w:tmpl w:val="4E5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04568"/>
    <w:multiLevelType w:val="hybridMultilevel"/>
    <w:tmpl w:val="C06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4FFE"/>
    <w:multiLevelType w:val="hybridMultilevel"/>
    <w:tmpl w:val="EEF24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5A9"/>
    <w:multiLevelType w:val="hybridMultilevel"/>
    <w:tmpl w:val="76C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E1DAC"/>
    <w:multiLevelType w:val="hybridMultilevel"/>
    <w:tmpl w:val="F79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64313"/>
    <w:multiLevelType w:val="hybridMultilevel"/>
    <w:tmpl w:val="CC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E1445"/>
    <w:multiLevelType w:val="hybridMultilevel"/>
    <w:tmpl w:val="BA4683E2"/>
    <w:lvl w:ilvl="0" w:tplc="EDC8C9E6">
      <w:start w:val="1"/>
      <w:numFmt w:val="bullet"/>
      <w:lvlText w:val=""/>
      <w:lvlJc w:val="left"/>
      <w:pPr>
        <w:tabs>
          <w:tab w:val="num" w:pos="720"/>
        </w:tabs>
        <w:ind w:left="720" w:hanging="360"/>
      </w:pPr>
      <w:rPr>
        <w:rFonts w:ascii="Wingdings" w:hAnsi="Wingdings" w:hint="default"/>
      </w:rPr>
    </w:lvl>
    <w:lvl w:ilvl="1" w:tplc="09346F20" w:tentative="1">
      <w:start w:val="1"/>
      <w:numFmt w:val="bullet"/>
      <w:lvlText w:val=""/>
      <w:lvlJc w:val="left"/>
      <w:pPr>
        <w:tabs>
          <w:tab w:val="num" w:pos="1440"/>
        </w:tabs>
        <w:ind w:left="1440" w:hanging="360"/>
      </w:pPr>
      <w:rPr>
        <w:rFonts w:ascii="Wingdings" w:hAnsi="Wingdings" w:hint="default"/>
      </w:rPr>
    </w:lvl>
    <w:lvl w:ilvl="2" w:tplc="A9FCA7E0" w:tentative="1">
      <w:start w:val="1"/>
      <w:numFmt w:val="bullet"/>
      <w:lvlText w:val=""/>
      <w:lvlJc w:val="left"/>
      <w:pPr>
        <w:tabs>
          <w:tab w:val="num" w:pos="2160"/>
        </w:tabs>
        <w:ind w:left="2160" w:hanging="360"/>
      </w:pPr>
      <w:rPr>
        <w:rFonts w:ascii="Wingdings" w:hAnsi="Wingdings" w:hint="default"/>
      </w:rPr>
    </w:lvl>
    <w:lvl w:ilvl="3" w:tplc="B9B62E5C" w:tentative="1">
      <w:start w:val="1"/>
      <w:numFmt w:val="bullet"/>
      <w:lvlText w:val=""/>
      <w:lvlJc w:val="left"/>
      <w:pPr>
        <w:tabs>
          <w:tab w:val="num" w:pos="2880"/>
        </w:tabs>
        <w:ind w:left="2880" w:hanging="360"/>
      </w:pPr>
      <w:rPr>
        <w:rFonts w:ascii="Wingdings" w:hAnsi="Wingdings" w:hint="default"/>
      </w:rPr>
    </w:lvl>
    <w:lvl w:ilvl="4" w:tplc="E91A3A1A" w:tentative="1">
      <w:start w:val="1"/>
      <w:numFmt w:val="bullet"/>
      <w:lvlText w:val=""/>
      <w:lvlJc w:val="left"/>
      <w:pPr>
        <w:tabs>
          <w:tab w:val="num" w:pos="3600"/>
        </w:tabs>
        <w:ind w:left="3600" w:hanging="360"/>
      </w:pPr>
      <w:rPr>
        <w:rFonts w:ascii="Wingdings" w:hAnsi="Wingdings" w:hint="default"/>
      </w:rPr>
    </w:lvl>
    <w:lvl w:ilvl="5" w:tplc="827E9074" w:tentative="1">
      <w:start w:val="1"/>
      <w:numFmt w:val="bullet"/>
      <w:lvlText w:val=""/>
      <w:lvlJc w:val="left"/>
      <w:pPr>
        <w:tabs>
          <w:tab w:val="num" w:pos="4320"/>
        </w:tabs>
        <w:ind w:left="4320" w:hanging="360"/>
      </w:pPr>
      <w:rPr>
        <w:rFonts w:ascii="Wingdings" w:hAnsi="Wingdings" w:hint="default"/>
      </w:rPr>
    </w:lvl>
    <w:lvl w:ilvl="6" w:tplc="5818ED1C" w:tentative="1">
      <w:start w:val="1"/>
      <w:numFmt w:val="bullet"/>
      <w:lvlText w:val=""/>
      <w:lvlJc w:val="left"/>
      <w:pPr>
        <w:tabs>
          <w:tab w:val="num" w:pos="5040"/>
        </w:tabs>
        <w:ind w:left="5040" w:hanging="360"/>
      </w:pPr>
      <w:rPr>
        <w:rFonts w:ascii="Wingdings" w:hAnsi="Wingdings" w:hint="default"/>
      </w:rPr>
    </w:lvl>
    <w:lvl w:ilvl="7" w:tplc="EEB412AA" w:tentative="1">
      <w:start w:val="1"/>
      <w:numFmt w:val="bullet"/>
      <w:lvlText w:val=""/>
      <w:lvlJc w:val="left"/>
      <w:pPr>
        <w:tabs>
          <w:tab w:val="num" w:pos="5760"/>
        </w:tabs>
        <w:ind w:left="5760" w:hanging="360"/>
      </w:pPr>
      <w:rPr>
        <w:rFonts w:ascii="Wingdings" w:hAnsi="Wingdings" w:hint="default"/>
      </w:rPr>
    </w:lvl>
    <w:lvl w:ilvl="8" w:tplc="6B061D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D050A"/>
    <w:multiLevelType w:val="hybridMultilevel"/>
    <w:tmpl w:val="3E860198"/>
    <w:lvl w:ilvl="0" w:tplc="6F6E4E38">
      <w:start w:val="1"/>
      <w:numFmt w:val="arabicAbjad"/>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15:restartNumberingAfterBreak="0">
    <w:nsid w:val="779139BF"/>
    <w:multiLevelType w:val="hybridMultilevel"/>
    <w:tmpl w:val="39F25E4A"/>
    <w:lvl w:ilvl="0" w:tplc="FFFFFFFF">
      <w:start w:val="1"/>
      <w:numFmt w:val="chosung"/>
      <w:lvlText w:val=""/>
      <w:legacy w:legacy="1" w:legacySpace="0" w:legacyIndent="360"/>
      <w:lvlJc w:val="center"/>
      <w:pPr>
        <w:ind w:left="360" w:hanging="360"/>
      </w:pPr>
      <w:rPr>
        <w:rFonts w:ascii="Symbol" w:hAnsi="Symbol" w:hint="default"/>
      </w:rPr>
    </w:lvl>
    <w:lvl w:ilvl="1" w:tplc="EB28F6C4">
      <w:start w:val="1"/>
      <w:numFmt w:val="bullet"/>
      <w:lvlText w:val="­"/>
      <w:lvlJc w:val="left"/>
      <w:pPr>
        <w:tabs>
          <w:tab w:val="num" w:pos="1100"/>
        </w:tabs>
        <w:ind w:left="1100" w:hanging="360"/>
      </w:pPr>
      <w:rPr>
        <w:rFonts w:ascii="Courier New" w:hAnsi="Courier New"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7"/>
  </w:num>
  <w:num w:numId="6">
    <w:abstractNumId w:val="9"/>
  </w:num>
  <w:num w:numId="7">
    <w:abstractNumId w:val="4"/>
  </w:num>
  <w:num w:numId="8">
    <w:abstractNumId w:val="0"/>
  </w:num>
  <w:num w:numId="9">
    <w:abstractNumId w:val="1"/>
  </w:num>
  <w:num w:numId="10">
    <w:abstractNumId w:val="8"/>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4"/>
    <w:rsid w:val="00011AE4"/>
    <w:rsid w:val="00020DDB"/>
    <w:rsid w:val="000226D7"/>
    <w:rsid w:val="00030F15"/>
    <w:rsid w:val="000318FB"/>
    <w:rsid w:val="00031D28"/>
    <w:rsid w:val="000346C2"/>
    <w:rsid w:val="00041901"/>
    <w:rsid w:val="0005226F"/>
    <w:rsid w:val="0005264F"/>
    <w:rsid w:val="0005289A"/>
    <w:rsid w:val="0005375C"/>
    <w:rsid w:val="0005725F"/>
    <w:rsid w:val="0006532B"/>
    <w:rsid w:val="00070D5E"/>
    <w:rsid w:val="00071B1A"/>
    <w:rsid w:val="00073814"/>
    <w:rsid w:val="00075515"/>
    <w:rsid w:val="000905AB"/>
    <w:rsid w:val="000960F6"/>
    <w:rsid w:val="0009705B"/>
    <w:rsid w:val="000A0D44"/>
    <w:rsid w:val="000A31A7"/>
    <w:rsid w:val="000B430B"/>
    <w:rsid w:val="000C0256"/>
    <w:rsid w:val="000C18B3"/>
    <w:rsid w:val="000C2F1B"/>
    <w:rsid w:val="000C4850"/>
    <w:rsid w:val="000C6CEE"/>
    <w:rsid w:val="000C7A30"/>
    <w:rsid w:val="000D3960"/>
    <w:rsid w:val="000D4769"/>
    <w:rsid w:val="000E33D4"/>
    <w:rsid w:val="000E354F"/>
    <w:rsid w:val="000F0A8F"/>
    <w:rsid w:val="000F260A"/>
    <w:rsid w:val="000F5712"/>
    <w:rsid w:val="000F59E3"/>
    <w:rsid w:val="00102B46"/>
    <w:rsid w:val="00106383"/>
    <w:rsid w:val="00110784"/>
    <w:rsid w:val="0011509D"/>
    <w:rsid w:val="0012012A"/>
    <w:rsid w:val="00136C41"/>
    <w:rsid w:val="00141DAA"/>
    <w:rsid w:val="0014362F"/>
    <w:rsid w:val="001522AD"/>
    <w:rsid w:val="001525BA"/>
    <w:rsid w:val="00155A1F"/>
    <w:rsid w:val="0016160C"/>
    <w:rsid w:val="00166F76"/>
    <w:rsid w:val="00170D1C"/>
    <w:rsid w:val="00183654"/>
    <w:rsid w:val="001879F1"/>
    <w:rsid w:val="00187CB7"/>
    <w:rsid w:val="00190D19"/>
    <w:rsid w:val="00192B9D"/>
    <w:rsid w:val="00195747"/>
    <w:rsid w:val="00195A69"/>
    <w:rsid w:val="00197903"/>
    <w:rsid w:val="001A781C"/>
    <w:rsid w:val="001B2AEE"/>
    <w:rsid w:val="001B3BB8"/>
    <w:rsid w:val="001C22D9"/>
    <w:rsid w:val="001C44F6"/>
    <w:rsid w:val="001C5C4A"/>
    <w:rsid w:val="001D7A8E"/>
    <w:rsid w:val="001E1D71"/>
    <w:rsid w:val="001F131D"/>
    <w:rsid w:val="001F28E6"/>
    <w:rsid w:val="001F30DB"/>
    <w:rsid w:val="001F7770"/>
    <w:rsid w:val="0021087F"/>
    <w:rsid w:val="00213B1A"/>
    <w:rsid w:val="00214FF6"/>
    <w:rsid w:val="0021553D"/>
    <w:rsid w:val="00220042"/>
    <w:rsid w:val="0022061A"/>
    <w:rsid w:val="002226B4"/>
    <w:rsid w:val="0022710A"/>
    <w:rsid w:val="00241242"/>
    <w:rsid w:val="00244B0A"/>
    <w:rsid w:val="00250685"/>
    <w:rsid w:val="00255A9A"/>
    <w:rsid w:val="002565B7"/>
    <w:rsid w:val="0026217B"/>
    <w:rsid w:val="00263686"/>
    <w:rsid w:val="00265130"/>
    <w:rsid w:val="00270C7A"/>
    <w:rsid w:val="00271025"/>
    <w:rsid w:val="00276042"/>
    <w:rsid w:val="002828F8"/>
    <w:rsid w:val="0029228F"/>
    <w:rsid w:val="00292F09"/>
    <w:rsid w:val="002A1E9E"/>
    <w:rsid w:val="002B6095"/>
    <w:rsid w:val="002C0CDD"/>
    <w:rsid w:val="002C1182"/>
    <w:rsid w:val="002C2E9C"/>
    <w:rsid w:val="002C4B23"/>
    <w:rsid w:val="002C4E36"/>
    <w:rsid w:val="002D128E"/>
    <w:rsid w:val="002D190B"/>
    <w:rsid w:val="002D58A8"/>
    <w:rsid w:val="002E30B4"/>
    <w:rsid w:val="002F578C"/>
    <w:rsid w:val="002F6775"/>
    <w:rsid w:val="002F733B"/>
    <w:rsid w:val="00316A06"/>
    <w:rsid w:val="00316BBB"/>
    <w:rsid w:val="00317236"/>
    <w:rsid w:val="00326A20"/>
    <w:rsid w:val="00334635"/>
    <w:rsid w:val="003369A3"/>
    <w:rsid w:val="00337E03"/>
    <w:rsid w:val="00342083"/>
    <w:rsid w:val="00350175"/>
    <w:rsid w:val="003508F8"/>
    <w:rsid w:val="0035465F"/>
    <w:rsid w:val="0035624D"/>
    <w:rsid w:val="00357BD0"/>
    <w:rsid w:val="00370D25"/>
    <w:rsid w:val="00377994"/>
    <w:rsid w:val="00381080"/>
    <w:rsid w:val="00383874"/>
    <w:rsid w:val="003A362E"/>
    <w:rsid w:val="003A6591"/>
    <w:rsid w:val="003A7FD5"/>
    <w:rsid w:val="003B0938"/>
    <w:rsid w:val="003B57A6"/>
    <w:rsid w:val="003C177F"/>
    <w:rsid w:val="003D02C7"/>
    <w:rsid w:val="003D20FE"/>
    <w:rsid w:val="003E1AF7"/>
    <w:rsid w:val="003E30EA"/>
    <w:rsid w:val="003F6F4B"/>
    <w:rsid w:val="003F6F67"/>
    <w:rsid w:val="003F7A8E"/>
    <w:rsid w:val="003F7C22"/>
    <w:rsid w:val="00400CDD"/>
    <w:rsid w:val="00403CBC"/>
    <w:rsid w:val="0040417B"/>
    <w:rsid w:val="00405683"/>
    <w:rsid w:val="004103B2"/>
    <w:rsid w:val="004148A4"/>
    <w:rsid w:val="00431634"/>
    <w:rsid w:val="004326CB"/>
    <w:rsid w:val="00442C04"/>
    <w:rsid w:val="00443260"/>
    <w:rsid w:val="00444365"/>
    <w:rsid w:val="00451B98"/>
    <w:rsid w:val="0045749D"/>
    <w:rsid w:val="00462EA7"/>
    <w:rsid w:val="00473B98"/>
    <w:rsid w:val="00484B00"/>
    <w:rsid w:val="00484F87"/>
    <w:rsid w:val="00486F41"/>
    <w:rsid w:val="004938FC"/>
    <w:rsid w:val="00493938"/>
    <w:rsid w:val="004942DD"/>
    <w:rsid w:val="0049482D"/>
    <w:rsid w:val="004949D6"/>
    <w:rsid w:val="00495410"/>
    <w:rsid w:val="004A0B36"/>
    <w:rsid w:val="004A52F5"/>
    <w:rsid w:val="004A7B0C"/>
    <w:rsid w:val="004C0E63"/>
    <w:rsid w:val="004C49CB"/>
    <w:rsid w:val="004C5514"/>
    <w:rsid w:val="004C7FAE"/>
    <w:rsid w:val="004D1F24"/>
    <w:rsid w:val="004D1F2A"/>
    <w:rsid w:val="004D4489"/>
    <w:rsid w:val="004E0982"/>
    <w:rsid w:val="004E1030"/>
    <w:rsid w:val="004E517D"/>
    <w:rsid w:val="004F2AF7"/>
    <w:rsid w:val="00500557"/>
    <w:rsid w:val="00512034"/>
    <w:rsid w:val="00514CC9"/>
    <w:rsid w:val="005151EA"/>
    <w:rsid w:val="00517B53"/>
    <w:rsid w:val="0052293F"/>
    <w:rsid w:val="00536079"/>
    <w:rsid w:val="005374DA"/>
    <w:rsid w:val="0055255B"/>
    <w:rsid w:val="00552B33"/>
    <w:rsid w:val="0055384F"/>
    <w:rsid w:val="00565045"/>
    <w:rsid w:val="0057109C"/>
    <w:rsid w:val="00574D0F"/>
    <w:rsid w:val="00576209"/>
    <w:rsid w:val="00577108"/>
    <w:rsid w:val="00591488"/>
    <w:rsid w:val="0059486F"/>
    <w:rsid w:val="005973FD"/>
    <w:rsid w:val="005A238B"/>
    <w:rsid w:val="005A6CBD"/>
    <w:rsid w:val="005B1D85"/>
    <w:rsid w:val="005B3142"/>
    <w:rsid w:val="005C14A6"/>
    <w:rsid w:val="005C256A"/>
    <w:rsid w:val="005C3643"/>
    <w:rsid w:val="005C4662"/>
    <w:rsid w:val="005E749D"/>
    <w:rsid w:val="005F07E5"/>
    <w:rsid w:val="00601CED"/>
    <w:rsid w:val="00603F7B"/>
    <w:rsid w:val="00612ADA"/>
    <w:rsid w:val="00613E1F"/>
    <w:rsid w:val="00615FE2"/>
    <w:rsid w:val="006219A6"/>
    <w:rsid w:val="0062281C"/>
    <w:rsid w:val="006246E0"/>
    <w:rsid w:val="00632A17"/>
    <w:rsid w:val="006355F3"/>
    <w:rsid w:val="00642F28"/>
    <w:rsid w:val="00643930"/>
    <w:rsid w:val="0065022D"/>
    <w:rsid w:val="00663B99"/>
    <w:rsid w:val="00675E6C"/>
    <w:rsid w:val="00691DD9"/>
    <w:rsid w:val="006A12FE"/>
    <w:rsid w:val="006B7ED5"/>
    <w:rsid w:val="006C1A11"/>
    <w:rsid w:val="006D5EA8"/>
    <w:rsid w:val="006E69E0"/>
    <w:rsid w:val="00700A51"/>
    <w:rsid w:val="00704160"/>
    <w:rsid w:val="007172B7"/>
    <w:rsid w:val="00721FA4"/>
    <w:rsid w:val="0072305A"/>
    <w:rsid w:val="00724E2B"/>
    <w:rsid w:val="007327A4"/>
    <w:rsid w:val="007341C3"/>
    <w:rsid w:val="00742419"/>
    <w:rsid w:val="00743D8C"/>
    <w:rsid w:val="0074438E"/>
    <w:rsid w:val="007474AF"/>
    <w:rsid w:val="0075014E"/>
    <w:rsid w:val="007514A4"/>
    <w:rsid w:val="00751A62"/>
    <w:rsid w:val="00756F69"/>
    <w:rsid w:val="007611E5"/>
    <w:rsid w:val="00763D46"/>
    <w:rsid w:val="00773D23"/>
    <w:rsid w:val="0078211F"/>
    <w:rsid w:val="00784766"/>
    <w:rsid w:val="007911BC"/>
    <w:rsid w:val="00792AC3"/>
    <w:rsid w:val="00794459"/>
    <w:rsid w:val="00795A7F"/>
    <w:rsid w:val="007967F9"/>
    <w:rsid w:val="007A1357"/>
    <w:rsid w:val="007A1F63"/>
    <w:rsid w:val="007A687C"/>
    <w:rsid w:val="007B3D03"/>
    <w:rsid w:val="007B54AE"/>
    <w:rsid w:val="007D71A0"/>
    <w:rsid w:val="007E0782"/>
    <w:rsid w:val="007E2090"/>
    <w:rsid w:val="007F740F"/>
    <w:rsid w:val="00812E35"/>
    <w:rsid w:val="0081451D"/>
    <w:rsid w:val="00815B0E"/>
    <w:rsid w:val="00817A26"/>
    <w:rsid w:val="00820ED5"/>
    <w:rsid w:val="00821B28"/>
    <w:rsid w:val="00824A3A"/>
    <w:rsid w:val="00827F99"/>
    <w:rsid w:val="00832011"/>
    <w:rsid w:val="00835721"/>
    <w:rsid w:val="0083575A"/>
    <w:rsid w:val="00842D55"/>
    <w:rsid w:val="00844231"/>
    <w:rsid w:val="008443B2"/>
    <w:rsid w:val="00846C08"/>
    <w:rsid w:val="0085231D"/>
    <w:rsid w:val="00861FFB"/>
    <w:rsid w:val="008623F5"/>
    <w:rsid w:val="00863250"/>
    <w:rsid w:val="00864C0F"/>
    <w:rsid w:val="00870D85"/>
    <w:rsid w:val="00872D11"/>
    <w:rsid w:val="00875C7E"/>
    <w:rsid w:val="0088088F"/>
    <w:rsid w:val="00881985"/>
    <w:rsid w:val="008819D2"/>
    <w:rsid w:val="0088363F"/>
    <w:rsid w:val="008853F4"/>
    <w:rsid w:val="00895C5D"/>
    <w:rsid w:val="00897EBA"/>
    <w:rsid w:val="008A20AF"/>
    <w:rsid w:val="008B0BAA"/>
    <w:rsid w:val="008B65A9"/>
    <w:rsid w:val="008B6C35"/>
    <w:rsid w:val="008C2FBB"/>
    <w:rsid w:val="008C3A19"/>
    <w:rsid w:val="008C4861"/>
    <w:rsid w:val="008D657C"/>
    <w:rsid w:val="008E1C52"/>
    <w:rsid w:val="008E1E1E"/>
    <w:rsid w:val="008F2C28"/>
    <w:rsid w:val="008F3A13"/>
    <w:rsid w:val="008F61E1"/>
    <w:rsid w:val="00901CBA"/>
    <w:rsid w:val="009024BB"/>
    <w:rsid w:val="009043C8"/>
    <w:rsid w:val="009079A5"/>
    <w:rsid w:val="0091614F"/>
    <w:rsid w:val="0092488D"/>
    <w:rsid w:val="0093104A"/>
    <w:rsid w:val="00931A36"/>
    <w:rsid w:val="00935F48"/>
    <w:rsid w:val="00936560"/>
    <w:rsid w:val="009368B6"/>
    <w:rsid w:val="00942807"/>
    <w:rsid w:val="00950AF7"/>
    <w:rsid w:val="00951C32"/>
    <w:rsid w:val="009528F8"/>
    <w:rsid w:val="00952B1C"/>
    <w:rsid w:val="00953D6F"/>
    <w:rsid w:val="00955BFD"/>
    <w:rsid w:val="00975615"/>
    <w:rsid w:val="00981426"/>
    <w:rsid w:val="00991365"/>
    <w:rsid w:val="009943F4"/>
    <w:rsid w:val="009959A3"/>
    <w:rsid w:val="009972A7"/>
    <w:rsid w:val="009972AB"/>
    <w:rsid w:val="009A1FB5"/>
    <w:rsid w:val="009A37D8"/>
    <w:rsid w:val="009A3D36"/>
    <w:rsid w:val="009A70C5"/>
    <w:rsid w:val="009C3936"/>
    <w:rsid w:val="009D0907"/>
    <w:rsid w:val="009F2D64"/>
    <w:rsid w:val="00A03CBA"/>
    <w:rsid w:val="00A1077F"/>
    <w:rsid w:val="00A24C0F"/>
    <w:rsid w:val="00A265B7"/>
    <w:rsid w:val="00A32E7C"/>
    <w:rsid w:val="00A34EBD"/>
    <w:rsid w:val="00A40705"/>
    <w:rsid w:val="00A4108C"/>
    <w:rsid w:val="00A60CAF"/>
    <w:rsid w:val="00A62CB5"/>
    <w:rsid w:val="00A74B36"/>
    <w:rsid w:val="00AB2391"/>
    <w:rsid w:val="00AB4016"/>
    <w:rsid w:val="00AB42E1"/>
    <w:rsid w:val="00AB6354"/>
    <w:rsid w:val="00AC01E1"/>
    <w:rsid w:val="00AC5B60"/>
    <w:rsid w:val="00AD10B8"/>
    <w:rsid w:val="00AD208B"/>
    <w:rsid w:val="00AF39D5"/>
    <w:rsid w:val="00AF4675"/>
    <w:rsid w:val="00AF5880"/>
    <w:rsid w:val="00B12355"/>
    <w:rsid w:val="00B13DE6"/>
    <w:rsid w:val="00B13E30"/>
    <w:rsid w:val="00B2009C"/>
    <w:rsid w:val="00B20F0F"/>
    <w:rsid w:val="00B20F16"/>
    <w:rsid w:val="00B20F82"/>
    <w:rsid w:val="00B24918"/>
    <w:rsid w:val="00B279AD"/>
    <w:rsid w:val="00B40929"/>
    <w:rsid w:val="00B52FA5"/>
    <w:rsid w:val="00B8735A"/>
    <w:rsid w:val="00B969DC"/>
    <w:rsid w:val="00BA22A8"/>
    <w:rsid w:val="00BA2CFF"/>
    <w:rsid w:val="00BA446B"/>
    <w:rsid w:val="00BB30F9"/>
    <w:rsid w:val="00BB594F"/>
    <w:rsid w:val="00BC2CCB"/>
    <w:rsid w:val="00BC54F4"/>
    <w:rsid w:val="00BC7AD0"/>
    <w:rsid w:val="00BD2E7B"/>
    <w:rsid w:val="00BD78D2"/>
    <w:rsid w:val="00BE0355"/>
    <w:rsid w:val="00BF1EED"/>
    <w:rsid w:val="00BF5974"/>
    <w:rsid w:val="00C03F1E"/>
    <w:rsid w:val="00C07137"/>
    <w:rsid w:val="00C13B0C"/>
    <w:rsid w:val="00C30BE3"/>
    <w:rsid w:val="00C3215D"/>
    <w:rsid w:val="00C350DD"/>
    <w:rsid w:val="00C36E60"/>
    <w:rsid w:val="00C4367E"/>
    <w:rsid w:val="00C456E4"/>
    <w:rsid w:val="00C5470E"/>
    <w:rsid w:val="00C5571F"/>
    <w:rsid w:val="00C6007F"/>
    <w:rsid w:val="00C66256"/>
    <w:rsid w:val="00C7255A"/>
    <w:rsid w:val="00C7460D"/>
    <w:rsid w:val="00CA53D3"/>
    <w:rsid w:val="00CB44C2"/>
    <w:rsid w:val="00CB5871"/>
    <w:rsid w:val="00CB5DBD"/>
    <w:rsid w:val="00CC01AE"/>
    <w:rsid w:val="00CC3864"/>
    <w:rsid w:val="00CC5934"/>
    <w:rsid w:val="00CC6B91"/>
    <w:rsid w:val="00CD4830"/>
    <w:rsid w:val="00CE4718"/>
    <w:rsid w:val="00CE7A60"/>
    <w:rsid w:val="00CF0993"/>
    <w:rsid w:val="00CF44CC"/>
    <w:rsid w:val="00D077B6"/>
    <w:rsid w:val="00D11336"/>
    <w:rsid w:val="00D1562E"/>
    <w:rsid w:val="00D17149"/>
    <w:rsid w:val="00D21854"/>
    <w:rsid w:val="00D23BA1"/>
    <w:rsid w:val="00D41BD1"/>
    <w:rsid w:val="00D47B6B"/>
    <w:rsid w:val="00D516F1"/>
    <w:rsid w:val="00D55192"/>
    <w:rsid w:val="00D614AC"/>
    <w:rsid w:val="00D6609B"/>
    <w:rsid w:val="00D72328"/>
    <w:rsid w:val="00D72779"/>
    <w:rsid w:val="00D82B4C"/>
    <w:rsid w:val="00D82E50"/>
    <w:rsid w:val="00D8771A"/>
    <w:rsid w:val="00DA3BE9"/>
    <w:rsid w:val="00DA7545"/>
    <w:rsid w:val="00DC4CF3"/>
    <w:rsid w:val="00DC7304"/>
    <w:rsid w:val="00DE134C"/>
    <w:rsid w:val="00DE3F9C"/>
    <w:rsid w:val="00DE664A"/>
    <w:rsid w:val="00DF2296"/>
    <w:rsid w:val="00DF2BDC"/>
    <w:rsid w:val="00DF2DAD"/>
    <w:rsid w:val="00DF33EB"/>
    <w:rsid w:val="00DF366D"/>
    <w:rsid w:val="00E01F87"/>
    <w:rsid w:val="00E04D8A"/>
    <w:rsid w:val="00E07B1E"/>
    <w:rsid w:val="00E1151C"/>
    <w:rsid w:val="00E14F1A"/>
    <w:rsid w:val="00E177C5"/>
    <w:rsid w:val="00E212EF"/>
    <w:rsid w:val="00E33042"/>
    <w:rsid w:val="00E43880"/>
    <w:rsid w:val="00E463C0"/>
    <w:rsid w:val="00E524E9"/>
    <w:rsid w:val="00E557AE"/>
    <w:rsid w:val="00E7351B"/>
    <w:rsid w:val="00E7642F"/>
    <w:rsid w:val="00E76E31"/>
    <w:rsid w:val="00E7792E"/>
    <w:rsid w:val="00E8270D"/>
    <w:rsid w:val="00E93A7E"/>
    <w:rsid w:val="00E93CC3"/>
    <w:rsid w:val="00E96E19"/>
    <w:rsid w:val="00EA040C"/>
    <w:rsid w:val="00EA2CBF"/>
    <w:rsid w:val="00EA4875"/>
    <w:rsid w:val="00EA4ED7"/>
    <w:rsid w:val="00EA6402"/>
    <w:rsid w:val="00EB4AAF"/>
    <w:rsid w:val="00EB5638"/>
    <w:rsid w:val="00EC4EDE"/>
    <w:rsid w:val="00EC7685"/>
    <w:rsid w:val="00ED041E"/>
    <w:rsid w:val="00ED074C"/>
    <w:rsid w:val="00ED2291"/>
    <w:rsid w:val="00ED47CD"/>
    <w:rsid w:val="00ED6D55"/>
    <w:rsid w:val="00EE0A67"/>
    <w:rsid w:val="00EE568F"/>
    <w:rsid w:val="00EF4AD5"/>
    <w:rsid w:val="00EF57B1"/>
    <w:rsid w:val="00F04A92"/>
    <w:rsid w:val="00F1061C"/>
    <w:rsid w:val="00F144D7"/>
    <w:rsid w:val="00F15056"/>
    <w:rsid w:val="00F169D9"/>
    <w:rsid w:val="00F171F2"/>
    <w:rsid w:val="00F235D9"/>
    <w:rsid w:val="00F30660"/>
    <w:rsid w:val="00F401B4"/>
    <w:rsid w:val="00F407B4"/>
    <w:rsid w:val="00F413EB"/>
    <w:rsid w:val="00F435FC"/>
    <w:rsid w:val="00F50F3E"/>
    <w:rsid w:val="00F527C0"/>
    <w:rsid w:val="00F604B7"/>
    <w:rsid w:val="00F62A96"/>
    <w:rsid w:val="00F73334"/>
    <w:rsid w:val="00F73747"/>
    <w:rsid w:val="00F81530"/>
    <w:rsid w:val="00F8413C"/>
    <w:rsid w:val="00F94AFB"/>
    <w:rsid w:val="00F96F50"/>
    <w:rsid w:val="00FA7F19"/>
    <w:rsid w:val="00FB66B4"/>
    <w:rsid w:val="00FC3A34"/>
    <w:rsid w:val="00FC48C1"/>
    <w:rsid w:val="00FD037F"/>
    <w:rsid w:val="00FD5CE8"/>
    <w:rsid w:val="00FE6028"/>
    <w:rsid w:val="00FE6B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6219BD-BBA9-4248-A1AF-721FEE9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A8"/>
    <w:pPr>
      <w:bidi/>
      <w:spacing w:after="200" w:line="276" w:lineRule="auto"/>
    </w:pPr>
  </w:style>
  <w:style w:type="paragraph" w:styleId="1">
    <w:name w:val="heading 1"/>
    <w:basedOn w:val="a"/>
    <w:next w:val="a"/>
    <w:link w:val="10"/>
    <w:uiPriority w:val="9"/>
    <w:qFormat/>
    <w:rsid w:val="00F15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48A4"/>
    <w:pPr>
      <w:ind w:left="720"/>
      <w:contextualSpacing/>
    </w:pPr>
  </w:style>
  <w:style w:type="paragraph" w:styleId="a5">
    <w:name w:val="Balloon Text"/>
    <w:basedOn w:val="a"/>
    <w:link w:val="a6"/>
    <w:uiPriority w:val="99"/>
    <w:semiHidden/>
    <w:unhideWhenUsed/>
    <w:rsid w:val="00691DD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91DD9"/>
    <w:rPr>
      <w:rFonts w:ascii="Tahoma" w:hAnsi="Tahoma" w:cs="Tahoma"/>
      <w:sz w:val="16"/>
      <w:szCs w:val="16"/>
    </w:rPr>
  </w:style>
  <w:style w:type="paragraph" w:styleId="a7">
    <w:name w:val="header"/>
    <w:basedOn w:val="a"/>
    <w:link w:val="a8"/>
    <w:uiPriority w:val="99"/>
    <w:unhideWhenUsed/>
    <w:rsid w:val="00691DD9"/>
    <w:pPr>
      <w:tabs>
        <w:tab w:val="center" w:pos="4153"/>
        <w:tab w:val="right" w:pos="8306"/>
      </w:tabs>
      <w:spacing w:after="0" w:line="240" w:lineRule="auto"/>
    </w:pPr>
  </w:style>
  <w:style w:type="character" w:customStyle="1" w:styleId="a8">
    <w:name w:val="כותרת עליונה תו"/>
    <w:basedOn w:val="a0"/>
    <w:link w:val="a7"/>
    <w:uiPriority w:val="99"/>
    <w:rsid w:val="00691DD9"/>
  </w:style>
  <w:style w:type="paragraph" w:styleId="a9">
    <w:name w:val="footer"/>
    <w:basedOn w:val="a"/>
    <w:link w:val="aa"/>
    <w:uiPriority w:val="99"/>
    <w:unhideWhenUsed/>
    <w:rsid w:val="00691DD9"/>
    <w:pPr>
      <w:tabs>
        <w:tab w:val="center" w:pos="4153"/>
        <w:tab w:val="right" w:pos="8306"/>
      </w:tabs>
      <w:spacing w:after="0" w:line="240" w:lineRule="auto"/>
    </w:pPr>
  </w:style>
  <w:style w:type="character" w:customStyle="1" w:styleId="aa">
    <w:name w:val="כותרת תחתונה תו"/>
    <w:basedOn w:val="a0"/>
    <w:link w:val="a9"/>
    <w:uiPriority w:val="99"/>
    <w:rsid w:val="00691DD9"/>
  </w:style>
  <w:style w:type="character" w:styleId="ab">
    <w:name w:val="Strong"/>
    <w:basedOn w:val="a0"/>
    <w:uiPriority w:val="22"/>
    <w:qFormat/>
    <w:rsid w:val="00473B98"/>
    <w:rPr>
      <w:b/>
      <w:bCs/>
    </w:rPr>
  </w:style>
  <w:style w:type="character" w:customStyle="1" w:styleId="10">
    <w:name w:val="כותרת 1 תו"/>
    <w:basedOn w:val="a0"/>
    <w:link w:val="1"/>
    <w:uiPriority w:val="9"/>
    <w:rsid w:val="00F15056"/>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F15056"/>
    <w:rPr>
      <w:color w:val="0563C1" w:themeColor="hyperlink"/>
      <w:u w:val="single"/>
    </w:rPr>
  </w:style>
  <w:style w:type="character" w:customStyle="1" w:styleId="a4">
    <w:name w:val="פיסקת רשימה תו"/>
    <w:link w:val="a3"/>
    <w:uiPriority w:val="34"/>
    <w:locked/>
    <w:rsid w:val="000F5712"/>
  </w:style>
  <w:style w:type="paragraph" w:styleId="NormalWeb">
    <w:name w:val="Normal (Web)"/>
    <w:basedOn w:val="a"/>
    <w:uiPriority w:val="99"/>
    <w:semiHidden/>
    <w:unhideWhenUsed/>
    <w:rsid w:val="00517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827F99"/>
    <w:rPr>
      <w:sz w:val="16"/>
      <w:szCs w:val="16"/>
    </w:rPr>
  </w:style>
  <w:style w:type="paragraph" w:styleId="ad">
    <w:name w:val="annotation text"/>
    <w:basedOn w:val="a"/>
    <w:link w:val="ae"/>
    <w:uiPriority w:val="99"/>
    <w:semiHidden/>
    <w:unhideWhenUsed/>
    <w:rsid w:val="00827F99"/>
    <w:pPr>
      <w:spacing w:line="240" w:lineRule="auto"/>
    </w:pPr>
    <w:rPr>
      <w:sz w:val="20"/>
      <w:szCs w:val="20"/>
    </w:rPr>
  </w:style>
  <w:style w:type="character" w:customStyle="1" w:styleId="ae">
    <w:name w:val="טקסט הערה תו"/>
    <w:basedOn w:val="a0"/>
    <w:link w:val="ad"/>
    <w:uiPriority w:val="99"/>
    <w:semiHidden/>
    <w:rsid w:val="00827F99"/>
    <w:rPr>
      <w:sz w:val="20"/>
      <w:szCs w:val="20"/>
    </w:rPr>
  </w:style>
  <w:style w:type="paragraph" w:styleId="af">
    <w:name w:val="annotation subject"/>
    <w:basedOn w:val="ad"/>
    <w:next w:val="ad"/>
    <w:link w:val="af0"/>
    <w:uiPriority w:val="99"/>
    <w:semiHidden/>
    <w:unhideWhenUsed/>
    <w:rsid w:val="00827F99"/>
    <w:rPr>
      <w:b/>
      <w:bCs/>
    </w:rPr>
  </w:style>
  <w:style w:type="character" w:customStyle="1" w:styleId="af0">
    <w:name w:val="נושא הערה תו"/>
    <w:basedOn w:val="ae"/>
    <w:link w:val="af"/>
    <w:uiPriority w:val="99"/>
    <w:semiHidden/>
    <w:rsid w:val="00827F99"/>
    <w:rPr>
      <w:b/>
      <w:bCs/>
      <w:sz w:val="20"/>
      <w:szCs w:val="20"/>
    </w:rPr>
  </w:style>
  <w:style w:type="paragraph" w:styleId="af1">
    <w:name w:val="Revision"/>
    <w:hidden/>
    <w:uiPriority w:val="99"/>
    <w:semiHidden/>
    <w:rsid w:val="00827F99"/>
    <w:pPr>
      <w:spacing w:after="0" w:line="240" w:lineRule="auto"/>
    </w:pPr>
  </w:style>
  <w:style w:type="character" w:styleId="FollowedHyperlink">
    <w:name w:val="FollowedHyperlink"/>
    <w:basedOn w:val="a0"/>
    <w:uiPriority w:val="99"/>
    <w:semiHidden/>
    <w:unhideWhenUsed/>
    <w:rsid w:val="001D7A8E"/>
    <w:rPr>
      <w:color w:val="954F72" w:themeColor="followedHyperlink"/>
      <w:u w:val="single"/>
    </w:rPr>
  </w:style>
  <w:style w:type="paragraph" w:styleId="af2">
    <w:name w:val="footnote text"/>
    <w:basedOn w:val="a"/>
    <w:link w:val="af3"/>
    <w:semiHidden/>
    <w:unhideWhenUsed/>
    <w:rsid w:val="005C4662"/>
    <w:pPr>
      <w:spacing w:after="0" w:line="240" w:lineRule="auto"/>
    </w:pPr>
    <w:rPr>
      <w:sz w:val="20"/>
      <w:szCs w:val="20"/>
    </w:rPr>
  </w:style>
  <w:style w:type="character" w:customStyle="1" w:styleId="af3">
    <w:name w:val="טקסט הערת שוליים תו"/>
    <w:basedOn w:val="a0"/>
    <w:link w:val="af2"/>
    <w:uiPriority w:val="99"/>
    <w:semiHidden/>
    <w:rsid w:val="005C4662"/>
    <w:rPr>
      <w:sz w:val="20"/>
      <w:szCs w:val="20"/>
    </w:rPr>
  </w:style>
  <w:style w:type="character" w:styleId="af4">
    <w:name w:val="footnote reference"/>
    <w:aliases w:val="טקסט הערת שוליים חדש,Footnote Reference Number,Footnote Reference_LVL6,Footnote Reference_LVL61,Footnote Reference_LVL62,Footnote Reference_LVL63,Footnote Reference_LVL64,fr,SUPERS,EN Footnote Reference,number,Footnote symbol"/>
    <w:basedOn w:val="a0"/>
    <w:unhideWhenUsed/>
    <w:rsid w:val="005C4662"/>
    <w:rPr>
      <w:vertAlign w:val="superscript"/>
    </w:rPr>
  </w:style>
  <w:style w:type="paragraph" w:styleId="af5">
    <w:name w:val="Block Text"/>
    <w:basedOn w:val="a"/>
    <w:rsid w:val="004C7FAE"/>
    <w:pPr>
      <w:spacing w:after="120" w:line="480" w:lineRule="auto"/>
      <w:ind w:left="-57" w:hanging="1"/>
      <w:jc w:val="both"/>
    </w:pPr>
    <w:rPr>
      <w:rFonts w:ascii="Times New Roman" w:eastAsia="Times New Roman" w:hAnsi="Times New Roman" w:cs="David"/>
      <w:szCs w:val="24"/>
      <w:lang w:eastAsia="he-IL"/>
    </w:rPr>
  </w:style>
  <w:style w:type="paragraph" w:styleId="af6">
    <w:name w:val="Title"/>
    <w:basedOn w:val="a"/>
    <w:next w:val="a"/>
    <w:link w:val="af7"/>
    <w:qFormat/>
    <w:rsid w:val="004C7FAE"/>
    <w:pPr>
      <w:bidi w:val="0"/>
      <w:spacing w:after="0" w:line="240" w:lineRule="auto"/>
      <w:contextualSpacing/>
    </w:pPr>
    <w:rPr>
      <w:rFonts w:asciiTheme="majorHAnsi" w:eastAsiaTheme="majorEastAsia" w:hAnsiTheme="majorHAnsi" w:cstheme="majorBidi" w:hint="cs"/>
      <w:spacing w:val="-10"/>
      <w:kern w:val="28"/>
      <w:sz w:val="56"/>
      <w:szCs w:val="56"/>
      <w:lang w:eastAsia="he-IL"/>
    </w:rPr>
  </w:style>
  <w:style w:type="character" w:customStyle="1" w:styleId="af7">
    <w:name w:val="כותרת טקסט תו"/>
    <w:basedOn w:val="a0"/>
    <w:link w:val="af6"/>
    <w:rsid w:val="004C7FAE"/>
    <w:rPr>
      <w:rFonts w:asciiTheme="majorHAnsi" w:eastAsiaTheme="majorEastAsia" w:hAnsiTheme="majorHAnsi" w:cstheme="majorBidi"/>
      <w:spacing w:val="-10"/>
      <w:kern w:val="28"/>
      <w:sz w:val="56"/>
      <w:szCs w:val="56"/>
      <w:lang w:eastAsia="he-IL"/>
    </w:rPr>
  </w:style>
  <w:style w:type="character" w:customStyle="1" w:styleId="hwtze">
    <w:name w:val="hwtze"/>
    <w:basedOn w:val="a0"/>
    <w:rsid w:val="00751A62"/>
  </w:style>
  <w:style w:type="character" w:customStyle="1" w:styleId="rynqvb">
    <w:name w:val="rynqvb"/>
    <w:basedOn w:val="a0"/>
    <w:rsid w:val="0075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1023">
      <w:bodyDiv w:val="1"/>
      <w:marLeft w:val="0"/>
      <w:marRight w:val="0"/>
      <w:marTop w:val="0"/>
      <w:marBottom w:val="0"/>
      <w:divBdr>
        <w:top w:val="none" w:sz="0" w:space="0" w:color="auto"/>
        <w:left w:val="none" w:sz="0" w:space="0" w:color="auto"/>
        <w:bottom w:val="none" w:sz="0" w:space="0" w:color="auto"/>
        <w:right w:val="none" w:sz="0" w:space="0" w:color="auto"/>
      </w:divBdr>
      <w:divsChild>
        <w:div w:id="596907174">
          <w:marLeft w:val="0"/>
          <w:marRight w:val="1267"/>
          <w:marTop w:val="0"/>
          <w:marBottom w:val="0"/>
          <w:divBdr>
            <w:top w:val="none" w:sz="0" w:space="0" w:color="auto"/>
            <w:left w:val="none" w:sz="0" w:space="0" w:color="auto"/>
            <w:bottom w:val="none" w:sz="0" w:space="0" w:color="auto"/>
            <w:right w:val="none" w:sz="0" w:space="0" w:color="auto"/>
          </w:divBdr>
        </w:div>
        <w:div w:id="238489198">
          <w:marLeft w:val="0"/>
          <w:marRight w:val="1267"/>
          <w:marTop w:val="0"/>
          <w:marBottom w:val="0"/>
          <w:divBdr>
            <w:top w:val="none" w:sz="0" w:space="0" w:color="auto"/>
            <w:left w:val="none" w:sz="0" w:space="0" w:color="auto"/>
            <w:bottom w:val="none" w:sz="0" w:space="0" w:color="auto"/>
            <w:right w:val="none" w:sz="0" w:space="0" w:color="auto"/>
          </w:divBdr>
        </w:div>
        <w:div w:id="826020889">
          <w:marLeft w:val="0"/>
          <w:marRight w:val="1267"/>
          <w:marTop w:val="0"/>
          <w:marBottom w:val="0"/>
          <w:divBdr>
            <w:top w:val="none" w:sz="0" w:space="0" w:color="auto"/>
            <w:left w:val="none" w:sz="0" w:space="0" w:color="auto"/>
            <w:bottom w:val="none" w:sz="0" w:space="0" w:color="auto"/>
            <w:right w:val="none" w:sz="0" w:space="0" w:color="auto"/>
          </w:divBdr>
        </w:div>
        <w:div w:id="297103318">
          <w:marLeft w:val="0"/>
          <w:marRight w:val="1267"/>
          <w:marTop w:val="0"/>
          <w:marBottom w:val="0"/>
          <w:divBdr>
            <w:top w:val="none" w:sz="0" w:space="0" w:color="auto"/>
            <w:left w:val="none" w:sz="0" w:space="0" w:color="auto"/>
            <w:bottom w:val="none" w:sz="0" w:space="0" w:color="auto"/>
            <w:right w:val="none" w:sz="0" w:space="0" w:color="auto"/>
          </w:divBdr>
        </w:div>
        <w:div w:id="68042045">
          <w:marLeft w:val="0"/>
          <w:marRight w:val="1267"/>
          <w:marTop w:val="0"/>
          <w:marBottom w:val="0"/>
          <w:divBdr>
            <w:top w:val="none" w:sz="0" w:space="0" w:color="auto"/>
            <w:left w:val="none" w:sz="0" w:space="0" w:color="auto"/>
            <w:bottom w:val="none" w:sz="0" w:space="0" w:color="auto"/>
            <w:right w:val="none" w:sz="0" w:space="0" w:color="auto"/>
          </w:divBdr>
        </w:div>
        <w:div w:id="1269043442">
          <w:marLeft w:val="0"/>
          <w:marRight w:val="1267"/>
          <w:marTop w:val="0"/>
          <w:marBottom w:val="0"/>
          <w:divBdr>
            <w:top w:val="none" w:sz="0" w:space="0" w:color="auto"/>
            <w:left w:val="none" w:sz="0" w:space="0" w:color="auto"/>
            <w:bottom w:val="none" w:sz="0" w:space="0" w:color="auto"/>
            <w:right w:val="none" w:sz="0" w:space="0" w:color="auto"/>
          </w:divBdr>
        </w:div>
      </w:divsChild>
    </w:div>
    <w:div w:id="448402825">
      <w:bodyDiv w:val="1"/>
      <w:marLeft w:val="0"/>
      <w:marRight w:val="0"/>
      <w:marTop w:val="0"/>
      <w:marBottom w:val="0"/>
      <w:divBdr>
        <w:top w:val="none" w:sz="0" w:space="0" w:color="auto"/>
        <w:left w:val="none" w:sz="0" w:space="0" w:color="auto"/>
        <w:bottom w:val="none" w:sz="0" w:space="0" w:color="auto"/>
        <w:right w:val="none" w:sz="0" w:space="0" w:color="auto"/>
      </w:divBdr>
    </w:div>
    <w:div w:id="1039279665">
      <w:bodyDiv w:val="1"/>
      <w:marLeft w:val="0"/>
      <w:marRight w:val="0"/>
      <w:marTop w:val="0"/>
      <w:marBottom w:val="0"/>
      <w:divBdr>
        <w:top w:val="none" w:sz="0" w:space="0" w:color="auto"/>
        <w:left w:val="none" w:sz="0" w:space="0" w:color="auto"/>
        <w:bottom w:val="none" w:sz="0" w:space="0" w:color="auto"/>
        <w:right w:val="none" w:sz="0" w:space="0" w:color="auto"/>
      </w:divBdr>
    </w:div>
    <w:div w:id="1110393800">
      <w:bodyDiv w:val="1"/>
      <w:marLeft w:val="0"/>
      <w:marRight w:val="0"/>
      <w:marTop w:val="0"/>
      <w:marBottom w:val="0"/>
      <w:divBdr>
        <w:top w:val="none" w:sz="0" w:space="0" w:color="auto"/>
        <w:left w:val="none" w:sz="0" w:space="0" w:color="auto"/>
        <w:bottom w:val="none" w:sz="0" w:space="0" w:color="auto"/>
        <w:right w:val="none" w:sz="0" w:space="0" w:color="auto"/>
      </w:divBdr>
    </w:div>
    <w:div w:id="1409618538">
      <w:bodyDiv w:val="1"/>
      <w:marLeft w:val="0"/>
      <w:marRight w:val="0"/>
      <w:marTop w:val="0"/>
      <w:marBottom w:val="0"/>
      <w:divBdr>
        <w:top w:val="none" w:sz="0" w:space="0" w:color="auto"/>
        <w:left w:val="none" w:sz="0" w:space="0" w:color="auto"/>
        <w:bottom w:val="none" w:sz="0" w:space="0" w:color="auto"/>
        <w:right w:val="none" w:sz="0" w:space="0" w:color="auto"/>
      </w:divBdr>
    </w:div>
    <w:div w:id="1703558469">
      <w:bodyDiv w:val="1"/>
      <w:marLeft w:val="0"/>
      <w:marRight w:val="0"/>
      <w:marTop w:val="0"/>
      <w:marBottom w:val="0"/>
      <w:divBdr>
        <w:top w:val="none" w:sz="0" w:space="0" w:color="auto"/>
        <w:left w:val="none" w:sz="0" w:space="0" w:color="auto"/>
        <w:bottom w:val="none" w:sz="0" w:space="0" w:color="auto"/>
        <w:right w:val="none" w:sz="0" w:space="0" w:color="auto"/>
      </w:divBdr>
      <w:divsChild>
        <w:div w:id="1286503573">
          <w:marLeft w:val="0"/>
          <w:marRight w:val="0"/>
          <w:marTop w:val="0"/>
          <w:marBottom w:val="0"/>
          <w:divBdr>
            <w:top w:val="none" w:sz="0" w:space="0" w:color="auto"/>
            <w:left w:val="none" w:sz="0" w:space="0" w:color="auto"/>
            <w:bottom w:val="none" w:sz="0" w:space="0" w:color="auto"/>
            <w:right w:val="none" w:sz="0" w:space="0" w:color="auto"/>
          </w:divBdr>
          <w:divsChild>
            <w:div w:id="1582637861">
              <w:marLeft w:val="0"/>
              <w:marRight w:val="0"/>
              <w:marTop w:val="0"/>
              <w:marBottom w:val="0"/>
              <w:divBdr>
                <w:top w:val="none" w:sz="0" w:space="0" w:color="auto"/>
                <w:left w:val="none" w:sz="0" w:space="0" w:color="auto"/>
                <w:bottom w:val="none" w:sz="0" w:space="0" w:color="auto"/>
                <w:right w:val="none" w:sz="0" w:space="0" w:color="auto"/>
              </w:divBdr>
              <w:divsChild>
                <w:div w:id="892079207">
                  <w:marLeft w:val="0"/>
                  <w:marRight w:val="0"/>
                  <w:marTop w:val="0"/>
                  <w:marBottom w:val="0"/>
                  <w:divBdr>
                    <w:top w:val="none" w:sz="0" w:space="0" w:color="auto"/>
                    <w:left w:val="none" w:sz="0" w:space="0" w:color="auto"/>
                    <w:bottom w:val="none" w:sz="0" w:space="0" w:color="auto"/>
                    <w:right w:val="none" w:sz="0" w:space="0" w:color="auto"/>
                  </w:divBdr>
                  <w:divsChild>
                    <w:div w:id="1307584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5010323">
          <w:marLeft w:val="0"/>
          <w:marRight w:val="0"/>
          <w:marTop w:val="0"/>
          <w:marBottom w:val="0"/>
          <w:divBdr>
            <w:top w:val="none" w:sz="0" w:space="0" w:color="auto"/>
            <w:left w:val="none" w:sz="0" w:space="0" w:color="auto"/>
            <w:bottom w:val="none" w:sz="0" w:space="0" w:color="auto"/>
            <w:right w:val="none" w:sz="0" w:space="0" w:color="auto"/>
          </w:divBdr>
          <w:divsChild>
            <w:div w:id="1260140688">
              <w:marLeft w:val="0"/>
              <w:marRight w:val="0"/>
              <w:marTop w:val="0"/>
              <w:marBottom w:val="0"/>
              <w:divBdr>
                <w:top w:val="none" w:sz="0" w:space="0" w:color="auto"/>
                <w:left w:val="none" w:sz="0" w:space="0" w:color="auto"/>
                <w:bottom w:val="none" w:sz="0" w:space="0" w:color="auto"/>
                <w:right w:val="none" w:sz="0" w:space="0" w:color="auto"/>
              </w:divBdr>
              <w:divsChild>
                <w:div w:id="206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7957">
      <w:bodyDiv w:val="1"/>
      <w:marLeft w:val="0"/>
      <w:marRight w:val="0"/>
      <w:marTop w:val="0"/>
      <w:marBottom w:val="0"/>
      <w:divBdr>
        <w:top w:val="none" w:sz="0" w:space="0" w:color="auto"/>
        <w:left w:val="none" w:sz="0" w:space="0" w:color="auto"/>
        <w:bottom w:val="none" w:sz="0" w:space="0" w:color="auto"/>
        <w:right w:val="none" w:sz="0" w:space="0" w:color="auto"/>
      </w:divBdr>
    </w:div>
    <w:div w:id="1920754116">
      <w:bodyDiv w:val="1"/>
      <w:marLeft w:val="0"/>
      <w:marRight w:val="0"/>
      <w:marTop w:val="0"/>
      <w:marBottom w:val="0"/>
      <w:divBdr>
        <w:top w:val="none" w:sz="0" w:space="0" w:color="auto"/>
        <w:left w:val="none" w:sz="0" w:space="0" w:color="auto"/>
        <w:bottom w:val="none" w:sz="0" w:space="0" w:color="auto"/>
        <w:right w:val="none" w:sz="0" w:space="0" w:color="auto"/>
      </w:divBdr>
    </w:div>
    <w:div w:id="20858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1725</Characters>
  <Application>Microsoft Office Word</Application>
  <DocSecurity>4</DocSecurity>
  <Lines>14</Lines>
  <Paragraphs>4</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BOI</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 ברזני</dc:creator>
  <cp:lastModifiedBy>עודה מג' ד</cp:lastModifiedBy>
  <cp:revision>2</cp:revision>
  <dcterms:created xsi:type="dcterms:W3CDTF">2023-02-02T09:47:00Z</dcterms:created>
  <dcterms:modified xsi:type="dcterms:W3CDTF">2023-02-02T09:47:00Z</dcterms:modified>
</cp:coreProperties>
</file>