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72"/>
        <w:gridCol w:w="3119"/>
        <w:gridCol w:w="3404"/>
      </w:tblGrid>
      <w:tr w:rsidR="00405D46" w:rsidRPr="00B93FDD" w:rsidTr="004454B8">
        <w:trPr>
          <w:tblHeader/>
          <w:jc w:val="center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46" w:rsidRPr="00B93FDD" w:rsidRDefault="00405D46" w:rsidP="004454B8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lang w:eastAsia="he-IL"/>
              </w:rPr>
            </w:pPr>
            <w:r w:rsidRPr="00B93FDD"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  <w:t>בנ</w:t>
            </w:r>
            <w:r w:rsidRPr="00B93FDD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 xml:space="preserve">ק </w:t>
            </w:r>
            <w:r w:rsidRPr="00B93FDD"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  <w:t>יש</w:t>
            </w:r>
            <w:r w:rsidRPr="00B93FDD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>ראל</w:t>
            </w:r>
          </w:p>
          <w:p w:rsidR="00405D46" w:rsidRPr="00B93FDD" w:rsidRDefault="00405D46" w:rsidP="004454B8">
            <w:pPr>
              <w:spacing w:before="240" w:after="0" w:line="360" w:lineRule="auto"/>
              <w:ind w:right="-101"/>
              <w:jc w:val="center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B93FDD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>דו</w:t>
            </w:r>
            <w:r w:rsidRPr="00B93FDD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בר</w:t>
            </w:r>
            <w:r w:rsidRPr="00B93FDD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>ות</w:t>
            </w:r>
            <w:r w:rsidRPr="00B93FDD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 והסברה כלכלית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05D46" w:rsidRPr="00B93FDD" w:rsidRDefault="00405D46" w:rsidP="004454B8">
            <w:pPr>
              <w:tabs>
                <w:tab w:val="right" w:pos="2380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B93FDD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9264" behindDoc="0" locked="0" layoutInCell="1" allowOverlap="1" wp14:anchorId="599C1A08" wp14:editId="549F7EF8">
                  <wp:simplePos x="3561715" y="786765"/>
                  <wp:positionH relativeFrom="column">
                    <wp:align>center</wp:align>
                  </wp:positionH>
                  <wp:positionV relativeFrom="paragraph">
                    <wp:posOffset>154940</wp:posOffset>
                  </wp:positionV>
                  <wp:extent cx="1051200" cy="1051200"/>
                  <wp:effectExtent l="0" t="0" r="0" b="0"/>
                  <wp:wrapSquare wrapText="bothSides"/>
                  <wp:docPr id="14" name="תמונה 14" descr="\\portals\DavWWWRoot\sites\boi\about\Mitug\DocList\Logo Bank of Israel 2 color\Logo Bank of Israel 2 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ortals\DavWWWRoot\sites\boi\about\Mitug\DocList\Logo Bank of Israel 2 color\Logo Bank of Israel 2 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200" cy="105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FDD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ab/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46" w:rsidRPr="00B93FDD" w:rsidRDefault="00405D46" w:rsidP="004454B8">
            <w:pPr>
              <w:spacing w:before="240" w:after="0" w:line="480" w:lineRule="auto"/>
              <w:jc w:val="right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B93FDD">
              <w:rPr>
                <w:rFonts w:ascii="Times New Roman" w:eastAsia="Times New Roman" w:hAnsi="Times New Roman" w:cs="David" w:hint="eastAsia"/>
                <w:sz w:val="24"/>
                <w:szCs w:val="24"/>
                <w:rtl/>
                <w:lang w:eastAsia="he-IL"/>
              </w:rPr>
              <w:t>‏</w:t>
            </w:r>
            <w:r w:rsidRPr="00B93FDD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ירושלים, </w:t>
            </w:r>
            <w:r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begin"/>
            </w:r>
            <w:r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lang w:eastAsia="he-IL"/>
              </w:rPr>
              <w:instrText>DATE</w:instrTex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instrText xml:space="preserve"> \@ "</w:instrTex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lang w:eastAsia="he-IL"/>
              </w:rPr>
              <w:instrText>d MMMM, yyyy" \h</w:instrText>
            </w:r>
            <w:r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separate"/>
            </w:r>
            <w:r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‏ו' כסלו, תשפ"ד</w:t>
            </w:r>
            <w:r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end"/>
            </w:r>
          </w:p>
          <w:p w:rsidR="00405D46" w:rsidRPr="00B93FDD" w:rsidRDefault="00405D46" w:rsidP="004454B8">
            <w:pPr>
              <w:spacing w:before="240" w:after="0" w:line="480" w:lineRule="auto"/>
              <w:jc w:val="right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19 בנובמבר 2023</w:t>
            </w:r>
          </w:p>
        </w:tc>
      </w:tr>
    </w:tbl>
    <w:p w:rsidR="00405D46" w:rsidRDefault="00405D46" w:rsidP="00442151">
      <w:pPr>
        <w:bidi w:val="0"/>
        <w:spacing w:after="120" w:line="360" w:lineRule="auto"/>
        <w:jc w:val="center"/>
        <w:rPr>
          <w:rFonts w:ascii="Arial" w:eastAsiaTheme="minorEastAsia" w:hAnsi="Arial" w:cs="David"/>
          <w:b/>
          <w:bCs/>
          <w:sz w:val="28"/>
          <w:szCs w:val="28"/>
          <w:rtl/>
        </w:rPr>
      </w:pPr>
    </w:p>
    <w:p w:rsidR="000F1C4C" w:rsidRDefault="00701963" w:rsidP="00405D46">
      <w:pPr>
        <w:bidi w:val="0"/>
        <w:spacing w:after="120" w:line="360" w:lineRule="auto"/>
        <w:jc w:val="center"/>
        <w:rPr>
          <w:rFonts w:ascii="Arial" w:eastAsiaTheme="minorEastAsia" w:hAnsi="Arial" w:cs="David"/>
          <w:b/>
          <w:bCs/>
          <w:sz w:val="28"/>
          <w:szCs w:val="28"/>
          <w:rtl/>
        </w:rPr>
      </w:pPr>
      <w:r>
        <w:rPr>
          <w:rFonts w:ascii="Arial" w:eastAsiaTheme="minorEastAsia" w:hAnsi="Arial" w:cs="David" w:hint="cs"/>
          <w:b/>
          <w:bCs/>
          <w:sz w:val="28"/>
          <w:szCs w:val="28"/>
          <w:rtl/>
        </w:rPr>
        <w:t xml:space="preserve">בנק ישראל מודיע על </w:t>
      </w:r>
      <w:r w:rsidR="00627A76">
        <w:rPr>
          <w:rFonts w:ascii="Arial" w:eastAsiaTheme="minorEastAsia" w:hAnsi="Arial" w:cs="David" w:hint="cs"/>
          <w:b/>
          <w:bCs/>
          <w:sz w:val="28"/>
          <w:szCs w:val="28"/>
          <w:rtl/>
        </w:rPr>
        <w:t>הרחבת קודי הזיהוי במגזר</w:t>
      </w:r>
      <w:r>
        <w:rPr>
          <w:rFonts w:ascii="Arial" w:eastAsiaTheme="minorEastAsia" w:hAnsi="Arial" w:cs="David" w:hint="cs"/>
          <w:b/>
          <w:bCs/>
          <w:sz w:val="28"/>
          <w:szCs w:val="28"/>
          <w:rtl/>
        </w:rPr>
        <w:t xml:space="preserve"> הפיננסי</w:t>
      </w:r>
      <w:r w:rsidR="00627A76">
        <w:rPr>
          <w:rFonts w:ascii="Arial" w:eastAsiaTheme="minorEastAsia" w:hAnsi="Arial" w:cs="David" w:hint="cs"/>
          <w:b/>
          <w:bCs/>
          <w:sz w:val="28"/>
          <w:szCs w:val="28"/>
          <w:rtl/>
        </w:rPr>
        <w:t xml:space="preserve"> ליישום עד סוף </w:t>
      </w:r>
      <w:r w:rsidR="00442151">
        <w:rPr>
          <w:rFonts w:ascii="Arial" w:eastAsiaTheme="minorEastAsia" w:hAnsi="Arial" w:cs="David" w:hint="cs"/>
          <w:b/>
          <w:bCs/>
          <w:sz w:val="28"/>
          <w:szCs w:val="28"/>
          <w:rtl/>
        </w:rPr>
        <w:t>דצמבר 2026</w:t>
      </w:r>
      <w:r w:rsidR="00627A76">
        <w:rPr>
          <w:rFonts w:ascii="Arial" w:eastAsiaTheme="minorEastAsia" w:hAnsi="Arial" w:cs="David" w:hint="cs"/>
          <w:b/>
          <w:bCs/>
          <w:sz w:val="28"/>
          <w:szCs w:val="28"/>
          <w:rtl/>
        </w:rPr>
        <w:t xml:space="preserve"> על-מנת</w:t>
      </w:r>
      <w:r>
        <w:rPr>
          <w:rFonts w:ascii="Arial" w:eastAsiaTheme="minorEastAsia" w:hAnsi="Arial" w:cs="David" w:hint="cs"/>
          <w:b/>
          <w:bCs/>
          <w:sz w:val="28"/>
          <w:szCs w:val="28"/>
          <w:rtl/>
        </w:rPr>
        <w:t xml:space="preserve"> לאפשר ליותר גופים חוץ-בנקאיים לפעול במערכות התשלומים </w:t>
      </w:r>
    </w:p>
    <w:p w:rsidR="00701963" w:rsidRPr="00405D46" w:rsidRDefault="00546AA9" w:rsidP="00546AA9">
      <w:pPr>
        <w:bidi w:val="0"/>
        <w:spacing w:after="120"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405D46">
        <w:rPr>
          <w:rFonts w:ascii="Arial" w:eastAsiaTheme="minorEastAsia" w:hAnsi="Arial" w:cs="David" w:hint="cs"/>
          <w:b/>
          <w:bCs/>
          <w:sz w:val="24"/>
          <w:szCs w:val="24"/>
          <w:rtl/>
        </w:rPr>
        <w:t>קול קורא מתפרסם היום כחלק מתהליך</w:t>
      </w:r>
      <w:r w:rsidR="00701963" w:rsidRPr="00405D46">
        <w:rPr>
          <w:rFonts w:ascii="Arial" w:eastAsiaTheme="minorEastAsia" w:hAnsi="Arial" w:cs="David" w:hint="cs"/>
          <w:b/>
          <w:bCs/>
          <w:sz w:val="24"/>
          <w:szCs w:val="24"/>
          <w:rtl/>
        </w:rPr>
        <w:t xml:space="preserve"> היוועצות עם המשק לגבי אופן ההרחבה</w:t>
      </w:r>
      <w:r w:rsidR="00627A76" w:rsidRPr="00405D46">
        <w:rPr>
          <w:rFonts w:ascii="Arial" w:eastAsiaTheme="minorEastAsia" w:hAnsi="Arial" w:cs="David" w:hint="cs"/>
          <w:b/>
          <w:bCs/>
          <w:sz w:val="24"/>
          <w:szCs w:val="24"/>
          <w:rtl/>
        </w:rPr>
        <w:t xml:space="preserve"> </w:t>
      </w:r>
    </w:p>
    <w:p w:rsidR="000F1C4C" w:rsidRDefault="000F1C4C" w:rsidP="000F1C4C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B72A4D" w:rsidRDefault="000F1C4C" w:rsidP="00A734D3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0F1C4C">
        <w:rPr>
          <w:rFonts w:ascii="David" w:hAnsi="David" w:cs="David"/>
          <w:sz w:val="24"/>
          <w:szCs w:val="24"/>
          <w:rtl/>
        </w:rPr>
        <w:t xml:space="preserve">בנק ישראל </w:t>
      </w:r>
      <w:r>
        <w:rPr>
          <w:rFonts w:ascii="David" w:hAnsi="David" w:cs="David" w:hint="cs"/>
          <w:sz w:val="24"/>
          <w:szCs w:val="24"/>
          <w:rtl/>
        </w:rPr>
        <w:t>ממשיך לפעול</w:t>
      </w:r>
      <w:r w:rsidRPr="000F1C4C">
        <w:rPr>
          <w:rFonts w:ascii="David" w:hAnsi="David" w:cs="David"/>
          <w:sz w:val="24"/>
          <w:szCs w:val="24"/>
          <w:rtl/>
        </w:rPr>
        <w:t xml:space="preserve"> להגברת היעילות והתחרות במערכות התשלומים, ו</w:t>
      </w:r>
      <w:r>
        <w:rPr>
          <w:rFonts w:ascii="David" w:hAnsi="David" w:cs="David" w:hint="cs"/>
          <w:sz w:val="24"/>
          <w:szCs w:val="24"/>
          <w:rtl/>
        </w:rPr>
        <w:t xml:space="preserve">כחלק מכך </w:t>
      </w:r>
      <w:r w:rsidRPr="000F1C4C">
        <w:rPr>
          <w:rFonts w:ascii="David" w:hAnsi="David" w:cs="David"/>
          <w:sz w:val="24"/>
          <w:szCs w:val="24"/>
          <w:rtl/>
        </w:rPr>
        <w:t xml:space="preserve">מעודד </w:t>
      </w:r>
      <w:r>
        <w:rPr>
          <w:rFonts w:ascii="David" w:hAnsi="David" w:cs="David" w:hint="cs"/>
          <w:sz w:val="24"/>
          <w:szCs w:val="24"/>
          <w:rtl/>
        </w:rPr>
        <w:t>ומלווה</w:t>
      </w:r>
      <w:r w:rsidRPr="000F1C4C">
        <w:rPr>
          <w:rFonts w:ascii="David" w:hAnsi="David" w:cs="David"/>
          <w:sz w:val="24"/>
          <w:szCs w:val="24"/>
          <w:rtl/>
        </w:rPr>
        <w:t xml:space="preserve"> גופים חוץ-בנקאיים, כולל חברות </w:t>
      </w:r>
      <w:proofErr w:type="spellStart"/>
      <w:r w:rsidRPr="000F1C4C">
        <w:rPr>
          <w:rFonts w:ascii="David" w:hAnsi="David" w:cs="David"/>
          <w:sz w:val="24"/>
          <w:szCs w:val="24"/>
          <w:rtl/>
        </w:rPr>
        <w:t>פינטק</w:t>
      </w:r>
      <w:proofErr w:type="spellEnd"/>
      <w:r w:rsidRPr="000F1C4C">
        <w:rPr>
          <w:rFonts w:ascii="David" w:hAnsi="David" w:cs="David"/>
          <w:sz w:val="24"/>
          <w:szCs w:val="24"/>
          <w:rtl/>
        </w:rPr>
        <w:t xml:space="preserve"> מקומיות ובין-לאומיות ל</w:t>
      </w:r>
      <w:r>
        <w:rPr>
          <w:rFonts w:ascii="David" w:hAnsi="David" w:cs="David" w:hint="cs"/>
          <w:sz w:val="24"/>
          <w:szCs w:val="24"/>
          <w:rtl/>
        </w:rPr>
        <w:t xml:space="preserve">פעול במערכות הליבה של המגזר הפיננסי בישראל, </w:t>
      </w:r>
      <w:r w:rsidRPr="000F1C4C">
        <w:rPr>
          <w:rFonts w:ascii="David" w:hAnsi="David" w:cs="David"/>
          <w:sz w:val="24"/>
          <w:szCs w:val="24"/>
          <w:rtl/>
        </w:rPr>
        <w:t xml:space="preserve">לצד הבנקים, </w:t>
      </w:r>
      <w:r w:rsidR="00D153E0">
        <w:rPr>
          <w:rFonts w:ascii="David" w:hAnsi="David" w:cs="David" w:hint="cs"/>
          <w:sz w:val="24"/>
          <w:szCs w:val="24"/>
          <w:rtl/>
        </w:rPr>
        <w:t>ולהציע</w:t>
      </w:r>
      <w:r w:rsidR="00D153E0" w:rsidRPr="00FB1ECD">
        <w:rPr>
          <w:rFonts w:ascii="David" w:hAnsi="David" w:cs="David"/>
          <w:sz w:val="24"/>
          <w:szCs w:val="24"/>
          <w:rtl/>
        </w:rPr>
        <w:t xml:space="preserve"> מגוון רחב של שירותים פיננסים </w:t>
      </w:r>
      <w:r w:rsidR="00D153E0">
        <w:rPr>
          <w:rFonts w:ascii="David" w:hAnsi="David" w:cs="David" w:hint="cs"/>
          <w:sz w:val="24"/>
          <w:szCs w:val="24"/>
          <w:rtl/>
        </w:rPr>
        <w:t xml:space="preserve">והצעות ערך </w:t>
      </w:r>
      <w:r w:rsidR="00D153E0" w:rsidRPr="00FB1ECD">
        <w:rPr>
          <w:rFonts w:ascii="David" w:hAnsi="David" w:cs="David"/>
          <w:sz w:val="24"/>
          <w:szCs w:val="24"/>
          <w:rtl/>
        </w:rPr>
        <w:t>לציבור הישראלי</w:t>
      </w:r>
      <w:r w:rsidR="00A734D3">
        <w:rPr>
          <w:rFonts w:ascii="David" w:hAnsi="David" w:cs="David"/>
          <w:sz w:val="24"/>
          <w:szCs w:val="24"/>
        </w:rPr>
        <w:t xml:space="preserve"> </w:t>
      </w:r>
      <w:r w:rsidRPr="000F1C4C">
        <w:rPr>
          <w:rFonts w:ascii="David" w:hAnsi="David" w:cs="David"/>
          <w:sz w:val="24"/>
          <w:szCs w:val="24"/>
        </w:rPr>
        <w:t>.</w:t>
      </w:r>
      <w:r w:rsidR="00FB1ECD">
        <w:rPr>
          <w:rFonts w:ascii="David" w:hAnsi="David" w:cs="David" w:hint="cs"/>
          <w:sz w:val="24"/>
          <w:szCs w:val="24"/>
          <w:rtl/>
        </w:rPr>
        <w:t xml:space="preserve">הצטרפותם של שחקנים חדשים מותנת בין היתר בזיהוי שלהם באמצעות קוד זיהוי, </w:t>
      </w:r>
      <w:r w:rsidRPr="000F1C4C">
        <w:rPr>
          <w:rFonts w:ascii="David" w:hAnsi="David" w:cs="David"/>
          <w:sz w:val="24"/>
          <w:szCs w:val="24"/>
          <w:rtl/>
        </w:rPr>
        <w:t>בעבר כונה "קוד בנק".</w:t>
      </w:r>
      <w:r w:rsidR="00A734D3">
        <w:rPr>
          <w:rFonts w:ascii="David" w:hAnsi="David" w:cs="David" w:hint="cs"/>
          <w:sz w:val="24"/>
          <w:szCs w:val="24"/>
          <w:rtl/>
        </w:rPr>
        <w:t xml:space="preserve"> </w:t>
      </w:r>
      <w:r w:rsidR="00FB1ECD">
        <w:rPr>
          <w:rFonts w:ascii="David" w:hAnsi="David" w:cs="David" w:hint="cs"/>
          <w:sz w:val="24"/>
          <w:szCs w:val="24"/>
          <w:rtl/>
        </w:rPr>
        <w:t xml:space="preserve">כשם </w:t>
      </w:r>
      <w:r w:rsidR="00546AA9">
        <w:rPr>
          <w:rFonts w:ascii="David" w:hAnsi="David" w:cs="David" w:hint="cs"/>
          <w:sz w:val="24"/>
          <w:szCs w:val="24"/>
          <w:rtl/>
        </w:rPr>
        <w:t>שצפויה</w:t>
      </w:r>
      <w:r w:rsidR="00FB1ECD">
        <w:rPr>
          <w:rFonts w:ascii="David" w:hAnsi="David" w:cs="David" w:hint="cs"/>
          <w:sz w:val="24"/>
          <w:szCs w:val="24"/>
          <w:rtl/>
        </w:rPr>
        <w:t xml:space="preserve"> כניסתם של שחקנים חדשים לתחום התשלומים, </w:t>
      </w:r>
      <w:r w:rsidRPr="000F1C4C">
        <w:rPr>
          <w:rFonts w:ascii="David" w:hAnsi="David" w:cs="David"/>
          <w:sz w:val="24"/>
          <w:szCs w:val="24"/>
          <w:rtl/>
        </w:rPr>
        <w:t xml:space="preserve">בנק ישראל מודיע בזאת על כוונתו להרחיב את </w:t>
      </w:r>
      <w:r w:rsidR="00FB1ECD">
        <w:rPr>
          <w:rFonts w:ascii="David" w:hAnsi="David" w:cs="David" w:hint="cs"/>
          <w:sz w:val="24"/>
          <w:szCs w:val="24"/>
          <w:rtl/>
        </w:rPr>
        <w:t xml:space="preserve">מספר </w:t>
      </w:r>
      <w:r w:rsidR="00B72A4D">
        <w:rPr>
          <w:rFonts w:ascii="David" w:hAnsi="David" w:cs="David"/>
          <w:sz w:val="24"/>
          <w:szCs w:val="24"/>
          <w:rtl/>
        </w:rPr>
        <w:t>קוד הזיהוי</w:t>
      </w:r>
      <w:r w:rsidRPr="000F1C4C">
        <w:rPr>
          <w:rFonts w:ascii="David" w:hAnsi="David" w:cs="David"/>
          <w:sz w:val="24"/>
          <w:szCs w:val="24"/>
          <w:rtl/>
        </w:rPr>
        <w:t xml:space="preserve"> המורכב כיום מ-2 תווים. </w:t>
      </w:r>
    </w:p>
    <w:p w:rsidR="00FB1ECD" w:rsidRPr="00B72A4D" w:rsidRDefault="000F1C4C" w:rsidP="00546AA9">
      <w:pPr>
        <w:pStyle w:val="ae"/>
        <w:numPr>
          <w:ilvl w:val="0"/>
          <w:numId w:val="4"/>
        </w:num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72A4D">
        <w:rPr>
          <w:rFonts w:ascii="David" w:hAnsi="David" w:cs="David"/>
          <w:sz w:val="24"/>
          <w:szCs w:val="24"/>
          <w:rtl/>
        </w:rPr>
        <w:t xml:space="preserve">ההרחבה תהיה למספר תווים גדול יותר שייתן מענה לצרכי </w:t>
      </w:r>
      <w:r w:rsidR="00546AA9">
        <w:rPr>
          <w:rFonts w:ascii="David" w:hAnsi="David" w:cs="David" w:hint="cs"/>
          <w:sz w:val="24"/>
          <w:szCs w:val="24"/>
          <w:rtl/>
        </w:rPr>
        <w:t>ההשתתפות</w:t>
      </w:r>
      <w:r w:rsidR="00546AA9" w:rsidRPr="00B72A4D">
        <w:rPr>
          <w:rFonts w:ascii="David" w:hAnsi="David" w:cs="David"/>
          <w:sz w:val="24"/>
          <w:szCs w:val="24"/>
          <w:rtl/>
        </w:rPr>
        <w:t xml:space="preserve"> </w:t>
      </w:r>
      <w:r w:rsidR="00546AA9">
        <w:rPr>
          <w:rFonts w:ascii="David" w:hAnsi="David" w:cs="David" w:hint="cs"/>
          <w:sz w:val="24"/>
          <w:szCs w:val="24"/>
          <w:rtl/>
        </w:rPr>
        <w:t>ב</w:t>
      </w:r>
      <w:r w:rsidRPr="00B72A4D">
        <w:rPr>
          <w:rFonts w:ascii="David" w:hAnsi="David" w:cs="David"/>
          <w:sz w:val="24"/>
          <w:szCs w:val="24"/>
          <w:rtl/>
        </w:rPr>
        <w:t xml:space="preserve">מערכות התשלומים גם בשנים הבאות </w:t>
      </w:r>
    </w:p>
    <w:p w:rsidR="000F1C4C" w:rsidRPr="00B72A4D" w:rsidRDefault="000F1C4C" w:rsidP="008716F3">
      <w:pPr>
        <w:pStyle w:val="ae"/>
        <w:numPr>
          <w:ilvl w:val="0"/>
          <w:numId w:val="4"/>
        </w:num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72A4D">
        <w:rPr>
          <w:rFonts w:ascii="David" w:hAnsi="David" w:cs="David"/>
          <w:sz w:val="24"/>
          <w:szCs w:val="24"/>
          <w:rtl/>
        </w:rPr>
        <w:t>בכוונת בנק ישראל להודיע על תצורת ההרחבה של קודי הזיהוי ב</w:t>
      </w:r>
      <w:r w:rsidR="00442151">
        <w:rPr>
          <w:rFonts w:ascii="David" w:hAnsi="David" w:cs="David" w:hint="cs"/>
          <w:sz w:val="24"/>
          <w:szCs w:val="24"/>
          <w:rtl/>
        </w:rPr>
        <w:t>יולי 2024</w:t>
      </w:r>
    </w:p>
    <w:p w:rsidR="000F1C4C" w:rsidRPr="00B72A4D" w:rsidRDefault="000F1C4C" w:rsidP="008716F3">
      <w:pPr>
        <w:pStyle w:val="ae"/>
        <w:numPr>
          <w:ilvl w:val="0"/>
          <w:numId w:val="4"/>
        </w:num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72A4D">
        <w:rPr>
          <w:rFonts w:ascii="David" w:hAnsi="David" w:cs="David"/>
          <w:sz w:val="24"/>
          <w:szCs w:val="24"/>
          <w:rtl/>
        </w:rPr>
        <w:t>החלת השימוש בקוד הזיהוי המורחב תחל ב</w:t>
      </w:r>
      <w:r w:rsidR="00442151">
        <w:rPr>
          <w:rFonts w:ascii="David" w:hAnsi="David" w:cs="David" w:hint="cs"/>
          <w:sz w:val="24"/>
          <w:szCs w:val="24"/>
          <w:rtl/>
        </w:rPr>
        <w:t>ינואר 2027</w:t>
      </w:r>
      <w:r w:rsidR="008716F3">
        <w:rPr>
          <w:rFonts w:ascii="David" w:hAnsi="David" w:cs="David" w:hint="cs"/>
          <w:sz w:val="24"/>
          <w:szCs w:val="24"/>
          <w:rtl/>
        </w:rPr>
        <w:t xml:space="preserve"> </w:t>
      </w:r>
      <w:r w:rsidRPr="00B72A4D">
        <w:rPr>
          <w:rFonts w:ascii="David" w:hAnsi="David" w:cs="David"/>
          <w:sz w:val="24"/>
          <w:szCs w:val="24"/>
          <w:rtl/>
        </w:rPr>
        <w:t xml:space="preserve">ולכן הטמעתו צריכה להסתיים </w:t>
      </w:r>
      <w:r w:rsidR="008716F3">
        <w:rPr>
          <w:rFonts w:ascii="David" w:hAnsi="David" w:cs="David" w:hint="cs"/>
          <w:sz w:val="24"/>
          <w:szCs w:val="24"/>
          <w:rtl/>
        </w:rPr>
        <w:t xml:space="preserve"> </w:t>
      </w:r>
      <w:r w:rsidRPr="00B72A4D">
        <w:rPr>
          <w:rFonts w:ascii="David" w:hAnsi="David" w:cs="David"/>
          <w:sz w:val="24"/>
          <w:szCs w:val="24"/>
          <w:rtl/>
        </w:rPr>
        <w:t xml:space="preserve">עד </w:t>
      </w:r>
      <w:r w:rsidR="00442151">
        <w:rPr>
          <w:rFonts w:ascii="David" w:hAnsi="David" w:cs="David" w:hint="cs"/>
          <w:sz w:val="24"/>
          <w:szCs w:val="24"/>
          <w:rtl/>
        </w:rPr>
        <w:t>דצמבר 2026</w:t>
      </w:r>
      <w:r w:rsidRPr="00B72A4D">
        <w:rPr>
          <w:rFonts w:ascii="David" w:hAnsi="David" w:cs="David"/>
          <w:sz w:val="24"/>
          <w:szCs w:val="24"/>
          <w:rtl/>
        </w:rPr>
        <w:t xml:space="preserve">  </w:t>
      </w:r>
    </w:p>
    <w:p w:rsidR="00B72A4D" w:rsidRPr="00B9668A" w:rsidRDefault="00B72A4D" w:rsidP="00546AA9">
      <w:pPr>
        <w:pStyle w:val="ae"/>
        <w:numPr>
          <w:ilvl w:val="0"/>
          <w:numId w:val="4"/>
        </w:numPr>
        <w:spacing w:after="120" w:line="360" w:lineRule="auto"/>
        <w:jc w:val="both"/>
        <w:rPr>
          <w:rFonts w:ascii="David" w:hAnsi="David" w:cs="David"/>
          <w:sz w:val="24"/>
          <w:szCs w:val="24"/>
        </w:rPr>
      </w:pPr>
      <w:r w:rsidRPr="00B9668A">
        <w:rPr>
          <w:rFonts w:ascii="David" w:hAnsi="David" w:cs="David"/>
          <w:sz w:val="24"/>
          <w:szCs w:val="24"/>
          <w:rtl/>
        </w:rPr>
        <w:t xml:space="preserve">בנק ישראל מעוניין לקבל מידע בהתאם לשאלות המנחות </w:t>
      </w:r>
      <w:r w:rsidR="00546AA9">
        <w:rPr>
          <w:rFonts w:ascii="David" w:hAnsi="David" w:cs="David" w:hint="cs"/>
          <w:sz w:val="24"/>
          <w:szCs w:val="24"/>
          <w:rtl/>
        </w:rPr>
        <w:t xml:space="preserve">המתפרסמות בקול קורא יחד עם הודעה זו </w:t>
      </w:r>
    </w:p>
    <w:p w:rsidR="00FB1ECD" w:rsidRPr="00FC34FC" w:rsidRDefault="00FB1ECD" w:rsidP="00FB1ECD">
      <w:pPr>
        <w:spacing w:after="12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0F1C4C" w:rsidRDefault="00D153E0" w:rsidP="00260FC3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b/>
          <w:bCs/>
          <w:sz w:val="24"/>
          <w:szCs w:val="24"/>
          <w:rtl/>
        </w:rPr>
        <w:t>מנהל מחלקת מערכות תשלומים וסליק</w:t>
      </w:r>
      <w:r w:rsidRPr="00D153E0">
        <w:rPr>
          <w:rFonts w:ascii="David" w:hAnsi="David" w:cs="David" w:hint="cs"/>
          <w:b/>
          <w:bCs/>
          <w:sz w:val="24"/>
          <w:szCs w:val="24"/>
          <w:rtl/>
        </w:rPr>
        <w:t>ה</w:t>
      </w:r>
      <w:r w:rsidR="00260FC3">
        <w:rPr>
          <w:rFonts w:ascii="David" w:hAnsi="David" w:cs="David" w:hint="cs"/>
          <w:b/>
          <w:bCs/>
          <w:sz w:val="24"/>
          <w:szCs w:val="24"/>
          <w:rtl/>
        </w:rPr>
        <w:t xml:space="preserve">, </w:t>
      </w:r>
      <w:r w:rsidR="00260FC3">
        <w:rPr>
          <w:rFonts w:ascii="David" w:hAnsi="David" w:cs="David"/>
          <w:b/>
          <w:bCs/>
          <w:sz w:val="24"/>
          <w:szCs w:val="24"/>
          <w:rtl/>
        </w:rPr>
        <w:t>עודד סלומי</w:t>
      </w:r>
      <w:r w:rsidRPr="00D153E0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="00FB1ECD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"</w:t>
      </w:r>
      <w:r w:rsidR="00FB1ECD">
        <w:rPr>
          <w:rFonts w:ascii="David" w:hAnsi="David" w:cs="David" w:hint="cs"/>
          <w:sz w:val="24"/>
          <w:szCs w:val="24"/>
          <w:rtl/>
        </w:rPr>
        <w:t>ה</w:t>
      </w:r>
      <w:r w:rsidR="00546AA9">
        <w:rPr>
          <w:rFonts w:ascii="David" w:hAnsi="David" w:cs="David" w:hint="cs"/>
          <w:sz w:val="24"/>
          <w:szCs w:val="24"/>
          <w:rtl/>
        </w:rPr>
        <w:t>ה</w:t>
      </w:r>
      <w:r w:rsidR="00FB1ECD">
        <w:rPr>
          <w:rFonts w:ascii="David" w:hAnsi="David" w:cs="David" w:hint="cs"/>
          <w:sz w:val="24"/>
          <w:szCs w:val="24"/>
          <w:rtl/>
        </w:rPr>
        <w:t xml:space="preserve">חלטה על הרחבת קודי הזיהוי מגיעה </w:t>
      </w:r>
      <w:r w:rsidR="00CD39A1">
        <w:rPr>
          <w:rFonts w:ascii="David" w:hAnsi="David" w:cs="David" w:hint="cs"/>
          <w:sz w:val="24"/>
          <w:szCs w:val="24"/>
          <w:rtl/>
        </w:rPr>
        <w:t xml:space="preserve">כצעד תומך </w:t>
      </w:r>
      <w:r w:rsidR="00FB1ECD">
        <w:rPr>
          <w:rFonts w:ascii="David" w:hAnsi="David" w:cs="David" w:hint="cs"/>
          <w:sz w:val="24"/>
          <w:szCs w:val="24"/>
          <w:rtl/>
        </w:rPr>
        <w:t>במקביל לשורה של צעדים שהובלנו בשוק התשלומים ל</w:t>
      </w:r>
      <w:r>
        <w:rPr>
          <w:rFonts w:ascii="David" w:hAnsi="David" w:cs="David" w:hint="cs"/>
          <w:sz w:val="24"/>
          <w:szCs w:val="24"/>
          <w:rtl/>
        </w:rPr>
        <w:t xml:space="preserve">טובת </w:t>
      </w:r>
      <w:r w:rsidR="00FB1ECD">
        <w:rPr>
          <w:rFonts w:ascii="David" w:hAnsi="David" w:cs="David" w:hint="cs"/>
          <w:sz w:val="24"/>
          <w:szCs w:val="24"/>
          <w:rtl/>
        </w:rPr>
        <w:t>פ</w:t>
      </w:r>
      <w:r w:rsidR="00FB1ECD" w:rsidRPr="00FB1ECD">
        <w:rPr>
          <w:rFonts w:ascii="David" w:hAnsi="David" w:cs="David"/>
          <w:sz w:val="24"/>
          <w:szCs w:val="24"/>
          <w:rtl/>
        </w:rPr>
        <w:t>תיחת מערכות התשלומים</w:t>
      </w:r>
      <w:r>
        <w:rPr>
          <w:rFonts w:ascii="David" w:hAnsi="David" w:cs="David" w:hint="cs"/>
          <w:sz w:val="24"/>
          <w:szCs w:val="24"/>
          <w:rtl/>
        </w:rPr>
        <w:t xml:space="preserve"> בישראל</w:t>
      </w:r>
      <w:r w:rsidR="00FB1ECD" w:rsidRPr="00FB1ECD">
        <w:rPr>
          <w:rFonts w:ascii="David" w:hAnsi="David" w:cs="David"/>
          <w:sz w:val="24"/>
          <w:szCs w:val="24"/>
          <w:rtl/>
        </w:rPr>
        <w:t xml:space="preserve"> </w:t>
      </w:r>
      <w:r w:rsidR="00FB1ECD">
        <w:rPr>
          <w:rFonts w:ascii="David" w:hAnsi="David" w:cs="David" w:hint="cs"/>
          <w:sz w:val="24"/>
          <w:szCs w:val="24"/>
          <w:rtl/>
        </w:rPr>
        <w:t>לשחקנים</w:t>
      </w:r>
      <w:r w:rsidR="00FB1ECD" w:rsidRPr="00FB1ECD">
        <w:rPr>
          <w:rFonts w:ascii="David" w:hAnsi="David" w:cs="David"/>
          <w:sz w:val="24"/>
          <w:szCs w:val="24"/>
          <w:rtl/>
        </w:rPr>
        <w:t xml:space="preserve"> חדשים.</w:t>
      </w:r>
      <w:r w:rsidR="00FB1ECD">
        <w:rPr>
          <w:rFonts w:ascii="David" w:hAnsi="David" w:cs="David" w:hint="cs"/>
          <w:sz w:val="24"/>
          <w:szCs w:val="24"/>
          <w:rtl/>
        </w:rPr>
        <w:t xml:space="preserve"> כתוצאה ממהלכים אלו, אנו </w:t>
      </w:r>
      <w:r>
        <w:rPr>
          <w:rFonts w:ascii="David" w:hAnsi="David" w:cs="David" w:hint="cs"/>
          <w:sz w:val="24"/>
          <w:szCs w:val="24"/>
          <w:rtl/>
        </w:rPr>
        <w:t>מלווים</w:t>
      </w:r>
      <w:r w:rsidR="00FB1ECD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גופים</w:t>
      </w:r>
      <w:r w:rsidR="00FB1ECD">
        <w:rPr>
          <w:rFonts w:ascii="David" w:hAnsi="David" w:cs="David" w:hint="cs"/>
          <w:sz w:val="24"/>
          <w:szCs w:val="24"/>
          <w:rtl/>
        </w:rPr>
        <w:t xml:space="preserve"> בת</w:t>
      </w:r>
      <w:r w:rsidR="00FB1ECD" w:rsidRPr="00FB1ECD">
        <w:rPr>
          <w:rFonts w:ascii="David" w:hAnsi="David" w:cs="David"/>
          <w:sz w:val="24"/>
          <w:szCs w:val="24"/>
          <w:rtl/>
        </w:rPr>
        <w:t xml:space="preserve">הליך </w:t>
      </w:r>
      <w:r w:rsidR="00FB1ECD">
        <w:rPr>
          <w:rFonts w:ascii="David" w:hAnsi="David" w:cs="David" w:hint="cs"/>
          <w:sz w:val="24"/>
          <w:szCs w:val="24"/>
          <w:rtl/>
        </w:rPr>
        <w:t>הצטרפותם</w:t>
      </w:r>
      <w:r w:rsidR="00FB1ECD" w:rsidRPr="00FB1ECD">
        <w:rPr>
          <w:rFonts w:ascii="David" w:hAnsi="David" w:cs="David"/>
          <w:sz w:val="24"/>
          <w:szCs w:val="24"/>
          <w:rtl/>
        </w:rPr>
        <w:t xml:space="preserve"> </w:t>
      </w:r>
      <w:r w:rsidR="00546AA9">
        <w:rPr>
          <w:rFonts w:ascii="David" w:hAnsi="David" w:cs="David" w:hint="cs"/>
          <w:sz w:val="24"/>
          <w:szCs w:val="24"/>
          <w:rtl/>
        </w:rPr>
        <w:t>כמשתתפים ב</w:t>
      </w:r>
      <w:r w:rsidR="00FB1ECD" w:rsidRPr="00FB1ECD">
        <w:rPr>
          <w:rFonts w:ascii="David" w:hAnsi="David" w:cs="David"/>
          <w:sz w:val="24"/>
          <w:szCs w:val="24"/>
          <w:rtl/>
        </w:rPr>
        <w:t>מערכות התשלומים</w:t>
      </w:r>
      <w:r w:rsidR="00A734D3">
        <w:rPr>
          <w:rFonts w:ascii="David" w:hAnsi="David" w:cs="David" w:hint="cs"/>
          <w:sz w:val="24"/>
          <w:szCs w:val="24"/>
          <w:rtl/>
        </w:rPr>
        <w:t xml:space="preserve"> ובמקביל </w:t>
      </w:r>
      <w:r>
        <w:rPr>
          <w:rFonts w:ascii="David" w:hAnsi="David" w:cs="David" w:hint="cs"/>
          <w:sz w:val="24"/>
          <w:szCs w:val="24"/>
          <w:rtl/>
        </w:rPr>
        <w:t xml:space="preserve">נערכים לכניסתם </w:t>
      </w:r>
      <w:r w:rsidR="00A734D3">
        <w:rPr>
          <w:rFonts w:ascii="David" w:hAnsi="David" w:cs="David" w:hint="cs"/>
          <w:sz w:val="24"/>
          <w:szCs w:val="24"/>
          <w:rtl/>
        </w:rPr>
        <w:t xml:space="preserve">של גופים נוספים </w:t>
      </w:r>
      <w:r w:rsidR="00A734D3">
        <w:rPr>
          <w:rFonts w:ascii="David" w:hAnsi="David" w:cs="David"/>
          <w:sz w:val="24"/>
          <w:szCs w:val="24"/>
          <w:rtl/>
        </w:rPr>
        <w:t>–</w:t>
      </w:r>
      <w:r w:rsidR="00A734D3">
        <w:rPr>
          <w:rFonts w:ascii="David" w:hAnsi="David" w:cs="David" w:hint="cs"/>
          <w:sz w:val="24"/>
          <w:szCs w:val="24"/>
          <w:rtl/>
        </w:rPr>
        <w:t xml:space="preserve"> בנק</w:t>
      </w:r>
      <w:r w:rsidR="00F43D67">
        <w:rPr>
          <w:rFonts w:ascii="David" w:hAnsi="David" w:cs="David" w:hint="cs"/>
          <w:sz w:val="24"/>
          <w:szCs w:val="24"/>
          <w:rtl/>
        </w:rPr>
        <w:t>א</w:t>
      </w:r>
      <w:r w:rsidR="00A734D3">
        <w:rPr>
          <w:rFonts w:ascii="David" w:hAnsi="David" w:cs="David" w:hint="cs"/>
          <w:sz w:val="24"/>
          <w:szCs w:val="24"/>
          <w:rtl/>
        </w:rPr>
        <w:t xml:space="preserve">ים וחוץ בנקאיים, </w:t>
      </w:r>
      <w:r w:rsidR="00FC212C">
        <w:rPr>
          <w:rFonts w:ascii="David" w:hAnsi="David" w:cs="David" w:hint="cs"/>
          <w:sz w:val="24"/>
          <w:szCs w:val="24"/>
          <w:rtl/>
        </w:rPr>
        <w:t xml:space="preserve">בין היתר </w:t>
      </w:r>
      <w:r>
        <w:rPr>
          <w:rFonts w:ascii="David" w:hAnsi="David" w:cs="David" w:hint="cs"/>
          <w:sz w:val="24"/>
          <w:szCs w:val="24"/>
          <w:rtl/>
        </w:rPr>
        <w:t>באמצעות הרחבת קוד הזיהוי</w:t>
      </w:r>
      <w:r w:rsidR="00FB1ECD" w:rsidRPr="00FB1ECD">
        <w:rPr>
          <w:rFonts w:ascii="David" w:hAnsi="David" w:cs="David"/>
          <w:sz w:val="24"/>
          <w:szCs w:val="24"/>
        </w:rPr>
        <w:t>. "</w:t>
      </w:r>
    </w:p>
    <w:p w:rsidR="00085AC4" w:rsidRDefault="00085AC4" w:rsidP="00260FC3">
      <w:pPr>
        <w:spacing w:after="120" w:line="360" w:lineRule="auto"/>
        <w:jc w:val="both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/>
          <w:b/>
          <w:bCs/>
          <w:sz w:val="24"/>
          <w:szCs w:val="24"/>
          <w:rtl/>
        </w:rPr>
        <w:t xml:space="preserve">מנהל </w:t>
      </w:r>
      <w:r>
        <w:rPr>
          <w:rFonts w:ascii="David" w:hAnsi="David" w:cs="David" w:hint="cs"/>
          <w:b/>
          <w:bCs/>
          <w:sz w:val="24"/>
          <w:szCs w:val="24"/>
          <w:rtl/>
        </w:rPr>
        <w:t>חטיבת</w:t>
      </w:r>
      <w:r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טכנולוגיות המידע</w:t>
      </w:r>
      <w:r w:rsidR="00260FC3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="00260FC3" w:rsidRPr="00260FC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260FC3">
        <w:rPr>
          <w:rFonts w:ascii="David" w:hAnsi="David" w:cs="David" w:hint="cs"/>
          <w:b/>
          <w:bCs/>
          <w:sz w:val="24"/>
          <w:szCs w:val="24"/>
          <w:rtl/>
        </w:rPr>
        <w:t>ליאור ג'ורג'י</w:t>
      </w:r>
      <w:r w:rsidRPr="00D153E0">
        <w:rPr>
          <w:rFonts w:ascii="David" w:hAnsi="David" w:cs="David" w:hint="cs"/>
          <w:b/>
          <w:bCs/>
          <w:sz w:val="24"/>
          <w:szCs w:val="24"/>
          <w:rtl/>
        </w:rPr>
        <w:t>:</w:t>
      </w:r>
      <w:r>
        <w:rPr>
          <w:rFonts w:ascii="David" w:hAnsi="David" w:cs="David" w:hint="cs"/>
          <w:sz w:val="24"/>
          <w:szCs w:val="24"/>
          <w:rtl/>
        </w:rPr>
        <w:t xml:space="preserve"> "</w:t>
      </w:r>
      <w:r w:rsidR="00FF79B7">
        <w:rPr>
          <w:rFonts w:ascii="David" w:hAnsi="David" w:cs="David" w:hint="cs"/>
          <w:sz w:val="24"/>
          <w:szCs w:val="24"/>
          <w:rtl/>
        </w:rPr>
        <w:t xml:space="preserve">מדובר </w:t>
      </w:r>
      <w:r w:rsidR="00A734D3">
        <w:rPr>
          <w:rFonts w:ascii="David" w:hAnsi="David" w:cs="David" w:hint="cs"/>
          <w:sz w:val="24"/>
          <w:szCs w:val="24"/>
          <w:rtl/>
        </w:rPr>
        <w:t>בפרויקט</w:t>
      </w:r>
      <w:r w:rsidR="00FF79B7">
        <w:rPr>
          <w:rFonts w:ascii="David" w:hAnsi="David" w:cs="David" w:hint="cs"/>
          <w:sz w:val="24"/>
          <w:szCs w:val="24"/>
          <w:rtl/>
        </w:rPr>
        <w:t xml:space="preserve"> רחב ומשמעותי, אשר יאפשר לשחקנים נוספים להצטרף כמשתתפים במערכות התשלומים. הנושא נדון במשך תקופה ארוכה, ובוצעו פעולות ביניים למתן מענה זמני</w:t>
      </w:r>
      <w:r w:rsidR="00F43D67">
        <w:rPr>
          <w:rFonts w:ascii="David" w:hAnsi="David" w:cs="David" w:hint="cs"/>
          <w:sz w:val="24"/>
          <w:szCs w:val="24"/>
          <w:rtl/>
        </w:rPr>
        <w:t xml:space="preserve">, </w:t>
      </w:r>
      <w:r w:rsidR="00FF79B7">
        <w:rPr>
          <w:rFonts w:ascii="David" w:hAnsi="David" w:cs="David" w:hint="cs"/>
          <w:sz w:val="24"/>
          <w:szCs w:val="24"/>
          <w:rtl/>
        </w:rPr>
        <w:t>כגון פינוי קודי זיהוי שאינם בשימוש. עתה הגיעה העת לצאת לדרך וליישם פתרון שיספק מענה מלא לשנים הבאות".</w:t>
      </w:r>
    </w:p>
    <w:p w:rsidR="00B72A4D" w:rsidRDefault="006443DD" w:rsidP="00D153E0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hyperlink r:id="rId9" w:history="1">
        <w:r w:rsidR="005F6A6A" w:rsidRPr="006443DD">
          <w:rPr>
            <w:rStyle w:val="Hyperlink"/>
            <w:rFonts w:ascii="David" w:hAnsi="David" w:cs="David" w:hint="cs"/>
            <w:sz w:val="24"/>
            <w:szCs w:val="24"/>
            <w:rtl/>
          </w:rPr>
          <w:t>קישור לקול קורא</w:t>
        </w:r>
      </w:hyperlink>
      <w:bookmarkStart w:id="0" w:name="_GoBack"/>
      <w:bookmarkEnd w:id="0"/>
    </w:p>
    <w:p w:rsidR="00B30341" w:rsidRPr="00FC34FC" w:rsidRDefault="000F1C4C" w:rsidP="00FC34FC">
      <w:pPr>
        <w:spacing w:after="120" w:line="360" w:lineRule="auto"/>
        <w:jc w:val="both"/>
        <w:rPr>
          <w:rFonts w:ascii="David" w:hAnsi="David" w:cs="David"/>
          <w:sz w:val="24"/>
          <w:szCs w:val="24"/>
        </w:rPr>
      </w:pPr>
      <w:r w:rsidRPr="000F1C4C">
        <w:rPr>
          <w:rFonts w:ascii="David" w:hAnsi="David" w:cs="David"/>
          <w:sz w:val="24"/>
          <w:szCs w:val="24"/>
          <w:rtl/>
        </w:rPr>
        <w:lastRenderedPageBreak/>
        <w:t>הציבור מוזמן להשיב לקול הקורא, וכן לפנות לצורך שאלות או הבהרות באמצעות</w:t>
      </w:r>
      <w:r w:rsidRPr="000F1C4C">
        <w:rPr>
          <w:rFonts w:ascii="David" w:hAnsi="David" w:cs="David"/>
          <w:sz w:val="24"/>
          <w:szCs w:val="24"/>
        </w:rPr>
        <w:t xml:space="preserve"> </w:t>
      </w:r>
      <w:r w:rsidRPr="000F1C4C">
        <w:rPr>
          <w:rFonts w:ascii="David" w:hAnsi="David" w:cs="David"/>
          <w:sz w:val="24"/>
          <w:szCs w:val="24"/>
          <w:rtl/>
        </w:rPr>
        <w:t xml:space="preserve">הכתובת </w:t>
      </w:r>
      <w:hyperlink r:id="rId10" w:history="1">
        <w:r w:rsidRPr="000F1C4C">
          <w:rPr>
            <w:rStyle w:val="Hyperlink"/>
            <w:rFonts w:ascii="David" w:hAnsi="David" w:cs="David"/>
            <w:sz w:val="24"/>
            <w:szCs w:val="24"/>
          </w:rPr>
          <w:t>bank.kod@boi.org.il</w:t>
        </w:r>
      </w:hyperlink>
      <w:r w:rsidRPr="000F1C4C">
        <w:rPr>
          <w:rFonts w:ascii="David" w:hAnsi="David" w:cs="David"/>
          <w:sz w:val="24"/>
          <w:szCs w:val="24"/>
          <w:rtl/>
        </w:rPr>
        <w:t xml:space="preserve">. </w:t>
      </w:r>
    </w:p>
    <w:sectPr w:rsidR="00B30341" w:rsidRPr="00FC34FC" w:rsidSect="008263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8D1" w:rsidRDefault="000618D1" w:rsidP="00A44FE0">
      <w:pPr>
        <w:spacing w:after="0" w:line="240" w:lineRule="auto"/>
      </w:pPr>
      <w:r>
        <w:separator/>
      </w:r>
    </w:p>
  </w:endnote>
  <w:endnote w:type="continuationSeparator" w:id="0">
    <w:p w:rsidR="000618D1" w:rsidRDefault="000618D1" w:rsidP="00A4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AD0" w:rsidRDefault="00DA5AD0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AD0" w:rsidRDefault="00DA5AD0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AD0" w:rsidRDefault="00DA5AD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8D1" w:rsidRDefault="000618D1" w:rsidP="00A44FE0">
      <w:pPr>
        <w:spacing w:after="0" w:line="240" w:lineRule="auto"/>
      </w:pPr>
      <w:r>
        <w:separator/>
      </w:r>
    </w:p>
  </w:footnote>
  <w:footnote w:type="continuationSeparator" w:id="0">
    <w:p w:rsidR="000618D1" w:rsidRDefault="000618D1" w:rsidP="00A4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AD0" w:rsidRDefault="00DA5AD0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AD0" w:rsidRDefault="00DA5AD0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AD0" w:rsidRDefault="00DA5AD0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5449B"/>
    <w:multiLevelType w:val="hybridMultilevel"/>
    <w:tmpl w:val="543A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05814"/>
    <w:multiLevelType w:val="hybridMultilevel"/>
    <w:tmpl w:val="4CA4B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26110"/>
    <w:multiLevelType w:val="hybridMultilevel"/>
    <w:tmpl w:val="92E6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65400"/>
    <w:multiLevelType w:val="hybridMultilevel"/>
    <w:tmpl w:val="9C0E6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41"/>
    <w:rsid w:val="00015C9D"/>
    <w:rsid w:val="00024A02"/>
    <w:rsid w:val="00027467"/>
    <w:rsid w:val="00045D8A"/>
    <w:rsid w:val="000476B1"/>
    <w:rsid w:val="00051CE8"/>
    <w:rsid w:val="000618D1"/>
    <w:rsid w:val="00075D66"/>
    <w:rsid w:val="000806BA"/>
    <w:rsid w:val="00085AC4"/>
    <w:rsid w:val="00097D35"/>
    <w:rsid w:val="000A5591"/>
    <w:rsid w:val="000A77E8"/>
    <w:rsid w:val="000B2161"/>
    <w:rsid w:val="000E10B9"/>
    <w:rsid w:val="000E745E"/>
    <w:rsid w:val="000E7DE4"/>
    <w:rsid w:val="000F0417"/>
    <w:rsid w:val="000F1C4C"/>
    <w:rsid w:val="000F2346"/>
    <w:rsid w:val="000F2702"/>
    <w:rsid w:val="000F27D0"/>
    <w:rsid w:val="000F52EF"/>
    <w:rsid w:val="00104CED"/>
    <w:rsid w:val="00106330"/>
    <w:rsid w:val="00106ABD"/>
    <w:rsid w:val="00115983"/>
    <w:rsid w:val="00127F92"/>
    <w:rsid w:val="00134339"/>
    <w:rsid w:val="00157478"/>
    <w:rsid w:val="00176169"/>
    <w:rsid w:val="0018210F"/>
    <w:rsid w:val="00182C73"/>
    <w:rsid w:val="00190348"/>
    <w:rsid w:val="001B70C1"/>
    <w:rsid w:val="001D43FF"/>
    <w:rsid w:val="001E6284"/>
    <w:rsid w:val="001F77DD"/>
    <w:rsid w:val="00211626"/>
    <w:rsid w:val="00220F73"/>
    <w:rsid w:val="002210DD"/>
    <w:rsid w:val="00225F35"/>
    <w:rsid w:val="002367AE"/>
    <w:rsid w:val="00236A96"/>
    <w:rsid w:val="00247FDA"/>
    <w:rsid w:val="00250553"/>
    <w:rsid w:val="00260FC3"/>
    <w:rsid w:val="002821A2"/>
    <w:rsid w:val="00290A17"/>
    <w:rsid w:val="002927EA"/>
    <w:rsid w:val="002A3204"/>
    <w:rsid w:val="002A364E"/>
    <w:rsid w:val="002B0679"/>
    <w:rsid w:val="002B2CA4"/>
    <w:rsid w:val="002B77FA"/>
    <w:rsid w:val="002D37B9"/>
    <w:rsid w:val="002E0346"/>
    <w:rsid w:val="002F1BAC"/>
    <w:rsid w:val="003107BE"/>
    <w:rsid w:val="00311762"/>
    <w:rsid w:val="00321CF5"/>
    <w:rsid w:val="00323729"/>
    <w:rsid w:val="00326262"/>
    <w:rsid w:val="00334077"/>
    <w:rsid w:val="00344604"/>
    <w:rsid w:val="00350398"/>
    <w:rsid w:val="00353ED8"/>
    <w:rsid w:val="00357DE7"/>
    <w:rsid w:val="00357E9B"/>
    <w:rsid w:val="00361C5C"/>
    <w:rsid w:val="00365CF6"/>
    <w:rsid w:val="00367698"/>
    <w:rsid w:val="00381825"/>
    <w:rsid w:val="00390554"/>
    <w:rsid w:val="00390D7A"/>
    <w:rsid w:val="00394508"/>
    <w:rsid w:val="00394D12"/>
    <w:rsid w:val="00395651"/>
    <w:rsid w:val="003A46AD"/>
    <w:rsid w:val="003B57A1"/>
    <w:rsid w:val="003C2748"/>
    <w:rsid w:val="003D45B5"/>
    <w:rsid w:val="003D765C"/>
    <w:rsid w:val="003E103C"/>
    <w:rsid w:val="00405D46"/>
    <w:rsid w:val="00407D20"/>
    <w:rsid w:val="00412C96"/>
    <w:rsid w:val="004151DC"/>
    <w:rsid w:val="00423C4E"/>
    <w:rsid w:val="004373D7"/>
    <w:rsid w:val="00442151"/>
    <w:rsid w:val="004520EF"/>
    <w:rsid w:val="0046004D"/>
    <w:rsid w:val="00461AC1"/>
    <w:rsid w:val="00474005"/>
    <w:rsid w:val="00477DBB"/>
    <w:rsid w:val="00490EF5"/>
    <w:rsid w:val="00493E37"/>
    <w:rsid w:val="00495B8E"/>
    <w:rsid w:val="004A2003"/>
    <w:rsid w:val="004A3013"/>
    <w:rsid w:val="004B0B4D"/>
    <w:rsid w:val="004C05BE"/>
    <w:rsid w:val="004C51B4"/>
    <w:rsid w:val="004D0BD2"/>
    <w:rsid w:val="004F1F94"/>
    <w:rsid w:val="00500644"/>
    <w:rsid w:val="005010F7"/>
    <w:rsid w:val="00505D53"/>
    <w:rsid w:val="005147BB"/>
    <w:rsid w:val="00515038"/>
    <w:rsid w:val="00516A40"/>
    <w:rsid w:val="005207C9"/>
    <w:rsid w:val="00522AC4"/>
    <w:rsid w:val="00523160"/>
    <w:rsid w:val="00530ECE"/>
    <w:rsid w:val="005457DF"/>
    <w:rsid w:val="00546AA9"/>
    <w:rsid w:val="005476F2"/>
    <w:rsid w:val="00556446"/>
    <w:rsid w:val="00585413"/>
    <w:rsid w:val="0059151B"/>
    <w:rsid w:val="005A6188"/>
    <w:rsid w:val="005A6B71"/>
    <w:rsid w:val="005C68B1"/>
    <w:rsid w:val="005D1106"/>
    <w:rsid w:val="005D1DDC"/>
    <w:rsid w:val="005F0E2A"/>
    <w:rsid w:val="005F13AA"/>
    <w:rsid w:val="005F4E51"/>
    <w:rsid w:val="005F591B"/>
    <w:rsid w:val="005F6A6A"/>
    <w:rsid w:val="00616937"/>
    <w:rsid w:val="00627A76"/>
    <w:rsid w:val="00630226"/>
    <w:rsid w:val="006443DD"/>
    <w:rsid w:val="00663732"/>
    <w:rsid w:val="00684E89"/>
    <w:rsid w:val="006D58D6"/>
    <w:rsid w:val="006D76C6"/>
    <w:rsid w:val="006D7EEF"/>
    <w:rsid w:val="006E3408"/>
    <w:rsid w:val="006F5B90"/>
    <w:rsid w:val="006F60A4"/>
    <w:rsid w:val="00701963"/>
    <w:rsid w:val="0070211E"/>
    <w:rsid w:val="007039A0"/>
    <w:rsid w:val="00704608"/>
    <w:rsid w:val="00707552"/>
    <w:rsid w:val="00707648"/>
    <w:rsid w:val="00715F51"/>
    <w:rsid w:val="00717F06"/>
    <w:rsid w:val="00740841"/>
    <w:rsid w:val="00740B74"/>
    <w:rsid w:val="00741967"/>
    <w:rsid w:val="00753629"/>
    <w:rsid w:val="007543C9"/>
    <w:rsid w:val="00755399"/>
    <w:rsid w:val="0076007B"/>
    <w:rsid w:val="00771F1D"/>
    <w:rsid w:val="007754D4"/>
    <w:rsid w:val="00790941"/>
    <w:rsid w:val="007973D6"/>
    <w:rsid w:val="007A50DD"/>
    <w:rsid w:val="007A651A"/>
    <w:rsid w:val="007A6742"/>
    <w:rsid w:val="007B7859"/>
    <w:rsid w:val="007D4046"/>
    <w:rsid w:val="007D7C51"/>
    <w:rsid w:val="007E410E"/>
    <w:rsid w:val="007F3920"/>
    <w:rsid w:val="007F4B16"/>
    <w:rsid w:val="007F60A6"/>
    <w:rsid w:val="007F6EF1"/>
    <w:rsid w:val="007F70E2"/>
    <w:rsid w:val="007F747D"/>
    <w:rsid w:val="00804612"/>
    <w:rsid w:val="00805CAB"/>
    <w:rsid w:val="00806448"/>
    <w:rsid w:val="00812046"/>
    <w:rsid w:val="00814974"/>
    <w:rsid w:val="00826356"/>
    <w:rsid w:val="00836B69"/>
    <w:rsid w:val="00847C85"/>
    <w:rsid w:val="00867FD3"/>
    <w:rsid w:val="008716F3"/>
    <w:rsid w:val="00881185"/>
    <w:rsid w:val="008A04AC"/>
    <w:rsid w:val="008A2BC5"/>
    <w:rsid w:val="008C2CD4"/>
    <w:rsid w:val="008D1876"/>
    <w:rsid w:val="008D1A19"/>
    <w:rsid w:val="008E530B"/>
    <w:rsid w:val="0090450F"/>
    <w:rsid w:val="00911A1B"/>
    <w:rsid w:val="009220FA"/>
    <w:rsid w:val="009233E2"/>
    <w:rsid w:val="00934B71"/>
    <w:rsid w:val="009353F9"/>
    <w:rsid w:val="00967FC5"/>
    <w:rsid w:val="00972870"/>
    <w:rsid w:val="0097448A"/>
    <w:rsid w:val="0097733B"/>
    <w:rsid w:val="00977C8D"/>
    <w:rsid w:val="00986375"/>
    <w:rsid w:val="00986B2E"/>
    <w:rsid w:val="009A03D4"/>
    <w:rsid w:val="009A4346"/>
    <w:rsid w:val="009B257D"/>
    <w:rsid w:val="009C1DBB"/>
    <w:rsid w:val="009C51B6"/>
    <w:rsid w:val="009D475B"/>
    <w:rsid w:val="009F08CC"/>
    <w:rsid w:val="00A043B7"/>
    <w:rsid w:val="00A0511C"/>
    <w:rsid w:val="00A058F0"/>
    <w:rsid w:val="00A0712E"/>
    <w:rsid w:val="00A172F4"/>
    <w:rsid w:val="00A2221E"/>
    <w:rsid w:val="00A25F3C"/>
    <w:rsid w:val="00A32483"/>
    <w:rsid w:val="00A334A4"/>
    <w:rsid w:val="00A35E90"/>
    <w:rsid w:val="00A44FE0"/>
    <w:rsid w:val="00A53767"/>
    <w:rsid w:val="00A575CB"/>
    <w:rsid w:val="00A63EDA"/>
    <w:rsid w:val="00A734D3"/>
    <w:rsid w:val="00A73C01"/>
    <w:rsid w:val="00A82237"/>
    <w:rsid w:val="00A9048F"/>
    <w:rsid w:val="00A91FCA"/>
    <w:rsid w:val="00AA4BC2"/>
    <w:rsid w:val="00AB0FED"/>
    <w:rsid w:val="00AB7D17"/>
    <w:rsid w:val="00AC7C1D"/>
    <w:rsid w:val="00AD2BAA"/>
    <w:rsid w:val="00AD371C"/>
    <w:rsid w:val="00AE4C38"/>
    <w:rsid w:val="00AF125E"/>
    <w:rsid w:val="00AF5C03"/>
    <w:rsid w:val="00B032A6"/>
    <w:rsid w:val="00B0556D"/>
    <w:rsid w:val="00B139F1"/>
    <w:rsid w:val="00B15701"/>
    <w:rsid w:val="00B21C38"/>
    <w:rsid w:val="00B30341"/>
    <w:rsid w:val="00B339B1"/>
    <w:rsid w:val="00B539E3"/>
    <w:rsid w:val="00B61488"/>
    <w:rsid w:val="00B65D4A"/>
    <w:rsid w:val="00B72A4D"/>
    <w:rsid w:val="00B922C6"/>
    <w:rsid w:val="00B9668A"/>
    <w:rsid w:val="00BA3EAD"/>
    <w:rsid w:val="00BA6CA6"/>
    <w:rsid w:val="00BB46A3"/>
    <w:rsid w:val="00BB69F3"/>
    <w:rsid w:val="00BC484F"/>
    <w:rsid w:val="00BC5B13"/>
    <w:rsid w:val="00BC6938"/>
    <w:rsid w:val="00BC7B6C"/>
    <w:rsid w:val="00BE6CA2"/>
    <w:rsid w:val="00BF0BCD"/>
    <w:rsid w:val="00C05241"/>
    <w:rsid w:val="00C14C54"/>
    <w:rsid w:val="00C23AF4"/>
    <w:rsid w:val="00C24BDA"/>
    <w:rsid w:val="00C47EC7"/>
    <w:rsid w:val="00C56B7D"/>
    <w:rsid w:val="00C6752A"/>
    <w:rsid w:val="00C75B03"/>
    <w:rsid w:val="00C82A88"/>
    <w:rsid w:val="00C853E4"/>
    <w:rsid w:val="00C941D3"/>
    <w:rsid w:val="00C9529C"/>
    <w:rsid w:val="00CC2245"/>
    <w:rsid w:val="00CC379C"/>
    <w:rsid w:val="00CD39A1"/>
    <w:rsid w:val="00CE49E7"/>
    <w:rsid w:val="00CE6671"/>
    <w:rsid w:val="00CE6D99"/>
    <w:rsid w:val="00CF2675"/>
    <w:rsid w:val="00D059DF"/>
    <w:rsid w:val="00D14DE7"/>
    <w:rsid w:val="00D153E0"/>
    <w:rsid w:val="00D32866"/>
    <w:rsid w:val="00D54916"/>
    <w:rsid w:val="00D614CC"/>
    <w:rsid w:val="00D62BC9"/>
    <w:rsid w:val="00D675E7"/>
    <w:rsid w:val="00D74E0A"/>
    <w:rsid w:val="00D91722"/>
    <w:rsid w:val="00DA5AD0"/>
    <w:rsid w:val="00DA6742"/>
    <w:rsid w:val="00DA76A5"/>
    <w:rsid w:val="00DB3E8D"/>
    <w:rsid w:val="00DB657F"/>
    <w:rsid w:val="00DE4730"/>
    <w:rsid w:val="00DF13EB"/>
    <w:rsid w:val="00DF3978"/>
    <w:rsid w:val="00DF6C55"/>
    <w:rsid w:val="00E001D4"/>
    <w:rsid w:val="00E00BF7"/>
    <w:rsid w:val="00E05BE4"/>
    <w:rsid w:val="00E113A7"/>
    <w:rsid w:val="00E22484"/>
    <w:rsid w:val="00E47E18"/>
    <w:rsid w:val="00E60B0A"/>
    <w:rsid w:val="00E70881"/>
    <w:rsid w:val="00E75010"/>
    <w:rsid w:val="00EB15AB"/>
    <w:rsid w:val="00ED1150"/>
    <w:rsid w:val="00ED3705"/>
    <w:rsid w:val="00ED7CF6"/>
    <w:rsid w:val="00EF0290"/>
    <w:rsid w:val="00EF0466"/>
    <w:rsid w:val="00F12FDC"/>
    <w:rsid w:val="00F36BF3"/>
    <w:rsid w:val="00F3721D"/>
    <w:rsid w:val="00F43D67"/>
    <w:rsid w:val="00F46729"/>
    <w:rsid w:val="00F503E2"/>
    <w:rsid w:val="00F52E66"/>
    <w:rsid w:val="00F653CE"/>
    <w:rsid w:val="00F66244"/>
    <w:rsid w:val="00F7316E"/>
    <w:rsid w:val="00F809C0"/>
    <w:rsid w:val="00FB1ECD"/>
    <w:rsid w:val="00FB3B5A"/>
    <w:rsid w:val="00FC212C"/>
    <w:rsid w:val="00FC34FC"/>
    <w:rsid w:val="00FF28A1"/>
    <w:rsid w:val="00FF3605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1DD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1E6284"/>
    <w:pPr>
      <w:bidi w:val="0"/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C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44FE0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A44FE0"/>
    <w:rPr>
      <w:sz w:val="20"/>
      <w:szCs w:val="20"/>
    </w:rPr>
  </w:style>
  <w:style w:type="character" w:styleId="a5">
    <w:name w:val="footnote reference"/>
    <w:basedOn w:val="a0"/>
    <w:unhideWhenUsed/>
    <w:rsid w:val="00A44FE0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4C05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C05BE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4C05B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C05BE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4C05B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C05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semiHidden/>
    <w:rsid w:val="004C05BE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515038"/>
    <w:rPr>
      <w:color w:val="0563C1" w:themeColor="hyperlink"/>
      <w:u w:val="single"/>
    </w:rPr>
  </w:style>
  <w:style w:type="paragraph" w:styleId="ad">
    <w:name w:val="Revision"/>
    <w:hidden/>
    <w:uiPriority w:val="99"/>
    <w:semiHidden/>
    <w:rsid w:val="007D404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F46729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unhideWhenUsed/>
    <w:rsid w:val="00A043B7"/>
    <w:rPr>
      <w:color w:val="954F72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1E62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כותרת עליונה תו"/>
    <w:basedOn w:val="a0"/>
    <w:link w:val="af"/>
    <w:uiPriority w:val="99"/>
    <w:rsid w:val="001E6284"/>
  </w:style>
  <w:style w:type="paragraph" w:styleId="af1">
    <w:name w:val="footer"/>
    <w:basedOn w:val="a"/>
    <w:link w:val="af2"/>
    <w:uiPriority w:val="99"/>
    <w:unhideWhenUsed/>
    <w:rsid w:val="001E62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2">
    <w:name w:val="כותרת תחתונה תו"/>
    <w:basedOn w:val="a0"/>
    <w:link w:val="af1"/>
    <w:uiPriority w:val="99"/>
    <w:rsid w:val="001E6284"/>
  </w:style>
  <w:style w:type="character" w:customStyle="1" w:styleId="10">
    <w:name w:val="כותרת 1 תו"/>
    <w:basedOn w:val="a0"/>
    <w:link w:val="1"/>
    <w:uiPriority w:val="9"/>
    <w:rsid w:val="001E628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כותרת 2 תו"/>
    <w:basedOn w:val="a0"/>
    <w:link w:val="2"/>
    <w:uiPriority w:val="9"/>
    <w:semiHidden/>
    <w:rsid w:val="000F1C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ank.kod@boi.org.il" TargetMode="External"/><Relationship Id="rId4" Type="http://schemas.openxmlformats.org/officeDocument/2006/relationships/settings" Target="settings.xml"/><Relationship Id="rId9" Type="http://schemas.openxmlformats.org/officeDocument/2006/relationships/hyperlink" Target="&#1511;&#1493;&#1500;%20&#1511;&#1493;&#1512;&#1488;%20-%20&#1492;&#1514;&#1497;&#1497;&#1506;&#1510;&#1493;&#1514;%20&#1489;&#1504;&#1493;&#1513;&#1488;%20&#1492;&#1512;&#1495;&#1489;&#1514;%20&#1511;&#1493;&#1491;&#1497;%20&#1494;&#1497;&#1492;&#1493;&#1497;_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68215-24BA-4F7D-B970-DDDC2979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2023-11-19T07:31:00Z</dcterms:created>
  <dcterms:modified xsi:type="dcterms:W3CDTF">2023-11-19T07:57:00Z</dcterms:modified>
</cp:coreProperties>
</file>