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212" w:rsidRPr="00E8008F" w:rsidRDefault="00AB75B4" w:rsidP="00B108AE">
      <w:pPr>
        <w:bidi w:val="0"/>
        <w:jc w:val="center"/>
        <w:rPr>
          <w:rtl/>
        </w:rPr>
      </w:pPr>
      <w:r>
        <w:rPr>
          <w:noProof/>
        </w:rPr>
        <w:drawing>
          <wp:inline distT="0" distB="0" distL="0" distR="0">
            <wp:extent cx="683759" cy="676275"/>
            <wp:effectExtent l="0" t="0" r="2540" b="9525"/>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83260" cy="676275"/>
                    </a:xfrm>
                    <a:prstGeom prst="rect">
                      <a:avLst/>
                    </a:prstGeom>
                    <a:noFill/>
                    <a:ln>
                      <a:noFill/>
                    </a:ln>
                  </pic:spPr>
                </pic:pic>
              </a:graphicData>
            </a:graphic>
          </wp:inline>
        </w:drawing>
      </w:r>
    </w:p>
    <w:p w:rsidR="008A7212" w:rsidRDefault="008A7212" w:rsidP="00B108AE">
      <w:pPr>
        <w:pStyle w:val="regpar"/>
        <w:spacing w:line="300" w:lineRule="atLeast"/>
        <w:ind w:firstLine="0"/>
        <w:jc w:val="center"/>
        <w:rPr>
          <w:b/>
        </w:rPr>
      </w:pPr>
    </w:p>
    <w:p w:rsidR="008A7212" w:rsidRPr="00000A06" w:rsidRDefault="008A7212" w:rsidP="00B108A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rsidR="008A7212" w:rsidRPr="00000A06" w:rsidRDefault="008A7212" w:rsidP="00B108AE">
      <w:pPr>
        <w:pStyle w:val="regpar"/>
        <w:spacing w:line="300" w:lineRule="atLeast"/>
        <w:ind w:firstLine="0"/>
        <w:jc w:val="center"/>
        <w:rPr>
          <w:rFonts w:ascii="Times New Roman" w:hAnsi="Times New Roman" w:cs="Times New Roman"/>
          <w:b/>
        </w:rPr>
      </w:pPr>
      <w:r w:rsidRPr="00000A06">
        <w:rPr>
          <w:rFonts w:ascii="Times New Roman" w:hAnsi="Times New Roman" w:cs="Times New Roman"/>
        </w:rPr>
        <w:t>Office of the Spokes</w:t>
      </w:r>
      <w:r w:rsidR="003D6F31">
        <w:rPr>
          <w:rFonts w:ascii="Times New Roman" w:hAnsi="Times New Roman" w:cs="Times New Roman"/>
        </w:rPr>
        <w:t>person</w:t>
      </w:r>
      <w:r w:rsidRPr="00000A06">
        <w:rPr>
          <w:rFonts w:ascii="Times New Roman" w:hAnsi="Times New Roman" w:cs="Times New Roman"/>
        </w:rPr>
        <w:t xml:space="preserve"> and Economic Information</w:t>
      </w:r>
    </w:p>
    <w:p w:rsidR="00596FB4" w:rsidRDefault="00596FB4" w:rsidP="00B108AE">
      <w:pPr>
        <w:bidi w:val="0"/>
        <w:jc w:val="center"/>
        <w:rPr>
          <w:rFonts w:cs="David"/>
          <w:b/>
          <w:bCs/>
          <w:sz w:val="26"/>
          <w:szCs w:val="26"/>
        </w:rPr>
      </w:pPr>
    </w:p>
    <w:p w:rsidR="007F7993" w:rsidRDefault="00EC13FB" w:rsidP="001E3649">
      <w:pPr>
        <w:bidi w:val="0"/>
        <w:jc w:val="right"/>
      </w:pPr>
      <w:r>
        <w:t xml:space="preserve">April </w:t>
      </w:r>
      <w:r w:rsidR="001E3649">
        <w:t>27</w:t>
      </w:r>
      <w:r w:rsidR="008A7212" w:rsidRPr="00000A06">
        <w:t>, 201</w:t>
      </w:r>
      <w:r w:rsidR="003A335C">
        <w:t>4</w:t>
      </w:r>
    </w:p>
    <w:p w:rsidR="00596FB4" w:rsidRPr="00751F08" w:rsidRDefault="00596FB4" w:rsidP="00AD029C">
      <w:pPr>
        <w:bidi w:val="0"/>
        <w:jc w:val="center"/>
        <w:rPr>
          <w:rFonts w:cs="David"/>
          <w:b/>
          <w:bCs/>
          <w:sz w:val="22"/>
          <w:szCs w:val="22"/>
        </w:rPr>
      </w:pPr>
      <w:r w:rsidRPr="00751F08">
        <w:rPr>
          <w:rFonts w:cs="David"/>
          <w:b/>
          <w:bCs/>
          <w:sz w:val="22"/>
          <w:szCs w:val="22"/>
        </w:rPr>
        <w:t>Press Release</w:t>
      </w:r>
    </w:p>
    <w:p w:rsidR="00596FB4" w:rsidRDefault="00596FB4" w:rsidP="00596FB4">
      <w:pPr>
        <w:pStyle w:val="regpar"/>
        <w:spacing w:line="280" w:lineRule="exact"/>
        <w:ind w:left="-426" w:firstLine="0"/>
        <w:jc w:val="center"/>
        <w:rPr>
          <w:b/>
          <w:bCs/>
        </w:rPr>
      </w:pPr>
    </w:p>
    <w:p w:rsidR="00AD029C" w:rsidRPr="0004555C" w:rsidRDefault="00AD029C" w:rsidP="001E3649">
      <w:pPr>
        <w:pStyle w:val="regpar"/>
        <w:spacing w:line="280" w:lineRule="exact"/>
        <w:ind w:firstLine="0"/>
        <w:jc w:val="center"/>
        <w:rPr>
          <w:b/>
          <w:bCs/>
          <w:u w:val="single"/>
        </w:rPr>
      </w:pPr>
      <w:bookmarkStart w:id="0" w:name="_GoBack"/>
      <w:r w:rsidRPr="0004555C">
        <w:rPr>
          <w:b/>
          <w:bCs/>
          <w:u w:val="single"/>
        </w:rPr>
        <w:t>The Composite State of the Economy Index for March 2014 increases by 0.</w:t>
      </w:r>
      <w:r w:rsidR="001E3649" w:rsidRPr="0004555C">
        <w:rPr>
          <w:b/>
          <w:bCs/>
          <w:u w:val="single"/>
        </w:rPr>
        <w:t>1</w:t>
      </w:r>
      <w:r w:rsidRPr="0004555C">
        <w:rPr>
          <w:b/>
          <w:bCs/>
          <w:u w:val="single"/>
        </w:rPr>
        <w:t>%</w:t>
      </w:r>
    </w:p>
    <w:bookmarkEnd w:id="0"/>
    <w:p w:rsidR="00AD029C" w:rsidRDefault="00AD029C" w:rsidP="00AD029C">
      <w:pPr>
        <w:pStyle w:val="regpar"/>
        <w:spacing w:line="280" w:lineRule="exact"/>
        <w:ind w:firstLine="0"/>
        <w:jc w:val="center"/>
        <w:rPr>
          <w:b/>
          <w:bCs/>
        </w:rPr>
      </w:pPr>
    </w:p>
    <w:p w:rsidR="00AD029C" w:rsidRDefault="00AD029C" w:rsidP="00450D81">
      <w:pPr>
        <w:pStyle w:val="regpar"/>
        <w:spacing w:line="280" w:lineRule="exact"/>
        <w:ind w:firstLine="0"/>
      </w:pPr>
      <w:r>
        <w:t>The Bank of Israel's Composite State of the Economy Index for March 2014 increased by 0.</w:t>
      </w:r>
      <w:r w:rsidR="001E3649">
        <w:t>1</w:t>
      </w:r>
      <w:r>
        <w:t xml:space="preserve"> percent</w:t>
      </w:r>
      <w:r w:rsidR="001E3649">
        <w:t>, a slightly low rate compared with the previous half year</w:t>
      </w:r>
      <w:r>
        <w:t xml:space="preserve">. </w:t>
      </w:r>
      <w:r w:rsidR="001E3649">
        <w:t xml:space="preserve">Despite this moderation, the Index </w:t>
      </w:r>
      <w:r>
        <w:t>indicates that t</w:t>
      </w:r>
      <w:r w:rsidR="003E2428">
        <w:t xml:space="preserve">he economy continues to grow at the </w:t>
      </w:r>
      <w:r w:rsidR="001E3649">
        <w:t xml:space="preserve">moderate </w:t>
      </w:r>
      <w:r>
        <w:t xml:space="preserve">rate </w:t>
      </w:r>
      <w:r w:rsidR="001E3649">
        <w:t xml:space="preserve">of the past three years. </w:t>
      </w:r>
      <w:r>
        <w:t xml:space="preserve">Increases in the </w:t>
      </w:r>
      <w:r w:rsidR="001E3649">
        <w:t>industrial production index, the imports of manufacturing inputs index, the services exports index and the job vacancy rate c</w:t>
      </w:r>
      <w:r>
        <w:t>ontributed notably to the rise in the Index this month</w:t>
      </w:r>
      <w:r w:rsidR="001E3649">
        <w:t>. In contrast, the sharp decline</w:t>
      </w:r>
      <w:r>
        <w:t xml:space="preserve"> in goods </w:t>
      </w:r>
      <w:r w:rsidR="001E3649">
        <w:t>exports</w:t>
      </w:r>
      <w:r w:rsidR="00450D81">
        <w:t>,</w:t>
      </w:r>
      <w:r w:rsidR="001E3649">
        <w:t xml:space="preserve"> the decline</w:t>
      </w:r>
      <w:r w:rsidR="00450D81">
        <w:t xml:space="preserve"> </w:t>
      </w:r>
      <w:r w:rsidR="001E3649">
        <w:t xml:space="preserve">in consumer goods </w:t>
      </w:r>
      <w:r>
        <w:t>imports</w:t>
      </w:r>
      <w:r w:rsidR="001E3649">
        <w:t>, and the decline in previous months in building starts moderated the index’s rate of increase.</w:t>
      </w:r>
      <w:r>
        <w:t xml:space="preserve"> </w:t>
      </w:r>
      <w:r w:rsidR="001E3649">
        <w:t xml:space="preserve">This month, there were no major revisions to </w:t>
      </w:r>
      <w:r>
        <w:t>Index data for previous months (Table 1)</w:t>
      </w:r>
      <w:r w:rsidR="001E3649">
        <w:t xml:space="preserve">. </w:t>
      </w:r>
      <w:r>
        <w:t>Table 2 presents the development of components of the Index in the past few months.</w:t>
      </w:r>
    </w:p>
    <w:p w:rsidR="00450D81" w:rsidRDefault="00450D81" w:rsidP="00450D81">
      <w:pPr>
        <w:pStyle w:val="regpar"/>
        <w:spacing w:line="280" w:lineRule="exact"/>
        <w:ind w:firstLine="0"/>
      </w:pPr>
    </w:p>
    <w:p w:rsidR="00450D81" w:rsidRDefault="00450D81" w:rsidP="00062122">
      <w:pPr>
        <w:pStyle w:val="regpar"/>
        <w:spacing w:line="280" w:lineRule="exact"/>
        <w:ind w:firstLine="0"/>
      </w:pPr>
      <w:r>
        <w:t>Beginning next month, the Composite State of the Economy Index will be published on the business day following the publication of the indices of industrial production, revenue, and services exports by the Central Bureau of Statistics. Thus, next month the Composite Index will be published on Sunday, May 25, 2014, and not on Thursday. May 22</w:t>
      </w:r>
      <w:r w:rsidR="00062122">
        <w:t>; t</w:t>
      </w:r>
      <w:r>
        <w:t>he following month, it will be published on Sunday, June 22, 2014, and not on Thursday</w:t>
      </w:r>
      <w:r w:rsidR="00062122">
        <w:t>, June 19, and so forth.</w:t>
      </w:r>
    </w:p>
    <w:p w:rsidR="00AD029C" w:rsidRDefault="00AD029C" w:rsidP="00AD029C">
      <w:pPr>
        <w:pStyle w:val="regpar"/>
        <w:spacing w:line="280" w:lineRule="exact"/>
        <w:ind w:firstLine="0"/>
      </w:pPr>
    </w:p>
    <w:p w:rsidR="00AD029C" w:rsidRDefault="00AD029C" w:rsidP="0004555C">
      <w:pPr>
        <w:pStyle w:val="regpar"/>
        <w:spacing w:line="280" w:lineRule="exact"/>
        <w:ind w:firstLine="0"/>
        <w:jc w:val="center"/>
        <w:rPr>
          <w:b/>
          <w:bCs/>
        </w:rPr>
      </w:pPr>
      <w:r>
        <w:rPr>
          <w:b/>
          <w:bCs/>
        </w:rPr>
        <w:t>Table 1: Revisions in the Composite Index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839"/>
        <w:gridCol w:w="1840"/>
      </w:tblGrid>
      <w:tr w:rsidR="00AD029C" w:rsidTr="0004555C">
        <w:trPr>
          <w:trHeight w:val="261"/>
          <w:jc w:val="center"/>
        </w:trPr>
        <w:tc>
          <w:tcPr>
            <w:tcW w:w="1839" w:type="dxa"/>
            <w:shd w:val="clear" w:color="auto" w:fill="auto"/>
          </w:tcPr>
          <w:p w:rsidR="00AD029C" w:rsidRPr="00376549" w:rsidRDefault="00AD029C" w:rsidP="00554519">
            <w:pPr>
              <w:pStyle w:val="regpar"/>
              <w:spacing w:line="280" w:lineRule="exact"/>
              <w:ind w:firstLine="0"/>
              <w:rPr>
                <w:b/>
                <w:bCs/>
              </w:rPr>
            </w:pPr>
            <w:r w:rsidRPr="00376549">
              <w:rPr>
                <w:b/>
                <w:bCs/>
              </w:rPr>
              <w:t>Revision</w:t>
            </w:r>
          </w:p>
        </w:tc>
        <w:tc>
          <w:tcPr>
            <w:tcW w:w="1839" w:type="dxa"/>
            <w:shd w:val="clear" w:color="auto" w:fill="auto"/>
          </w:tcPr>
          <w:p w:rsidR="00AD029C" w:rsidRDefault="00AD029C" w:rsidP="00554519">
            <w:pPr>
              <w:pStyle w:val="regpar"/>
              <w:spacing w:line="280" w:lineRule="exact"/>
              <w:ind w:firstLine="0"/>
            </w:pPr>
            <w:r>
              <w:t>Previous data</w:t>
            </w:r>
          </w:p>
        </w:tc>
        <w:tc>
          <w:tcPr>
            <w:tcW w:w="1840" w:type="dxa"/>
            <w:shd w:val="clear" w:color="auto" w:fill="auto"/>
          </w:tcPr>
          <w:p w:rsidR="00AD029C" w:rsidRDefault="00AD029C" w:rsidP="00554519">
            <w:pPr>
              <w:pStyle w:val="regpar"/>
              <w:spacing w:line="280" w:lineRule="exact"/>
              <w:ind w:firstLine="0"/>
            </w:pPr>
            <w:r>
              <w:t>New data</w:t>
            </w:r>
          </w:p>
        </w:tc>
      </w:tr>
      <w:tr w:rsidR="00AD029C" w:rsidTr="0004555C">
        <w:trPr>
          <w:trHeight w:val="275"/>
          <w:jc w:val="center"/>
        </w:trPr>
        <w:tc>
          <w:tcPr>
            <w:tcW w:w="1839" w:type="dxa"/>
            <w:shd w:val="clear" w:color="auto" w:fill="auto"/>
          </w:tcPr>
          <w:p w:rsidR="00AD029C" w:rsidRDefault="00AD029C" w:rsidP="00554519">
            <w:pPr>
              <w:pStyle w:val="regpar"/>
              <w:spacing w:line="280" w:lineRule="exact"/>
              <w:ind w:firstLine="0"/>
            </w:pPr>
            <w:r>
              <w:t xml:space="preserve">March </w:t>
            </w:r>
          </w:p>
        </w:tc>
        <w:tc>
          <w:tcPr>
            <w:tcW w:w="1839" w:type="dxa"/>
            <w:shd w:val="clear" w:color="auto" w:fill="auto"/>
          </w:tcPr>
          <w:p w:rsidR="00AD029C" w:rsidRDefault="00AD029C" w:rsidP="00554519">
            <w:pPr>
              <w:pStyle w:val="regpar"/>
              <w:spacing w:line="280" w:lineRule="exact"/>
              <w:ind w:firstLine="0"/>
            </w:pPr>
          </w:p>
        </w:tc>
        <w:tc>
          <w:tcPr>
            <w:tcW w:w="1840" w:type="dxa"/>
            <w:shd w:val="clear" w:color="auto" w:fill="auto"/>
          </w:tcPr>
          <w:p w:rsidR="00AD029C" w:rsidRDefault="00AD029C" w:rsidP="00554519">
            <w:pPr>
              <w:pStyle w:val="regpar"/>
              <w:spacing w:line="280" w:lineRule="exact"/>
              <w:ind w:firstLine="0"/>
            </w:pPr>
            <w:r>
              <w:t>0.</w:t>
            </w:r>
            <w:r w:rsidR="007959DA">
              <w:t>13</w:t>
            </w:r>
          </w:p>
        </w:tc>
      </w:tr>
      <w:tr w:rsidR="00AD029C" w:rsidTr="0004555C">
        <w:trPr>
          <w:trHeight w:val="261"/>
          <w:jc w:val="center"/>
        </w:trPr>
        <w:tc>
          <w:tcPr>
            <w:tcW w:w="1839" w:type="dxa"/>
            <w:shd w:val="clear" w:color="auto" w:fill="auto"/>
          </w:tcPr>
          <w:p w:rsidR="00AD029C" w:rsidRDefault="00AD029C" w:rsidP="00554519">
            <w:pPr>
              <w:pStyle w:val="regpar"/>
              <w:spacing w:line="280" w:lineRule="exact"/>
              <w:ind w:firstLine="0"/>
            </w:pPr>
            <w:r>
              <w:t xml:space="preserve">February </w:t>
            </w:r>
          </w:p>
        </w:tc>
        <w:tc>
          <w:tcPr>
            <w:tcW w:w="1839" w:type="dxa"/>
            <w:shd w:val="clear" w:color="auto" w:fill="auto"/>
          </w:tcPr>
          <w:p w:rsidR="00AD029C" w:rsidRDefault="00AD029C" w:rsidP="00554519">
            <w:pPr>
              <w:pStyle w:val="regpar"/>
              <w:spacing w:line="280" w:lineRule="exact"/>
              <w:ind w:firstLine="0"/>
            </w:pPr>
            <w:r>
              <w:t>0.2</w:t>
            </w:r>
            <w:r w:rsidR="007959DA">
              <w:t>2</w:t>
            </w:r>
          </w:p>
        </w:tc>
        <w:tc>
          <w:tcPr>
            <w:tcW w:w="1840" w:type="dxa"/>
            <w:shd w:val="clear" w:color="auto" w:fill="auto"/>
          </w:tcPr>
          <w:p w:rsidR="00AD029C" w:rsidRDefault="00AD029C" w:rsidP="00554519">
            <w:pPr>
              <w:pStyle w:val="regpar"/>
              <w:spacing w:line="280" w:lineRule="exact"/>
              <w:ind w:firstLine="0"/>
            </w:pPr>
            <w:r>
              <w:t>0.</w:t>
            </w:r>
            <w:r w:rsidR="007959DA">
              <w:t>23</w:t>
            </w:r>
          </w:p>
        </w:tc>
      </w:tr>
      <w:tr w:rsidR="00AD029C" w:rsidTr="0004555C">
        <w:trPr>
          <w:trHeight w:val="261"/>
          <w:jc w:val="center"/>
        </w:trPr>
        <w:tc>
          <w:tcPr>
            <w:tcW w:w="1839" w:type="dxa"/>
            <w:shd w:val="clear" w:color="auto" w:fill="auto"/>
          </w:tcPr>
          <w:p w:rsidR="00AD029C" w:rsidRDefault="00AD029C" w:rsidP="00554519">
            <w:pPr>
              <w:pStyle w:val="regpar"/>
              <w:spacing w:line="280" w:lineRule="exact"/>
              <w:ind w:firstLine="0"/>
            </w:pPr>
            <w:r>
              <w:t>January</w:t>
            </w:r>
          </w:p>
        </w:tc>
        <w:tc>
          <w:tcPr>
            <w:tcW w:w="1839" w:type="dxa"/>
            <w:shd w:val="clear" w:color="auto" w:fill="auto"/>
          </w:tcPr>
          <w:p w:rsidR="00AD029C" w:rsidRDefault="00AD029C" w:rsidP="00554519">
            <w:pPr>
              <w:pStyle w:val="regpar"/>
              <w:spacing w:line="280" w:lineRule="exact"/>
              <w:ind w:firstLine="0"/>
            </w:pPr>
            <w:r>
              <w:t>0.</w:t>
            </w:r>
            <w:r w:rsidR="007959DA">
              <w:t>31</w:t>
            </w:r>
          </w:p>
        </w:tc>
        <w:tc>
          <w:tcPr>
            <w:tcW w:w="1840" w:type="dxa"/>
            <w:shd w:val="clear" w:color="auto" w:fill="auto"/>
          </w:tcPr>
          <w:p w:rsidR="00AD029C" w:rsidRDefault="00AD029C" w:rsidP="00554519">
            <w:pPr>
              <w:pStyle w:val="regpar"/>
              <w:spacing w:line="280" w:lineRule="exact"/>
              <w:ind w:firstLine="0"/>
            </w:pPr>
            <w:r>
              <w:t>0.2</w:t>
            </w:r>
            <w:r w:rsidR="007959DA">
              <w:t>8</w:t>
            </w:r>
          </w:p>
        </w:tc>
      </w:tr>
      <w:tr w:rsidR="00AD029C" w:rsidTr="0004555C">
        <w:trPr>
          <w:trHeight w:val="275"/>
          <w:jc w:val="center"/>
        </w:trPr>
        <w:tc>
          <w:tcPr>
            <w:tcW w:w="1839" w:type="dxa"/>
            <w:shd w:val="clear" w:color="auto" w:fill="auto"/>
          </w:tcPr>
          <w:p w:rsidR="00AD029C" w:rsidRDefault="00AD029C" w:rsidP="00AD029C">
            <w:pPr>
              <w:pStyle w:val="regpar"/>
              <w:spacing w:line="280" w:lineRule="exact"/>
              <w:ind w:firstLine="0"/>
            </w:pPr>
            <w:r>
              <w:t xml:space="preserve">December\ </w:t>
            </w:r>
          </w:p>
        </w:tc>
        <w:tc>
          <w:tcPr>
            <w:tcW w:w="1839" w:type="dxa"/>
            <w:shd w:val="clear" w:color="auto" w:fill="auto"/>
          </w:tcPr>
          <w:p w:rsidR="00AD029C" w:rsidRDefault="00AD029C" w:rsidP="00554519">
            <w:pPr>
              <w:pStyle w:val="regpar"/>
              <w:spacing w:line="280" w:lineRule="exact"/>
              <w:ind w:firstLine="0"/>
            </w:pPr>
            <w:r>
              <w:t>0.2</w:t>
            </w:r>
            <w:r w:rsidR="007959DA">
              <w:t>2</w:t>
            </w:r>
          </w:p>
        </w:tc>
        <w:tc>
          <w:tcPr>
            <w:tcW w:w="1840" w:type="dxa"/>
            <w:shd w:val="clear" w:color="auto" w:fill="auto"/>
          </w:tcPr>
          <w:p w:rsidR="00AD029C" w:rsidRDefault="00AD029C" w:rsidP="00554519">
            <w:pPr>
              <w:pStyle w:val="regpar"/>
              <w:spacing w:line="280" w:lineRule="exact"/>
              <w:ind w:firstLine="0"/>
            </w:pPr>
            <w:r>
              <w:t>0.2</w:t>
            </w:r>
            <w:r w:rsidR="007959DA">
              <w:t>1</w:t>
            </w:r>
          </w:p>
        </w:tc>
      </w:tr>
    </w:tbl>
    <w:p w:rsidR="00AD029C" w:rsidRDefault="00AD029C" w:rsidP="00AD029C">
      <w:pPr>
        <w:pStyle w:val="regpar"/>
        <w:spacing w:line="280" w:lineRule="exact"/>
        <w:ind w:firstLine="0"/>
      </w:pPr>
      <w:r>
        <w:t xml:space="preserve"> </w:t>
      </w:r>
    </w:p>
    <w:p w:rsidR="00AD029C" w:rsidRDefault="00AD029C" w:rsidP="0004555C">
      <w:pPr>
        <w:pStyle w:val="regpar"/>
        <w:spacing w:line="280" w:lineRule="exact"/>
        <w:ind w:firstLine="0"/>
        <w:jc w:val="center"/>
        <w:rPr>
          <w:b/>
          <w:bCs/>
        </w:rPr>
      </w:pPr>
      <w:r>
        <w:rPr>
          <w:b/>
          <w:bCs/>
        </w:rPr>
        <w:t>Table 2: Changes in the Index components in recent months</w:t>
      </w:r>
    </w:p>
    <w:p w:rsidR="00AD029C" w:rsidRDefault="00AD029C" w:rsidP="0004555C">
      <w:pPr>
        <w:pStyle w:val="regpar"/>
        <w:spacing w:line="280" w:lineRule="exact"/>
        <w:ind w:firstLine="0"/>
        <w:jc w:val="center"/>
      </w:pPr>
      <w:r>
        <w:t>(monthly percent change, unless otherwise noted)</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843"/>
        <w:gridCol w:w="1083"/>
        <w:gridCol w:w="963"/>
        <w:gridCol w:w="1203"/>
      </w:tblGrid>
      <w:tr w:rsidR="00AD029C" w:rsidTr="0004555C">
        <w:tc>
          <w:tcPr>
            <w:tcW w:w="0" w:type="auto"/>
            <w:shd w:val="clear" w:color="auto" w:fill="auto"/>
            <w:vAlign w:val="bottom"/>
          </w:tcPr>
          <w:p w:rsidR="00AD029C" w:rsidRDefault="00AD029C" w:rsidP="00554519">
            <w:pPr>
              <w:pStyle w:val="regpar"/>
              <w:spacing w:line="280" w:lineRule="exact"/>
              <w:ind w:firstLine="0"/>
              <w:jc w:val="center"/>
            </w:pPr>
          </w:p>
        </w:tc>
        <w:tc>
          <w:tcPr>
            <w:tcW w:w="0" w:type="auto"/>
            <w:vAlign w:val="bottom"/>
          </w:tcPr>
          <w:p w:rsidR="00AD029C" w:rsidRDefault="00AD029C" w:rsidP="00554519">
            <w:pPr>
              <w:pStyle w:val="regpar"/>
              <w:spacing w:line="280" w:lineRule="exact"/>
              <w:ind w:firstLine="0"/>
              <w:jc w:val="center"/>
            </w:pPr>
            <w:r>
              <w:t xml:space="preserve">March </w:t>
            </w:r>
          </w:p>
        </w:tc>
        <w:tc>
          <w:tcPr>
            <w:tcW w:w="0" w:type="auto"/>
            <w:shd w:val="clear" w:color="auto" w:fill="auto"/>
            <w:vAlign w:val="bottom"/>
          </w:tcPr>
          <w:p w:rsidR="00AD029C" w:rsidRDefault="00AD029C" w:rsidP="00554519">
            <w:pPr>
              <w:pStyle w:val="regpar"/>
              <w:spacing w:line="280" w:lineRule="exact"/>
              <w:ind w:firstLine="0"/>
              <w:jc w:val="center"/>
            </w:pPr>
            <w:r>
              <w:t xml:space="preserve">February </w:t>
            </w:r>
          </w:p>
        </w:tc>
        <w:tc>
          <w:tcPr>
            <w:tcW w:w="0" w:type="auto"/>
            <w:shd w:val="clear" w:color="auto" w:fill="auto"/>
            <w:vAlign w:val="bottom"/>
          </w:tcPr>
          <w:p w:rsidR="00AD029C" w:rsidRDefault="00AD029C" w:rsidP="00554519">
            <w:pPr>
              <w:pStyle w:val="regpar"/>
              <w:spacing w:line="280" w:lineRule="exact"/>
              <w:ind w:firstLine="0"/>
              <w:jc w:val="center"/>
            </w:pPr>
            <w:r>
              <w:t>January</w:t>
            </w:r>
          </w:p>
        </w:tc>
        <w:tc>
          <w:tcPr>
            <w:tcW w:w="0" w:type="auto"/>
            <w:shd w:val="clear" w:color="auto" w:fill="auto"/>
            <w:vAlign w:val="bottom"/>
          </w:tcPr>
          <w:p w:rsidR="00AD029C" w:rsidRDefault="001E3649" w:rsidP="00554519">
            <w:pPr>
              <w:pStyle w:val="regpar"/>
              <w:spacing w:line="280" w:lineRule="exact"/>
              <w:ind w:firstLine="0"/>
              <w:jc w:val="center"/>
            </w:pPr>
            <w:r>
              <w:t>December</w:t>
            </w:r>
          </w:p>
        </w:tc>
      </w:tr>
      <w:tr w:rsidR="00C6170C" w:rsidTr="0004555C">
        <w:tc>
          <w:tcPr>
            <w:tcW w:w="0" w:type="auto"/>
            <w:shd w:val="clear" w:color="auto" w:fill="auto"/>
            <w:vAlign w:val="bottom"/>
          </w:tcPr>
          <w:p w:rsidR="00C6170C" w:rsidRPr="007562B7" w:rsidRDefault="00C6170C" w:rsidP="00554519">
            <w:pPr>
              <w:pStyle w:val="regpar"/>
              <w:spacing w:line="280" w:lineRule="exact"/>
              <w:ind w:firstLine="0"/>
              <w:jc w:val="left"/>
              <w:rPr>
                <w:sz w:val="22"/>
                <w:szCs w:val="22"/>
              </w:rPr>
            </w:pPr>
            <w:r w:rsidRPr="007562B7">
              <w:rPr>
                <w:sz w:val="22"/>
                <w:szCs w:val="22"/>
              </w:rPr>
              <w:t>Industrial Production Index (excluding mining and quarrying)</w:t>
            </w:r>
          </w:p>
        </w:tc>
        <w:tc>
          <w:tcPr>
            <w:tcW w:w="0" w:type="auto"/>
            <w:vAlign w:val="bottom"/>
          </w:tcPr>
          <w:p w:rsidR="00C6170C" w:rsidRDefault="00C6170C" w:rsidP="00BD6353">
            <w:pPr>
              <w:jc w:val="center"/>
              <w:rPr>
                <w:rFonts w:ascii="Arial" w:hAnsi="Arial" w:cs="Arial"/>
                <w:color w:val="000000"/>
                <w:sz w:val="22"/>
                <w:szCs w:val="22"/>
              </w:rPr>
            </w:pP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3.37</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-1.43</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2.01</w:t>
            </w:r>
          </w:p>
        </w:tc>
      </w:tr>
      <w:tr w:rsidR="00C6170C" w:rsidTr="0004555C">
        <w:tc>
          <w:tcPr>
            <w:tcW w:w="0" w:type="auto"/>
            <w:shd w:val="clear" w:color="auto" w:fill="auto"/>
            <w:vAlign w:val="bottom"/>
          </w:tcPr>
          <w:p w:rsidR="00C6170C" w:rsidRPr="007562B7" w:rsidRDefault="00C6170C" w:rsidP="00554519">
            <w:pPr>
              <w:pStyle w:val="regpar"/>
              <w:spacing w:line="280" w:lineRule="exact"/>
              <w:ind w:firstLine="0"/>
              <w:jc w:val="left"/>
              <w:rPr>
                <w:sz w:val="22"/>
                <w:szCs w:val="22"/>
              </w:rPr>
            </w:pPr>
            <w:r w:rsidRPr="007562B7">
              <w:rPr>
                <w:sz w:val="22"/>
                <w:szCs w:val="22"/>
              </w:rPr>
              <w:t>Services Revenue Index (excluding finance, education, and public administration)</w:t>
            </w:r>
          </w:p>
        </w:tc>
        <w:tc>
          <w:tcPr>
            <w:tcW w:w="0" w:type="auto"/>
            <w:vAlign w:val="bottom"/>
          </w:tcPr>
          <w:p w:rsidR="00C6170C" w:rsidRDefault="00C6170C" w:rsidP="00BD6353">
            <w:pPr>
              <w:jc w:val="center"/>
              <w:rPr>
                <w:rFonts w:ascii="Arial" w:hAnsi="Arial" w:cs="Arial"/>
                <w:color w:val="000000"/>
                <w:sz w:val="22"/>
                <w:szCs w:val="22"/>
              </w:rPr>
            </w:pP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-0.98</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3.26</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-0.91</w:t>
            </w:r>
          </w:p>
        </w:tc>
      </w:tr>
      <w:tr w:rsidR="00C6170C" w:rsidTr="0004555C">
        <w:tc>
          <w:tcPr>
            <w:tcW w:w="0" w:type="auto"/>
            <w:shd w:val="clear" w:color="auto" w:fill="auto"/>
            <w:vAlign w:val="bottom"/>
          </w:tcPr>
          <w:p w:rsidR="00C6170C" w:rsidRPr="007562B7" w:rsidRDefault="00C6170C" w:rsidP="00554519">
            <w:pPr>
              <w:pStyle w:val="regpar"/>
              <w:spacing w:line="280" w:lineRule="exact"/>
              <w:ind w:firstLine="0"/>
              <w:jc w:val="left"/>
              <w:rPr>
                <w:sz w:val="22"/>
                <w:szCs w:val="22"/>
              </w:rPr>
            </w:pPr>
            <w:r w:rsidRPr="007562B7">
              <w:rPr>
                <w:sz w:val="22"/>
                <w:szCs w:val="22"/>
              </w:rPr>
              <w:t>Trade Revenue Index</w:t>
            </w:r>
          </w:p>
        </w:tc>
        <w:tc>
          <w:tcPr>
            <w:tcW w:w="0" w:type="auto"/>
            <w:vAlign w:val="bottom"/>
          </w:tcPr>
          <w:p w:rsidR="00C6170C" w:rsidRDefault="00C6170C" w:rsidP="00BD6353">
            <w:pPr>
              <w:jc w:val="center"/>
              <w:rPr>
                <w:rFonts w:ascii="Arial" w:hAnsi="Arial" w:cs="Arial"/>
                <w:color w:val="000000"/>
                <w:sz w:val="22"/>
                <w:szCs w:val="22"/>
              </w:rPr>
            </w:pP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0.08</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1.24</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-0.05</w:t>
            </w:r>
          </w:p>
        </w:tc>
      </w:tr>
      <w:tr w:rsidR="00C6170C" w:rsidTr="0004555C">
        <w:tc>
          <w:tcPr>
            <w:tcW w:w="0" w:type="auto"/>
            <w:shd w:val="clear" w:color="auto" w:fill="auto"/>
            <w:vAlign w:val="bottom"/>
          </w:tcPr>
          <w:p w:rsidR="00C6170C" w:rsidRPr="007562B7" w:rsidRDefault="00C6170C" w:rsidP="00554519">
            <w:pPr>
              <w:pStyle w:val="regpar"/>
              <w:spacing w:line="280" w:lineRule="exact"/>
              <w:ind w:firstLine="0"/>
              <w:jc w:val="left"/>
              <w:rPr>
                <w:sz w:val="22"/>
                <w:szCs w:val="22"/>
              </w:rPr>
            </w:pPr>
            <w:r w:rsidRPr="007562B7">
              <w:rPr>
                <w:sz w:val="22"/>
                <w:szCs w:val="22"/>
              </w:rPr>
              <w:t>Imports of consumer goods</w:t>
            </w:r>
            <w:r w:rsidRPr="007562B7">
              <w:rPr>
                <w:sz w:val="22"/>
                <w:szCs w:val="22"/>
                <w:vertAlign w:val="superscript"/>
              </w:rPr>
              <w:t>3</w:t>
            </w:r>
          </w:p>
        </w:tc>
        <w:tc>
          <w:tcPr>
            <w:tcW w:w="0" w:type="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-1.35</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0.39</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2.13</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0.58</w:t>
            </w:r>
          </w:p>
        </w:tc>
      </w:tr>
      <w:tr w:rsidR="00C6170C" w:rsidTr="0004555C">
        <w:tc>
          <w:tcPr>
            <w:tcW w:w="0" w:type="auto"/>
            <w:shd w:val="clear" w:color="auto" w:fill="auto"/>
            <w:vAlign w:val="bottom"/>
          </w:tcPr>
          <w:p w:rsidR="00C6170C" w:rsidRPr="007562B7" w:rsidRDefault="00C6170C" w:rsidP="00554519">
            <w:pPr>
              <w:pStyle w:val="regpar"/>
              <w:spacing w:line="280" w:lineRule="exact"/>
              <w:ind w:firstLine="0"/>
              <w:jc w:val="left"/>
              <w:rPr>
                <w:sz w:val="22"/>
                <w:szCs w:val="22"/>
              </w:rPr>
            </w:pPr>
            <w:r w:rsidRPr="007562B7">
              <w:rPr>
                <w:sz w:val="22"/>
                <w:szCs w:val="22"/>
              </w:rPr>
              <w:t>Imports of manufacturing inputs (excluding fuels)</w:t>
            </w:r>
            <w:r w:rsidRPr="007562B7">
              <w:rPr>
                <w:sz w:val="22"/>
                <w:szCs w:val="22"/>
                <w:vertAlign w:val="superscript"/>
              </w:rPr>
              <w:t>3</w:t>
            </w:r>
          </w:p>
        </w:tc>
        <w:tc>
          <w:tcPr>
            <w:tcW w:w="0" w:type="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2.04</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-2.43</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3.77</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-1.48</w:t>
            </w:r>
          </w:p>
        </w:tc>
      </w:tr>
      <w:tr w:rsidR="00C6170C" w:rsidTr="0004555C">
        <w:tc>
          <w:tcPr>
            <w:tcW w:w="0" w:type="auto"/>
            <w:shd w:val="clear" w:color="auto" w:fill="auto"/>
            <w:vAlign w:val="bottom"/>
          </w:tcPr>
          <w:p w:rsidR="00C6170C" w:rsidRPr="007562B7" w:rsidRDefault="00C6170C" w:rsidP="00554519">
            <w:pPr>
              <w:pStyle w:val="regpar"/>
              <w:spacing w:line="280" w:lineRule="exact"/>
              <w:ind w:firstLine="0"/>
              <w:jc w:val="left"/>
              <w:rPr>
                <w:sz w:val="22"/>
                <w:szCs w:val="22"/>
              </w:rPr>
            </w:pPr>
            <w:r w:rsidRPr="007562B7">
              <w:rPr>
                <w:sz w:val="22"/>
                <w:szCs w:val="22"/>
              </w:rPr>
              <w:t>Goods exports (excluding agriculture)</w:t>
            </w:r>
            <w:r w:rsidRPr="007562B7">
              <w:rPr>
                <w:sz w:val="22"/>
                <w:szCs w:val="22"/>
                <w:vertAlign w:val="superscript"/>
              </w:rPr>
              <w:t xml:space="preserve"> 3</w:t>
            </w:r>
          </w:p>
        </w:tc>
        <w:tc>
          <w:tcPr>
            <w:tcW w:w="0" w:type="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-16.69</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4.71</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7.60</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-5.57</w:t>
            </w:r>
          </w:p>
        </w:tc>
      </w:tr>
      <w:tr w:rsidR="00C6170C" w:rsidTr="0004555C">
        <w:tc>
          <w:tcPr>
            <w:tcW w:w="0" w:type="auto"/>
            <w:shd w:val="clear" w:color="auto" w:fill="auto"/>
            <w:vAlign w:val="bottom"/>
          </w:tcPr>
          <w:p w:rsidR="00C6170C" w:rsidRPr="007562B7" w:rsidRDefault="00C6170C" w:rsidP="00554519">
            <w:pPr>
              <w:pStyle w:val="regpar"/>
              <w:spacing w:line="280" w:lineRule="exact"/>
              <w:ind w:firstLine="0"/>
              <w:jc w:val="left"/>
              <w:rPr>
                <w:sz w:val="22"/>
                <w:szCs w:val="22"/>
              </w:rPr>
            </w:pPr>
            <w:r w:rsidRPr="007562B7">
              <w:rPr>
                <w:sz w:val="22"/>
                <w:szCs w:val="22"/>
              </w:rPr>
              <w:t>Services exports (excluding transportation)</w:t>
            </w:r>
            <w:r w:rsidRPr="007562B7">
              <w:rPr>
                <w:sz w:val="22"/>
                <w:szCs w:val="22"/>
                <w:vertAlign w:val="superscript"/>
              </w:rPr>
              <w:t xml:space="preserve"> 3</w:t>
            </w:r>
          </w:p>
        </w:tc>
        <w:tc>
          <w:tcPr>
            <w:tcW w:w="0" w:type="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2.04</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-4.69</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7.37</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3.99</w:t>
            </w:r>
          </w:p>
        </w:tc>
      </w:tr>
      <w:tr w:rsidR="00C6170C" w:rsidTr="0004555C">
        <w:tc>
          <w:tcPr>
            <w:tcW w:w="0" w:type="auto"/>
            <w:shd w:val="clear" w:color="auto" w:fill="auto"/>
            <w:vAlign w:val="bottom"/>
          </w:tcPr>
          <w:p w:rsidR="00C6170C" w:rsidRPr="007562B7" w:rsidRDefault="00C6170C" w:rsidP="00554519">
            <w:pPr>
              <w:pStyle w:val="regpar"/>
              <w:spacing w:line="280" w:lineRule="exact"/>
              <w:ind w:firstLine="0"/>
              <w:jc w:val="left"/>
              <w:rPr>
                <w:sz w:val="22"/>
                <w:szCs w:val="22"/>
              </w:rPr>
            </w:pPr>
            <w:r w:rsidRPr="007562B7">
              <w:rPr>
                <w:sz w:val="22"/>
                <w:szCs w:val="22"/>
              </w:rPr>
              <w:t>Number of employee posts in the private sector</w:t>
            </w:r>
          </w:p>
        </w:tc>
        <w:tc>
          <w:tcPr>
            <w:tcW w:w="0" w:type="auto"/>
            <w:vAlign w:val="bottom"/>
          </w:tcPr>
          <w:p w:rsidR="00C6170C" w:rsidRDefault="00C6170C" w:rsidP="00BD6353">
            <w:pPr>
              <w:jc w:val="center"/>
              <w:rPr>
                <w:rFonts w:ascii="Arial" w:hAnsi="Arial" w:cs="Arial"/>
                <w:color w:val="000000"/>
                <w:sz w:val="22"/>
                <w:szCs w:val="22"/>
              </w:rPr>
            </w:pPr>
          </w:p>
        </w:tc>
        <w:tc>
          <w:tcPr>
            <w:tcW w:w="0" w:type="auto"/>
            <w:shd w:val="clear" w:color="auto" w:fill="auto"/>
            <w:vAlign w:val="bottom"/>
          </w:tcPr>
          <w:p w:rsidR="00C6170C" w:rsidRDefault="00C6170C" w:rsidP="00BD6353">
            <w:pPr>
              <w:jc w:val="center"/>
              <w:rPr>
                <w:rFonts w:ascii="Arial" w:hAnsi="Arial" w:cs="Arial"/>
                <w:color w:val="000000"/>
                <w:sz w:val="22"/>
                <w:szCs w:val="22"/>
              </w:rPr>
            </w:pP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-0.27</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0.34</w:t>
            </w:r>
          </w:p>
        </w:tc>
      </w:tr>
      <w:tr w:rsidR="00C6170C" w:rsidTr="0004555C">
        <w:tc>
          <w:tcPr>
            <w:tcW w:w="0" w:type="auto"/>
            <w:shd w:val="clear" w:color="auto" w:fill="auto"/>
            <w:vAlign w:val="bottom"/>
          </w:tcPr>
          <w:p w:rsidR="00C6170C" w:rsidRPr="007562B7" w:rsidRDefault="00C6170C" w:rsidP="00554519">
            <w:pPr>
              <w:pStyle w:val="regpar"/>
              <w:spacing w:line="280" w:lineRule="exact"/>
              <w:ind w:firstLine="0"/>
              <w:jc w:val="left"/>
              <w:rPr>
                <w:sz w:val="22"/>
                <w:szCs w:val="22"/>
              </w:rPr>
            </w:pPr>
            <w:r w:rsidRPr="007562B7">
              <w:rPr>
                <w:sz w:val="22"/>
                <w:szCs w:val="22"/>
              </w:rPr>
              <w:t>Rate of vacant employee posts out of total number of employed people in the business sector</w:t>
            </w:r>
            <w:r w:rsidRPr="007562B7">
              <w:rPr>
                <w:rStyle w:val="ad"/>
                <w:sz w:val="22"/>
                <w:szCs w:val="22"/>
              </w:rPr>
              <w:t>1</w:t>
            </w:r>
          </w:p>
        </w:tc>
        <w:tc>
          <w:tcPr>
            <w:tcW w:w="0" w:type="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2.70</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2.61</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2.60</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2.61</w:t>
            </w:r>
          </w:p>
        </w:tc>
      </w:tr>
      <w:tr w:rsidR="00C6170C" w:rsidTr="0004555C">
        <w:tc>
          <w:tcPr>
            <w:tcW w:w="0" w:type="auto"/>
            <w:shd w:val="clear" w:color="auto" w:fill="auto"/>
            <w:vAlign w:val="bottom"/>
          </w:tcPr>
          <w:p w:rsidR="00C6170C" w:rsidRPr="007562B7" w:rsidRDefault="00C6170C" w:rsidP="00554519">
            <w:pPr>
              <w:pStyle w:val="regpar"/>
              <w:spacing w:line="280" w:lineRule="exact"/>
              <w:ind w:firstLine="0"/>
              <w:jc w:val="left"/>
              <w:rPr>
                <w:sz w:val="22"/>
                <w:szCs w:val="22"/>
              </w:rPr>
            </w:pPr>
            <w:r w:rsidRPr="007562B7">
              <w:rPr>
                <w:sz w:val="22"/>
                <w:szCs w:val="22"/>
              </w:rPr>
              <w:t>Building starts</w:t>
            </w:r>
            <w:r w:rsidRPr="007562B7">
              <w:rPr>
                <w:sz w:val="22"/>
                <w:szCs w:val="22"/>
                <w:vertAlign w:val="superscript"/>
              </w:rPr>
              <w:t>2</w:t>
            </w:r>
          </w:p>
        </w:tc>
        <w:tc>
          <w:tcPr>
            <w:tcW w:w="0" w:type="auto"/>
            <w:vAlign w:val="bottom"/>
          </w:tcPr>
          <w:p w:rsidR="00C6170C" w:rsidRDefault="00C6170C" w:rsidP="00BD6353">
            <w:pPr>
              <w:jc w:val="center"/>
              <w:rPr>
                <w:rFonts w:ascii="Arial" w:hAnsi="Arial" w:cs="Arial"/>
                <w:color w:val="000000"/>
                <w:sz w:val="22"/>
                <w:szCs w:val="22"/>
              </w:rPr>
            </w:pPr>
          </w:p>
        </w:tc>
        <w:tc>
          <w:tcPr>
            <w:tcW w:w="0" w:type="auto"/>
            <w:shd w:val="clear" w:color="auto" w:fill="auto"/>
            <w:vAlign w:val="bottom"/>
          </w:tcPr>
          <w:p w:rsidR="00C6170C" w:rsidRDefault="00C6170C" w:rsidP="00BD6353">
            <w:pPr>
              <w:jc w:val="center"/>
              <w:rPr>
                <w:rFonts w:ascii="Arial" w:hAnsi="Arial" w:cs="Arial"/>
                <w:color w:val="000000"/>
                <w:sz w:val="22"/>
                <w:szCs w:val="22"/>
              </w:rPr>
            </w:pP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-3.13</w:t>
            </w:r>
          </w:p>
        </w:tc>
        <w:tc>
          <w:tcPr>
            <w:tcW w:w="0" w:type="auto"/>
            <w:shd w:val="clear" w:color="auto" w:fill="auto"/>
            <w:vAlign w:val="bottom"/>
          </w:tcPr>
          <w:p w:rsidR="00C6170C" w:rsidRDefault="00C6170C" w:rsidP="00BD6353">
            <w:pPr>
              <w:jc w:val="center"/>
              <w:rPr>
                <w:rFonts w:ascii="Arial" w:hAnsi="Arial" w:cs="Arial"/>
                <w:color w:val="000000"/>
                <w:sz w:val="22"/>
                <w:szCs w:val="22"/>
              </w:rPr>
            </w:pPr>
            <w:r>
              <w:rPr>
                <w:rFonts w:ascii="Arial" w:hAnsi="Arial" w:cs="Arial"/>
                <w:color w:val="000000"/>
                <w:sz w:val="22"/>
                <w:szCs w:val="22"/>
              </w:rPr>
              <w:t>-2.08</w:t>
            </w:r>
          </w:p>
        </w:tc>
      </w:tr>
    </w:tbl>
    <w:p w:rsidR="00AD029C" w:rsidRDefault="00AD029C" w:rsidP="007658A5">
      <w:pPr>
        <w:pStyle w:val="ab"/>
        <w:spacing w:line="240" w:lineRule="auto"/>
      </w:pPr>
      <w:r>
        <w:rPr>
          <w:vertAlign w:val="superscript"/>
        </w:rPr>
        <w:t>1</w:t>
      </w:r>
      <w:r>
        <w:t xml:space="preserve"> The rate of job vacancies at its actual level, seasonally adjusted and smoothed.</w:t>
      </w:r>
    </w:p>
    <w:p w:rsidR="00AD029C" w:rsidRDefault="00AD029C" w:rsidP="007658A5">
      <w:pPr>
        <w:pStyle w:val="ab"/>
        <w:spacing w:line="240" w:lineRule="auto"/>
      </w:pPr>
      <w:r w:rsidRPr="00B268CD">
        <w:rPr>
          <w:vertAlign w:val="superscript"/>
        </w:rPr>
        <w:t>2</w:t>
      </w:r>
      <w:r>
        <w:t xml:space="preserve"> Six-month moving average.</w:t>
      </w:r>
    </w:p>
    <w:p w:rsidR="00AD029C" w:rsidRDefault="00AD029C" w:rsidP="007658A5">
      <w:pPr>
        <w:pStyle w:val="ab"/>
        <w:spacing w:line="240" w:lineRule="auto"/>
      </w:pPr>
      <w:r w:rsidRPr="00C36980">
        <w:rPr>
          <w:vertAlign w:val="superscript"/>
        </w:rPr>
        <w:t>3</w:t>
      </w:r>
      <w:r>
        <w:t xml:space="preserve"> Foreign trade indices are quantitative (in contrast to CBS monthly foreign trade indices).</w:t>
      </w:r>
    </w:p>
    <w:p w:rsidR="00D80D4B" w:rsidRDefault="00D80D4B" w:rsidP="007658A5">
      <w:pPr>
        <w:pStyle w:val="ab"/>
        <w:spacing w:line="240" w:lineRule="auto"/>
      </w:pPr>
    </w:p>
    <w:p w:rsidR="00AD029C" w:rsidRDefault="00AD029C" w:rsidP="007658A5">
      <w:pPr>
        <w:autoSpaceDE w:val="0"/>
        <w:autoSpaceDN w:val="0"/>
        <w:bidi w:val="0"/>
        <w:adjustRightInd w:val="0"/>
        <w:spacing w:line="280" w:lineRule="exact"/>
      </w:pPr>
      <w:r>
        <w:t>For additional data and explanations please click here.</w:t>
      </w:r>
    </w:p>
    <w:p w:rsidR="00AD029C" w:rsidRDefault="00785218" w:rsidP="007658A5">
      <w:pPr>
        <w:autoSpaceDE w:val="0"/>
        <w:autoSpaceDN w:val="0"/>
        <w:bidi w:val="0"/>
        <w:adjustRightInd w:val="0"/>
        <w:rPr>
          <w:rFonts w:ascii="Arial" w:hAnsi="Arial" w:cs="Arial"/>
          <w:color w:val="0000FF"/>
          <w:sz w:val="20"/>
          <w:szCs w:val="20"/>
        </w:rPr>
      </w:pPr>
      <w:hyperlink r:id="rId9" w:history="1">
        <w:r w:rsidR="00AD029C" w:rsidRPr="001429B3">
          <w:rPr>
            <w:rStyle w:val="Hyperlink"/>
          </w:rPr>
          <w:t>http://www.boi.org.il/en/Research/Pages/ind.aspx</w:t>
        </w:r>
      </w:hyperlink>
    </w:p>
    <w:p w:rsidR="00596FB4" w:rsidRDefault="00596FB4" w:rsidP="00596FB4">
      <w:pPr>
        <w:autoSpaceDE w:val="0"/>
        <w:autoSpaceDN w:val="0"/>
        <w:bidi w:val="0"/>
        <w:adjustRightInd w:val="0"/>
        <w:rPr>
          <w:rStyle w:val="Hyperlink"/>
        </w:rPr>
      </w:pPr>
    </w:p>
    <w:p w:rsidR="0074341E" w:rsidRPr="00E64B36" w:rsidRDefault="0074341E" w:rsidP="00596FB4">
      <w:pPr>
        <w:bidi w:val="0"/>
        <w:jc w:val="both"/>
      </w:pPr>
    </w:p>
    <w:sectPr w:rsidR="0074341E" w:rsidRPr="00E64B36" w:rsidSect="0004555C">
      <w:headerReference w:type="even" r:id="rId10"/>
      <w:headerReference w:type="default" r:id="rId11"/>
      <w:footerReference w:type="even" r:id="rId12"/>
      <w:footerReference w:type="default" r:id="rId13"/>
      <w:headerReference w:type="first" r:id="rId14"/>
      <w:footerReference w:type="first" r:id="rId15"/>
      <w:pgSz w:w="11906" w:h="16838"/>
      <w:pgMar w:top="238" w:right="720" w:bottom="249" w:left="720"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E33" w:rsidRDefault="00B46E33" w:rsidP="00E64B36">
      <w:r>
        <w:separator/>
      </w:r>
    </w:p>
  </w:endnote>
  <w:endnote w:type="continuationSeparator" w:id="0">
    <w:p w:rsidR="00B46E33" w:rsidRDefault="00B46E33"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DF" w:rsidRDefault="00187C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DF" w:rsidRDefault="00187CD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DF" w:rsidRDefault="00187C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E33" w:rsidRDefault="00B46E33" w:rsidP="00E64B36">
      <w:r>
        <w:separator/>
      </w:r>
    </w:p>
  </w:footnote>
  <w:footnote w:type="continuationSeparator" w:id="0">
    <w:p w:rsidR="00B46E33" w:rsidRDefault="00B46E33" w:rsidP="00E64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DF" w:rsidRDefault="00187C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DF" w:rsidRDefault="00187CD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DF" w:rsidRDefault="00187CD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D0"/>
    <w:rsid w:val="00000A06"/>
    <w:rsid w:val="0001385E"/>
    <w:rsid w:val="0001413F"/>
    <w:rsid w:val="0004555C"/>
    <w:rsid w:val="000526A0"/>
    <w:rsid w:val="0005726E"/>
    <w:rsid w:val="00062122"/>
    <w:rsid w:val="000A520E"/>
    <w:rsid w:val="001001A2"/>
    <w:rsid w:val="00101B55"/>
    <w:rsid w:val="00130245"/>
    <w:rsid w:val="001428C4"/>
    <w:rsid w:val="00143F3A"/>
    <w:rsid w:val="00160B25"/>
    <w:rsid w:val="00187CDF"/>
    <w:rsid w:val="001B4E73"/>
    <w:rsid w:val="001C1BC1"/>
    <w:rsid w:val="001C388F"/>
    <w:rsid w:val="001C71E8"/>
    <w:rsid w:val="001E3649"/>
    <w:rsid w:val="0021327F"/>
    <w:rsid w:val="002217C9"/>
    <w:rsid w:val="00237CE5"/>
    <w:rsid w:val="00281C70"/>
    <w:rsid w:val="002A0D2A"/>
    <w:rsid w:val="002B48CC"/>
    <w:rsid w:val="0030279B"/>
    <w:rsid w:val="003129D6"/>
    <w:rsid w:val="003136EE"/>
    <w:rsid w:val="003727EE"/>
    <w:rsid w:val="003772AF"/>
    <w:rsid w:val="00385CB3"/>
    <w:rsid w:val="00387840"/>
    <w:rsid w:val="0039059D"/>
    <w:rsid w:val="00390CA5"/>
    <w:rsid w:val="003A335C"/>
    <w:rsid w:val="003A3813"/>
    <w:rsid w:val="003B715F"/>
    <w:rsid w:val="003B7DC3"/>
    <w:rsid w:val="003C7815"/>
    <w:rsid w:val="003D6F31"/>
    <w:rsid w:val="003D7860"/>
    <w:rsid w:val="003E2428"/>
    <w:rsid w:val="00411BA4"/>
    <w:rsid w:val="00412846"/>
    <w:rsid w:val="004147FC"/>
    <w:rsid w:val="00445B15"/>
    <w:rsid w:val="00450D81"/>
    <w:rsid w:val="00460DE0"/>
    <w:rsid w:val="00492391"/>
    <w:rsid w:val="004A20A5"/>
    <w:rsid w:val="004D32A7"/>
    <w:rsid w:val="004D5D6F"/>
    <w:rsid w:val="004E4AEC"/>
    <w:rsid w:val="0050183E"/>
    <w:rsid w:val="005406F8"/>
    <w:rsid w:val="00540B03"/>
    <w:rsid w:val="005462D0"/>
    <w:rsid w:val="00546392"/>
    <w:rsid w:val="005713A8"/>
    <w:rsid w:val="0059277F"/>
    <w:rsid w:val="00596FB4"/>
    <w:rsid w:val="00597EED"/>
    <w:rsid w:val="005E762B"/>
    <w:rsid w:val="005F3E47"/>
    <w:rsid w:val="0060215A"/>
    <w:rsid w:val="0061692C"/>
    <w:rsid w:val="006216F9"/>
    <w:rsid w:val="00621BB5"/>
    <w:rsid w:val="0062658F"/>
    <w:rsid w:val="00652D53"/>
    <w:rsid w:val="00697874"/>
    <w:rsid w:val="006B679C"/>
    <w:rsid w:val="006D3582"/>
    <w:rsid w:val="00721560"/>
    <w:rsid w:val="0074341E"/>
    <w:rsid w:val="00751F08"/>
    <w:rsid w:val="007658A5"/>
    <w:rsid w:val="007666A8"/>
    <w:rsid w:val="00793399"/>
    <w:rsid w:val="007959DA"/>
    <w:rsid w:val="007C6400"/>
    <w:rsid w:val="007D57EE"/>
    <w:rsid w:val="007F7993"/>
    <w:rsid w:val="0081026B"/>
    <w:rsid w:val="00824351"/>
    <w:rsid w:val="008403F1"/>
    <w:rsid w:val="00842BAF"/>
    <w:rsid w:val="00864C55"/>
    <w:rsid w:val="008A7212"/>
    <w:rsid w:val="008D6FB6"/>
    <w:rsid w:val="0091307F"/>
    <w:rsid w:val="00933EF4"/>
    <w:rsid w:val="0093574D"/>
    <w:rsid w:val="00961BD6"/>
    <w:rsid w:val="0097278E"/>
    <w:rsid w:val="009744A0"/>
    <w:rsid w:val="00976781"/>
    <w:rsid w:val="00986DC5"/>
    <w:rsid w:val="009C21B3"/>
    <w:rsid w:val="009C2C42"/>
    <w:rsid w:val="009E3D4E"/>
    <w:rsid w:val="00A117D2"/>
    <w:rsid w:val="00A37869"/>
    <w:rsid w:val="00A44A88"/>
    <w:rsid w:val="00A72122"/>
    <w:rsid w:val="00A74752"/>
    <w:rsid w:val="00A749E1"/>
    <w:rsid w:val="00A81B6C"/>
    <w:rsid w:val="00A94775"/>
    <w:rsid w:val="00AB75B4"/>
    <w:rsid w:val="00AD029C"/>
    <w:rsid w:val="00AD7CC8"/>
    <w:rsid w:val="00AF6B3A"/>
    <w:rsid w:val="00B108AE"/>
    <w:rsid w:val="00B13C9D"/>
    <w:rsid w:val="00B40E49"/>
    <w:rsid w:val="00B46E33"/>
    <w:rsid w:val="00B84789"/>
    <w:rsid w:val="00B85769"/>
    <w:rsid w:val="00B87F00"/>
    <w:rsid w:val="00B96022"/>
    <w:rsid w:val="00BC71FF"/>
    <w:rsid w:val="00BE27B4"/>
    <w:rsid w:val="00BE52BF"/>
    <w:rsid w:val="00C15121"/>
    <w:rsid w:val="00C171FF"/>
    <w:rsid w:val="00C21009"/>
    <w:rsid w:val="00C37129"/>
    <w:rsid w:val="00C52FC2"/>
    <w:rsid w:val="00C6170C"/>
    <w:rsid w:val="00C76E10"/>
    <w:rsid w:val="00CC58F8"/>
    <w:rsid w:val="00CE0B40"/>
    <w:rsid w:val="00D554DA"/>
    <w:rsid w:val="00D60BFC"/>
    <w:rsid w:val="00D60FF3"/>
    <w:rsid w:val="00D67C46"/>
    <w:rsid w:val="00D80D4B"/>
    <w:rsid w:val="00D907A2"/>
    <w:rsid w:val="00DE01A0"/>
    <w:rsid w:val="00DE0699"/>
    <w:rsid w:val="00DF4CC2"/>
    <w:rsid w:val="00DF6966"/>
    <w:rsid w:val="00E04222"/>
    <w:rsid w:val="00E2493A"/>
    <w:rsid w:val="00E64B36"/>
    <w:rsid w:val="00E660F1"/>
    <w:rsid w:val="00E8008F"/>
    <w:rsid w:val="00E85DB1"/>
    <w:rsid w:val="00EB0DEC"/>
    <w:rsid w:val="00EB44F5"/>
    <w:rsid w:val="00EB669A"/>
    <w:rsid w:val="00EC13FB"/>
    <w:rsid w:val="00EC48D4"/>
    <w:rsid w:val="00ED5226"/>
    <w:rsid w:val="00EE2AA0"/>
    <w:rsid w:val="00EF1AC2"/>
    <w:rsid w:val="00F15E93"/>
    <w:rsid w:val="00F307FA"/>
    <w:rsid w:val="00F53236"/>
    <w:rsid w:val="00F56917"/>
    <w:rsid w:val="00F576F6"/>
    <w:rsid w:val="00F806F6"/>
    <w:rsid w:val="00FA13BA"/>
    <w:rsid w:val="00FA4548"/>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boi.org.il/en/Research/Pages/ind.aspx" TargetMode="Externa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FC79E-A74E-4681-8790-50B3285CB5E4}"/>
</file>

<file path=customXml/itemProps2.xml><?xml version="1.0" encoding="utf-8"?>
<ds:datastoreItem xmlns:ds="http://schemas.openxmlformats.org/officeDocument/2006/customXml" ds:itemID="{B40768A6-A3AB-4BE3-9ACC-6B01DDFF1ECD}"/>
</file>

<file path=customXml/itemProps3.xml><?xml version="1.0" encoding="utf-8"?>
<ds:datastoreItem xmlns:ds="http://schemas.openxmlformats.org/officeDocument/2006/customXml" ds:itemID="{CABF207D-3B63-4DBC-A845-10406351F252}"/>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2395</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2815</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2014-04-27T13:43:00Z</dcterms:created>
  <dcterms:modified xsi:type="dcterms:W3CDTF">2014-04-27T13:43:00Z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