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86"/>
        <w:bidiVisual/>
        <w:tblW w:w="8728" w:type="dxa"/>
        <w:tblLayout w:type="fixed"/>
        <w:tblLook w:val="0000" w:firstRow="0" w:lastRow="0" w:firstColumn="0" w:lastColumn="0" w:noHBand="0" w:noVBand="0"/>
      </w:tblPr>
      <w:tblGrid>
        <w:gridCol w:w="2916"/>
        <w:gridCol w:w="2835"/>
        <w:gridCol w:w="2977"/>
      </w:tblGrid>
      <w:tr w:rsidR="0019102D" w:rsidRPr="00931B96" w:rsidTr="0097253E">
        <w:trPr>
          <w:trHeight w:val="1566"/>
          <w:tblHeader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02D" w:rsidRPr="00931B96" w:rsidRDefault="0019102D" w:rsidP="0097253E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bookmarkStart w:id="0" w:name="_Hlk149732323"/>
            <w:r w:rsidRPr="00931B96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בנק ישראל</w:t>
            </w:r>
          </w:p>
          <w:p w:rsidR="0019102D" w:rsidRPr="00931B96" w:rsidRDefault="0019102D" w:rsidP="0097253E">
            <w:pPr>
              <w:ind w:right="-101"/>
              <w:jc w:val="center"/>
              <w:rPr>
                <w:rFonts w:ascii="David" w:hAnsi="David" w:cs="David"/>
                <w:rtl/>
              </w:rPr>
            </w:pPr>
            <w:r w:rsidRPr="00931B96">
              <w:rPr>
                <w:rFonts w:ascii="David" w:hAnsi="David" w:cs="David"/>
                <w:rtl/>
              </w:rPr>
              <w:t>דוברות והסברה כלכלית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9102D" w:rsidRPr="00931B96" w:rsidRDefault="0019102D" w:rsidP="0097253E">
            <w:pPr>
              <w:jc w:val="center"/>
              <w:rPr>
                <w:rFonts w:ascii="David" w:hAnsi="David" w:cs="David"/>
              </w:rPr>
            </w:pPr>
            <w:r w:rsidRPr="00931B96">
              <w:rPr>
                <w:rFonts w:ascii="David" w:hAnsi="David" w:cs="David"/>
                <w:noProof/>
              </w:rPr>
              <w:drawing>
                <wp:inline distT="0" distB="0" distL="0" distR="0" wp14:anchorId="4B5B5128" wp14:editId="09454706">
                  <wp:extent cx="1066800" cy="1112684"/>
                  <wp:effectExtent l="0" t="0" r="0" b="0"/>
                  <wp:docPr id="9" name="תמונה 9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70" cy="1122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02D" w:rsidRPr="00931B96" w:rsidRDefault="0019102D" w:rsidP="00E24813">
            <w:pPr>
              <w:jc w:val="right"/>
              <w:rPr>
                <w:rFonts w:ascii="David" w:hAnsi="David" w:cs="David"/>
                <w:rtl/>
              </w:rPr>
            </w:pPr>
            <w:r w:rsidRPr="00931B96">
              <w:rPr>
                <w:rFonts w:ascii="David" w:hAnsi="David" w:cs="David"/>
                <w:rtl/>
              </w:rPr>
              <w:t xml:space="preserve">‏‏      ירושלים, </w:t>
            </w:r>
            <w:r w:rsidRPr="00931B96">
              <w:rPr>
                <w:rFonts w:ascii="David" w:hAnsi="David" w:cs="David" w:hint="eastAsia"/>
                <w:rtl/>
              </w:rPr>
              <w:t>‏</w:t>
            </w:r>
            <w:r w:rsidR="002C2DE8" w:rsidRPr="00931B96">
              <w:rPr>
                <w:rFonts w:ascii="David" w:hAnsi="David" w:cs="David" w:hint="cs"/>
                <w:rtl/>
              </w:rPr>
              <w:t>כ</w:t>
            </w:r>
            <w:r w:rsidR="00E24813">
              <w:rPr>
                <w:rFonts w:ascii="David" w:hAnsi="David" w:cs="David" w:hint="cs"/>
                <w:rtl/>
              </w:rPr>
              <w:t>ז</w:t>
            </w:r>
            <w:bookmarkStart w:id="1" w:name="_GoBack"/>
            <w:bookmarkEnd w:id="1"/>
            <w:r w:rsidR="002C2DE8" w:rsidRPr="00931B96">
              <w:rPr>
                <w:rFonts w:ascii="David" w:hAnsi="David" w:cs="David" w:hint="cs"/>
                <w:rtl/>
              </w:rPr>
              <w:t>'</w:t>
            </w:r>
            <w:r w:rsidRPr="00931B96">
              <w:rPr>
                <w:rFonts w:ascii="David" w:hAnsi="David" w:cs="David"/>
                <w:rtl/>
              </w:rPr>
              <w:t xml:space="preserve"> </w:t>
            </w:r>
            <w:r w:rsidR="002C2DE8" w:rsidRPr="00931B96">
              <w:rPr>
                <w:rFonts w:ascii="David" w:hAnsi="David" w:cs="David" w:hint="cs"/>
                <w:rtl/>
              </w:rPr>
              <w:t>כסלו</w:t>
            </w:r>
            <w:r w:rsidRPr="00931B96">
              <w:rPr>
                <w:rFonts w:ascii="David" w:hAnsi="David" w:cs="David"/>
                <w:rtl/>
              </w:rPr>
              <w:t>, תשפ"</w:t>
            </w:r>
            <w:r w:rsidR="002C2DE8" w:rsidRPr="00931B96">
              <w:rPr>
                <w:rFonts w:ascii="David" w:hAnsi="David" w:cs="David" w:hint="cs"/>
                <w:rtl/>
              </w:rPr>
              <w:t>ו</w:t>
            </w:r>
          </w:p>
          <w:p w:rsidR="0019102D" w:rsidRPr="00931B96" w:rsidRDefault="0019102D" w:rsidP="00E24813">
            <w:pPr>
              <w:jc w:val="right"/>
              <w:rPr>
                <w:rFonts w:ascii="David" w:hAnsi="David" w:cs="David"/>
              </w:rPr>
            </w:pPr>
            <w:r w:rsidRPr="00931B96">
              <w:rPr>
                <w:rFonts w:ascii="David" w:hAnsi="David" w:cs="David" w:hint="eastAsia"/>
                <w:rtl/>
              </w:rPr>
              <w:t>‏</w:t>
            </w:r>
            <w:r w:rsidR="00E24813">
              <w:rPr>
                <w:rFonts w:ascii="David" w:hAnsi="David" w:cs="David" w:hint="cs"/>
                <w:rtl/>
              </w:rPr>
              <w:t>17</w:t>
            </w:r>
            <w:r w:rsidRPr="00931B96">
              <w:rPr>
                <w:rFonts w:ascii="David" w:hAnsi="David" w:cs="David"/>
                <w:rtl/>
              </w:rPr>
              <w:t xml:space="preserve"> </w:t>
            </w:r>
            <w:r w:rsidR="002C2DE8" w:rsidRPr="00931B96">
              <w:rPr>
                <w:rFonts w:ascii="David" w:hAnsi="David" w:cs="David" w:hint="cs"/>
                <w:rtl/>
              </w:rPr>
              <w:t>דצמבר</w:t>
            </w:r>
            <w:r w:rsidRPr="00931B96">
              <w:rPr>
                <w:rFonts w:ascii="David" w:hAnsi="David" w:cs="David"/>
                <w:rtl/>
              </w:rPr>
              <w:t xml:space="preserve"> 20</w:t>
            </w:r>
            <w:r w:rsidRPr="00931B96">
              <w:rPr>
                <w:rFonts w:ascii="David" w:hAnsi="David" w:cs="David" w:hint="cs"/>
                <w:rtl/>
              </w:rPr>
              <w:t>2</w:t>
            </w:r>
            <w:r w:rsidR="002C2DE8" w:rsidRPr="00931B96">
              <w:rPr>
                <w:rFonts w:ascii="David" w:hAnsi="David" w:cs="David" w:hint="cs"/>
                <w:rtl/>
              </w:rPr>
              <w:t>5</w:t>
            </w:r>
          </w:p>
        </w:tc>
      </w:tr>
    </w:tbl>
    <w:p w:rsidR="001D5704" w:rsidRPr="00931B96" w:rsidRDefault="0019102D" w:rsidP="0019102D">
      <w:pPr>
        <w:rPr>
          <w:rFonts w:ascii="David" w:eastAsia="David" w:hAnsi="David" w:cs="David"/>
          <w:b/>
          <w:sz w:val="24"/>
          <w:szCs w:val="24"/>
        </w:rPr>
      </w:pPr>
      <w:r w:rsidRPr="00931B96">
        <w:rPr>
          <w:rFonts w:ascii="David" w:eastAsia="David" w:hAnsi="David" w:cs="David"/>
          <w:b/>
          <w:sz w:val="24"/>
          <w:szCs w:val="24"/>
          <w:rtl/>
        </w:rPr>
        <w:t>הודעה לעיתונות</w:t>
      </w:r>
      <w:r w:rsidR="005B0778" w:rsidRPr="00931B96">
        <w:rPr>
          <w:rFonts w:ascii="David" w:eastAsia="David" w:hAnsi="David" w:cs="David" w:hint="cs"/>
          <w:b/>
          <w:sz w:val="24"/>
          <w:szCs w:val="24"/>
          <w:rtl/>
        </w:rPr>
        <w:t xml:space="preserve"> משותפת</w:t>
      </w:r>
      <w:r w:rsidRPr="00931B96">
        <w:rPr>
          <w:rFonts w:ascii="David" w:eastAsia="David" w:hAnsi="David" w:cs="David"/>
          <w:b/>
          <w:sz w:val="24"/>
          <w:szCs w:val="24"/>
          <w:rtl/>
        </w:rPr>
        <w:t>:</w:t>
      </w:r>
    </w:p>
    <w:p w:rsidR="006B3ACC" w:rsidRPr="00931B96" w:rsidRDefault="00471694" w:rsidP="002C2DE8">
      <w:pPr>
        <w:jc w:val="center"/>
        <w:rPr>
          <w:rFonts w:ascii="David" w:eastAsia="David" w:hAnsi="David" w:cs="David"/>
          <w:bCs/>
          <w:sz w:val="32"/>
          <w:szCs w:val="32"/>
        </w:rPr>
      </w:pPr>
      <w:r w:rsidRPr="00931B96">
        <w:rPr>
          <w:rFonts w:ascii="David" w:eastAsia="David" w:hAnsi="David" w:cs="David"/>
          <w:bCs/>
          <w:sz w:val="32"/>
          <w:szCs w:val="32"/>
          <w:rtl/>
        </w:rPr>
        <w:t>מניעת הגבלת חשבון בנק</w:t>
      </w:r>
      <w:r w:rsidR="002C2DE8" w:rsidRPr="00931B96">
        <w:rPr>
          <w:rFonts w:ascii="David" w:eastAsia="David" w:hAnsi="David" w:cs="David" w:hint="cs"/>
          <w:bCs/>
          <w:sz w:val="32"/>
          <w:szCs w:val="32"/>
          <w:rtl/>
        </w:rPr>
        <w:t xml:space="preserve"> ורישום שלילי</w:t>
      </w:r>
      <w:r w:rsidRPr="00931B96">
        <w:rPr>
          <w:rFonts w:ascii="David" w:eastAsia="David" w:hAnsi="David" w:cs="David"/>
          <w:bCs/>
          <w:sz w:val="32"/>
          <w:szCs w:val="32"/>
          <w:rtl/>
        </w:rPr>
        <w:t xml:space="preserve"> בעקבות </w:t>
      </w:r>
      <w:r w:rsidR="002C2DE8" w:rsidRPr="00931B96">
        <w:rPr>
          <w:rFonts w:ascii="David" w:eastAsia="David" w:hAnsi="David" w:cs="David" w:hint="cs"/>
          <w:bCs/>
          <w:sz w:val="32"/>
          <w:szCs w:val="32"/>
          <w:rtl/>
        </w:rPr>
        <w:t>מבצע עם כלביא</w:t>
      </w:r>
      <w:r w:rsidRPr="00931B96">
        <w:rPr>
          <w:rFonts w:ascii="David" w:eastAsia="David" w:hAnsi="David" w:cs="David"/>
          <w:bCs/>
          <w:sz w:val="32"/>
          <w:szCs w:val="32"/>
          <w:rtl/>
        </w:rPr>
        <w:t>' - תקנות שיקים ללא כיסוי</w:t>
      </w:r>
    </w:p>
    <w:p w:rsidR="006B3ACC" w:rsidRPr="00931B96" w:rsidRDefault="00471694" w:rsidP="00637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David" w:hAnsi="David" w:cs="David"/>
          <w:bCs/>
          <w:color w:val="000000"/>
          <w:sz w:val="24"/>
          <w:szCs w:val="24"/>
        </w:rPr>
      </w:pPr>
      <w:r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 xml:space="preserve">נקבעו תקנות על פיהן שיקים </w:t>
      </w:r>
      <w:proofErr w:type="spellStart"/>
      <w:r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>שסורבו</w:t>
      </w:r>
      <w:proofErr w:type="spellEnd"/>
      <w:r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 xml:space="preserve"> מכיוון שלא היה להם כיסוי </w:t>
      </w:r>
      <w:r w:rsidR="002C2DE8" w:rsidRPr="00931B96">
        <w:rPr>
          <w:rFonts w:ascii="David" w:eastAsia="David" w:hAnsi="David" w:cs="David" w:hint="cs"/>
          <w:bCs/>
          <w:color w:val="000000"/>
          <w:sz w:val="24"/>
          <w:szCs w:val="24"/>
          <w:rtl/>
        </w:rPr>
        <w:t>בתקופת מבצע "עם כלביא"</w:t>
      </w:r>
      <w:r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 xml:space="preserve"> לא יכללו ברשימת השיקים המביאה להטלת הגבלה על החשבון עליו הם משוכים. </w:t>
      </w:r>
    </w:p>
    <w:p w:rsidR="006B3ACC" w:rsidRPr="00931B96" w:rsidRDefault="002C2DE8" w:rsidP="00FF0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avid" w:hAnsi="David" w:cs="David"/>
          <w:bCs/>
          <w:color w:val="000000"/>
          <w:sz w:val="24"/>
          <w:szCs w:val="24"/>
        </w:rPr>
      </w:pPr>
      <w:r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 xml:space="preserve">בנוסף, </w:t>
      </w:r>
      <w:r w:rsidRPr="00931B96">
        <w:rPr>
          <w:rFonts w:ascii="David" w:eastAsia="David" w:hAnsi="David" w:cs="David" w:hint="cs"/>
          <w:bCs/>
          <w:color w:val="000000"/>
          <w:sz w:val="24"/>
          <w:szCs w:val="24"/>
          <w:rtl/>
        </w:rPr>
        <w:t xml:space="preserve">שיקים </w:t>
      </w:r>
      <w:r w:rsidR="00EA7E5D" w:rsidRPr="00931B96">
        <w:rPr>
          <w:rFonts w:ascii="David" w:eastAsia="David" w:hAnsi="David" w:cs="David" w:hint="cs"/>
          <w:bCs/>
          <w:color w:val="000000"/>
          <w:sz w:val="24"/>
          <w:szCs w:val="24"/>
          <w:rtl/>
        </w:rPr>
        <w:t>ללא כיסוי בתקופת "עם כלביא"</w:t>
      </w:r>
      <w:r w:rsidR="00471694"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 xml:space="preserve"> יוסרו גם מרשימת השיקים למשלוח ה</w:t>
      </w:r>
      <w:r w:rsidRPr="00931B96">
        <w:rPr>
          <w:rFonts w:ascii="David" w:eastAsia="David" w:hAnsi="David" w:cs="David"/>
          <w:bCs/>
          <w:color w:val="000000"/>
          <w:sz w:val="24"/>
          <w:szCs w:val="24"/>
          <w:rtl/>
        </w:rPr>
        <w:t>תראה בגין חמישה שיקים ללא כיסוי</w:t>
      </w:r>
      <w:r w:rsidRPr="00931B96">
        <w:rPr>
          <w:rFonts w:ascii="David" w:eastAsia="David" w:hAnsi="David" w:cs="David" w:hint="cs"/>
          <w:bCs/>
          <w:color w:val="000000"/>
          <w:sz w:val="24"/>
          <w:szCs w:val="24"/>
          <w:rtl/>
        </w:rPr>
        <w:t xml:space="preserve"> וכן </w:t>
      </w:r>
      <w:r w:rsidR="00FF0BA6" w:rsidRPr="00931B96">
        <w:rPr>
          <w:rFonts w:ascii="David" w:eastAsia="David" w:hAnsi="David" w:cs="David" w:hint="cs"/>
          <w:bCs/>
          <w:color w:val="000000"/>
          <w:sz w:val="24"/>
          <w:szCs w:val="24"/>
          <w:rtl/>
        </w:rPr>
        <w:t>אי העברת דיווחים למערכת נתוני אשראי על התראות המבוססות על שיקים שהוסרו.</w:t>
      </w:r>
    </w:p>
    <w:p w:rsidR="002C2DE8" w:rsidRPr="00931B96" w:rsidRDefault="002C2DE8" w:rsidP="00A96E87">
      <w:pP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 w:rsidRPr="00931B96">
        <w:rPr>
          <w:rFonts w:ascii="David" w:eastAsia="David" w:hAnsi="David" w:cs="David" w:hint="cs"/>
          <w:sz w:val="24"/>
          <w:szCs w:val="24"/>
          <w:rtl/>
        </w:rPr>
        <w:t>לאורך תקופת</w:t>
      </w:r>
      <w:r w:rsidR="00471694" w:rsidRPr="00931B96">
        <w:rPr>
          <w:rFonts w:ascii="David" w:eastAsia="David" w:hAnsi="David" w:cs="David"/>
          <w:sz w:val="24"/>
          <w:szCs w:val="24"/>
          <w:rtl/>
        </w:rPr>
        <w:t xml:space="preserve"> מלחמת </w:t>
      </w:r>
      <w:r w:rsidRPr="00931B96">
        <w:rPr>
          <w:rFonts w:ascii="David" w:eastAsia="David" w:hAnsi="David" w:cs="David" w:hint="cs"/>
          <w:sz w:val="24"/>
          <w:szCs w:val="24"/>
          <w:rtl/>
        </w:rPr>
        <w:t xml:space="preserve">"עם כלביא", נוצרו קשיים </w:t>
      </w:r>
      <w:proofErr w:type="spellStart"/>
      <w:r w:rsidRPr="00931B96">
        <w:rPr>
          <w:rFonts w:ascii="David" w:eastAsia="David" w:hAnsi="David" w:cs="David" w:hint="cs"/>
          <w:sz w:val="24"/>
          <w:szCs w:val="24"/>
          <w:rtl/>
        </w:rPr>
        <w:t>תזרימיים</w:t>
      </w:r>
      <w:proofErr w:type="spellEnd"/>
      <w:r w:rsidRPr="00931B96">
        <w:rPr>
          <w:rFonts w:ascii="David" w:eastAsia="David" w:hAnsi="David" w:cs="David" w:hint="cs"/>
          <w:sz w:val="24"/>
          <w:szCs w:val="24"/>
          <w:rtl/>
        </w:rPr>
        <w:t xml:space="preserve"> לעסקים ומשקי בית רבים במדינת ישראל, שהביאו 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>להעדר</w:t>
      </w:r>
      <w:r w:rsidRPr="00931B96">
        <w:rPr>
          <w:rFonts w:ascii="David" w:eastAsia="David" w:hAnsi="David" w:cs="David" w:hint="cs"/>
          <w:sz w:val="24"/>
          <w:szCs w:val="24"/>
          <w:rtl/>
        </w:rPr>
        <w:t xml:space="preserve"> יכולת פ</w:t>
      </w:r>
      <w:r w:rsidR="008E79A5" w:rsidRPr="00931B96">
        <w:rPr>
          <w:rFonts w:ascii="David" w:eastAsia="David" w:hAnsi="David" w:cs="David" w:hint="cs"/>
          <w:sz w:val="24"/>
          <w:szCs w:val="24"/>
          <w:rtl/>
        </w:rPr>
        <w:t>י</w:t>
      </w:r>
      <w:r w:rsidRPr="00931B96">
        <w:rPr>
          <w:rFonts w:ascii="David" w:eastAsia="David" w:hAnsi="David" w:cs="David" w:hint="cs"/>
          <w:sz w:val="24"/>
          <w:szCs w:val="24"/>
          <w:rtl/>
        </w:rPr>
        <w:t>רעון שיקים.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4165E1" w:rsidRPr="00931B96">
        <w:rPr>
          <w:rFonts w:ascii="David" w:eastAsia="David" w:hAnsi="David" w:cs="David" w:hint="cs"/>
          <w:sz w:val="24"/>
          <w:szCs w:val="24"/>
          <w:rtl/>
        </w:rPr>
        <w:t xml:space="preserve">בשל </w:t>
      </w:r>
      <w:r w:rsidR="008E79A5" w:rsidRPr="00931B96">
        <w:rPr>
          <w:rFonts w:ascii="David" w:eastAsia="David" w:hAnsi="David" w:cs="David" w:hint="cs"/>
          <w:sz w:val="24"/>
          <w:szCs w:val="24"/>
          <w:rtl/>
        </w:rPr>
        <w:t>המצוקה אליה נקלע ה</w:t>
      </w:r>
      <w:r w:rsidR="004165E1" w:rsidRPr="00931B96">
        <w:rPr>
          <w:rFonts w:ascii="David" w:eastAsia="David" w:hAnsi="David" w:cs="David" w:hint="cs"/>
          <w:sz w:val="24"/>
          <w:szCs w:val="24"/>
          <w:rtl/>
        </w:rPr>
        <w:t>עורף הישראלי, עלה צורך לקדם תקנות שנועדו לקבוע סייגים לחוק שיקים ללא כיסוי התשמ"א-1981, במטרה לצמצם את הנזק שנגרם ללקוחות הבנקים. בפרט, מניעת הטלת הגבלה או מ</w:t>
      </w:r>
      <w:r w:rsidR="008E79A5" w:rsidRPr="00931B96">
        <w:rPr>
          <w:rFonts w:ascii="David" w:eastAsia="David" w:hAnsi="David" w:cs="David" w:hint="cs"/>
          <w:sz w:val="24"/>
          <w:szCs w:val="24"/>
          <w:rtl/>
        </w:rPr>
        <w:t>שלוח התראה בגין 5 שיקים מסורבים ורישום שלילי של שיקים מסורבים בדו"ח נתוני אשראי ליחידים, ככל שאלו מתבססים על</w:t>
      </w:r>
      <w:r w:rsidR="004165E1" w:rsidRPr="00931B96">
        <w:rPr>
          <w:rFonts w:ascii="David" w:eastAsia="David" w:hAnsi="David" w:cs="David" w:hint="cs"/>
          <w:sz w:val="24"/>
          <w:szCs w:val="24"/>
          <w:rtl/>
        </w:rPr>
        <w:t xml:space="preserve"> שיקים שחזרו במהלך התקופה של ימי מבצע "עם כלביא".</w:t>
      </w:r>
    </w:p>
    <w:p w:rsidR="006B3ACC" w:rsidRPr="00931B96" w:rsidRDefault="008E79A5" w:rsidP="008E79A5">
      <w:pP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 w:rsidRPr="00931B96">
        <w:rPr>
          <w:rFonts w:ascii="David" w:eastAsia="David" w:hAnsi="David" w:cs="David" w:hint="cs"/>
          <w:sz w:val="24"/>
          <w:szCs w:val="24"/>
          <w:rtl/>
        </w:rPr>
        <w:t xml:space="preserve">בעקבות </w:t>
      </w:r>
      <w:r w:rsidR="00471694" w:rsidRPr="00931B96">
        <w:rPr>
          <w:rFonts w:ascii="David" w:eastAsia="David" w:hAnsi="David" w:cs="David"/>
          <w:sz w:val="24"/>
          <w:szCs w:val="24"/>
          <w:rtl/>
        </w:rPr>
        <w:t xml:space="preserve">שיתוף פעולה בין משרד המשפטים לבנק ישראל </w:t>
      </w:r>
      <w:r w:rsidR="00637AD4" w:rsidRPr="00931B96">
        <w:rPr>
          <w:rFonts w:ascii="David" w:eastAsia="David" w:hAnsi="David" w:cs="David" w:hint="cs"/>
          <w:sz w:val="24"/>
          <w:szCs w:val="24"/>
          <w:rtl/>
        </w:rPr>
        <w:t>בהסכמת שר האוצר</w:t>
      </w:r>
      <w:r w:rsidR="00637AD4" w:rsidRPr="00931B96">
        <w:rPr>
          <w:rFonts w:ascii="David" w:eastAsia="David" w:hAnsi="David" w:cs="David"/>
          <w:sz w:val="24"/>
          <w:szCs w:val="24"/>
          <w:rtl/>
        </w:rPr>
        <w:t xml:space="preserve"> </w:t>
      </w:r>
      <w:r w:rsidR="00471694" w:rsidRPr="00931B96">
        <w:rPr>
          <w:rFonts w:ascii="David" w:eastAsia="David" w:hAnsi="David" w:cs="David"/>
          <w:sz w:val="24"/>
          <w:szCs w:val="24"/>
          <w:rtl/>
        </w:rPr>
        <w:t xml:space="preserve">ובאישור ועדת חוקה, חוק ומשפט, קבע שר המשפטים, יריב לוין, ביום </w:t>
      </w:r>
      <w:r w:rsidR="004165E1" w:rsidRPr="00931B96">
        <w:rPr>
          <w:rFonts w:ascii="David" w:eastAsia="David" w:hAnsi="David" w:cs="David" w:hint="cs"/>
          <w:sz w:val="24"/>
          <w:szCs w:val="24"/>
          <w:rtl/>
        </w:rPr>
        <w:t>רביעי</w:t>
      </w:r>
      <w:r w:rsidR="00471694" w:rsidRPr="00931B96">
        <w:rPr>
          <w:rFonts w:ascii="David" w:eastAsia="David" w:hAnsi="David" w:cs="David"/>
          <w:sz w:val="24"/>
          <w:szCs w:val="24"/>
          <w:rtl/>
        </w:rPr>
        <w:t xml:space="preserve"> </w:t>
      </w:r>
      <w:r w:rsidR="00EA7E5D" w:rsidRPr="00931B96">
        <w:rPr>
          <w:rFonts w:ascii="David" w:hAnsi="David" w:cs="David" w:hint="cs"/>
          <w:rtl/>
        </w:rPr>
        <w:t>ביום 26 נובמבר</w:t>
      </w:r>
      <w:r w:rsidR="004165E1" w:rsidRPr="00931B96">
        <w:rPr>
          <w:rFonts w:ascii="David" w:hAnsi="David" w:cs="David" w:hint="cs"/>
          <w:rtl/>
        </w:rPr>
        <w:t>,</w:t>
      </w:r>
      <w:r w:rsidR="00EA7E5D" w:rsidRPr="00931B96">
        <w:rPr>
          <w:rFonts w:ascii="David" w:hAnsi="David" w:cs="David" w:hint="cs"/>
          <w:rtl/>
        </w:rPr>
        <w:t xml:space="preserve"> </w:t>
      </w:r>
      <w:r w:rsidR="004165E1" w:rsidRPr="00931B96">
        <w:rPr>
          <w:rFonts w:ascii="David" w:hAnsi="David" w:cs="David" w:hint="cs"/>
          <w:rtl/>
        </w:rPr>
        <w:t xml:space="preserve">2025 </w:t>
      </w:r>
      <w:r w:rsidR="00471694" w:rsidRPr="00931B96">
        <w:rPr>
          <w:rFonts w:ascii="David" w:eastAsia="David" w:hAnsi="David" w:cs="David"/>
          <w:sz w:val="24"/>
          <w:szCs w:val="24"/>
          <w:rtl/>
        </w:rPr>
        <w:t xml:space="preserve">מתוקף סמכותו לפי חוק שיקים ללא כיסוי, תקנות לפיהן שיקים </w:t>
      </w:r>
      <w:proofErr w:type="spellStart"/>
      <w:r w:rsidR="00471694" w:rsidRPr="00931B96">
        <w:rPr>
          <w:rFonts w:ascii="David" w:eastAsia="David" w:hAnsi="David" w:cs="David"/>
          <w:sz w:val="24"/>
          <w:szCs w:val="24"/>
          <w:rtl/>
        </w:rPr>
        <w:t>שסורבו</w:t>
      </w:r>
      <w:proofErr w:type="spellEnd"/>
      <w:r w:rsidR="00471694" w:rsidRPr="00931B96">
        <w:rPr>
          <w:rFonts w:ascii="David" w:eastAsia="David" w:hAnsi="David" w:cs="David"/>
          <w:sz w:val="24"/>
          <w:szCs w:val="24"/>
          <w:rtl/>
        </w:rPr>
        <w:t xml:space="preserve"> בגלל שלא היה להם כיסוי, </w:t>
      </w:r>
      <w:r w:rsidR="00D11C82" w:rsidRPr="00931B96">
        <w:rPr>
          <w:rFonts w:ascii="David" w:eastAsia="David" w:hAnsi="David" w:cs="David"/>
          <w:sz w:val="24"/>
          <w:szCs w:val="24"/>
          <w:rtl/>
        </w:rPr>
        <w:t xml:space="preserve">בתקופה שבין 13 ביוני ועד 30 ביוני 2025, 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>ייגרע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>ו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D11C82" w:rsidRPr="00931B96">
        <w:rPr>
          <w:rFonts w:ascii="David" w:eastAsia="David" w:hAnsi="David" w:cs="David"/>
          <w:sz w:val="24"/>
          <w:szCs w:val="24"/>
          <w:rtl/>
        </w:rPr>
        <w:t>לצמיתות ממניין השיקים המסורבים לעניין חוק שיקים ללא כיסוי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>.</w:t>
      </w:r>
    </w:p>
    <w:p w:rsidR="00931CB5" w:rsidRPr="00931B96" w:rsidRDefault="008E79A5" w:rsidP="00931C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avid" w:hAnsi="David" w:cs="David"/>
          <w:bCs/>
          <w:color w:val="000000"/>
          <w:sz w:val="24"/>
          <w:szCs w:val="24"/>
        </w:rPr>
      </w:pPr>
      <w:r w:rsidRPr="00931B96">
        <w:rPr>
          <w:rFonts w:ascii="David" w:eastAsia="David" w:hAnsi="David" w:cs="David" w:hint="cs"/>
          <w:sz w:val="24"/>
          <w:szCs w:val="24"/>
          <w:rtl/>
        </w:rPr>
        <w:t xml:space="preserve">לפיכך, 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הגבלות שהוטלו על חשבונות 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 xml:space="preserve">שהתבססו על שיקים </w:t>
      </w:r>
      <w:proofErr w:type="spellStart"/>
      <w:r w:rsidR="00EA7E5D" w:rsidRPr="00931B96">
        <w:rPr>
          <w:rFonts w:ascii="David" w:eastAsia="David" w:hAnsi="David" w:cs="David" w:hint="cs"/>
          <w:sz w:val="24"/>
          <w:szCs w:val="24"/>
          <w:rtl/>
        </w:rPr>
        <w:t>שסורבו</w:t>
      </w:r>
      <w:proofErr w:type="spellEnd"/>
      <w:r w:rsidR="00EA7E5D" w:rsidRPr="00931B96">
        <w:rPr>
          <w:rFonts w:ascii="David" w:eastAsia="David" w:hAnsi="David" w:cs="David" w:hint="cs"/>
          <w:sz w:val="24"/>
          <w:szCs w:val="24"/>
          <w:rtl/>
        </w:rPr>
        <w:t xml:space="preserve"> בתקופה האמורה </w:t>
      </w:r>
      <w:proofErr w:type="spellStart"/>
      <w:r w:rsidR="00EA7E5D" w:rsidRPr="00931B96">
        <w:rPr>
          <w:rFonts w:ascii="David" w:eastAsia="David" w:hAnsi="David" w:cs="David" w:hint="cs"/>
          <w:sz w:val="24"/>
          <w:szCs w:val="24"/>
          <w:rtl/>
        </w:rPr>
        <w:t>ייבוטלו</w:t>
      </w:r>
      <w:proofErr w:type="spellEnd"/>
      <w:r w:rsidR="00A15F0D" w:rsidRPr="00931B96">
        <w:rPr>
          <w:rFonts w:ascii="David" w:eastAsia="David" w:hAnsi="David" w:cs="David" w:hint="cs"/>
          <w:sz w:val="24"/>
          <w:szCs w:val="24"/>
          <w:rtl/>
        </w:rPr>
        <w:t xml:space="preserve">. 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כמו כן, </w:t>
      </w:r>
      <w:r w:rsidR="00931CB5" w:rsidRPr="00931B96">
        <w:rPr>
          <w:rFonts w:ascii="David" w:eastAsia="David" w:hAnsi="David" w:cs="David" w:hint="cs"/>
          <w:bCs/>
          <w:color w:val="000000"/>
          <w:sz w:val="24"/>
          <w:szCs w:val="24"/>
          <w:rtl/>
        </w:rPr>
        <w:t>לא יועברו דיווחים למערכת נתוני אשראי על התראות המבוססות על שיקים שהוסרו.</w:t>
      </w:r>
    </w:p>
    <w:p w:rsidR="00D11C82" w:rsidRPr="00931B96" w:rsidRDefault="00D11C82" w:rsidP="00FF0BA6">
      <w:pP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</w:p>
    <w:p w:rsidR="006B3ACC" w:rsidRPr="00931B96" w:rsidRDefault="00471694" w:rsidP="00EA7E5D">
      <w:pP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 w:rsidRPr="00931B96">
        <w:rPr>
          <w:rFonts w:ascii="David" w:eastAsia="David" w:hAnsi="David" w:cs="David"/>
          <w:sz w:val="24"/>
          <w:szCs w:val="24"/>
          <w:rtl/>
        </w:rPr>
        <w:t xml:space="preserve">ההקלות 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הינן גורפות ומתייחסות לכלל הלקוחות </w:t>
      </w:r>
      <w:proofErr w:type="spellStart"/>
      <w:r w:rsidR="00D11C82" w:rsidRPr="00931B96">
        <w:rPr>
          <w:rFonts w:ascii="David" w:eastAsia="David" w:hAnsi="David" w:cs="David" w:hint="cs"/>
          <w:sz w:val="24"/>
          <w:szCs w:val="24"/>
          <w:rtl/>
        </w:rPr>
        <w:t>מושכי</w:t>
      </w:r>
      <w:proofErr w:type="spellEnd"/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 השיקים במערכת הבנקאית, והן ימומשו באופן אוטומטי ללא צורך בהגשת בקשה ספציפית בנושא (כן מומלץ לעקוב ולוודא ששיקים אלו אכן נגרעו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 xml:space="preserve"> וההגבלות או ההתראות בוטלו בהתאם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>).</w:t>
      </w:r>
    </w:p>
    <w:p w:rsidR="006B3ACC" w:rsidRPr="00931B96" w:rsidRDefault="00EA7E5D" w:rsidP="00D94800">
      <w:pP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 w:rsidRPr="00931B96">
        <w:rPr>
          <w:rFonts w:ascii="David" w:eastAsia="David" w:hAnsi="David" w:cs="David" w:hint="cs"/>
          <w:sz w:val="24"/>
          <w:szCs w:val="24"/>
          <w:rtl/>
        </w:rPr>
        <w:t>חשוב לשים לב ש</w:t>
      </w:r>
      <w:r w:rsidRPr="00931B96">
        <w:rPr>
          <w:rFonts w:ascii="David" w:eastAsia="David" w:hAnsi="David" w:cs="David"/>
          <w:sz w:val="24"/>
          <w:szCs w:val="24"/>
          <w:rtl/>
        </w:rPr>
        <w:t xml:space="preserve">גריעת </w:t>
      </w:r>
      <w:r w:rsidR="00471694" w:rsidRPr="00931B96">
        <w:rPr>
          <w:rFonts w:ascii="David" w:eastAsia="David" w:hAnsi="David" w:cs="David"/>
          <w:sz w:val="24"/>
          <w:szCs w:val="24"/>
          <w:rtl/>
        </w:rPr>
        <w:t>שיקים אינה פוטרת מהחובה להעברת התשלום למוטב ומהשלכות שליליות אחרות שעלולות להיות לאי תשלום השיק, כדוגמת פתיחת הליך בהוצאה לפועל לנוכח זכות המוטב לפעול לגביית השיק באמצעות לשכת ההוצאה לפועל</w:t>
      </w:r>
      <w:r w:rsidR="00B07572" w:rsidRPr="00931B96">
        <w:rPr>
          <w:rFonts w:ascii="David" w:eastAsia="David" w:hAnsi="David" w:cs="David"/>
          <w:sz w:val="24"/>
          <w:szCs w:val="24"/>
          <w:rtl/>
        </w:rPr>
        <w:t xml:space="preserve"> או השפעה על חיתום האשראי של הלקוח</w:t>
      </w:r>
      <w:r w:rsidR="00D94800" w:rsidRPr="00931B96">
        <w:rPr>
          <w:rFonts w:ascii="David" w:eastAsia="David" w:hAnsi="David" w:cs="David"/>
          <w:sz w:val="24"/>
          <w:szCs w:val="24"/>
          <w:rtl/>
        </w:rPr>
        <w:t>.</w:t>
      </w:r>
    </w:p>
    <w:p w:rsidR="006B3ACC" w:rsidRPr="00931B96" w:rsidRDefault="00471694" w:rsidP="00734B8E">
      <w:pP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 w:rsidRPr="00931B96">
        <w:rPr>
          <w:rFonts w:ascii="David" w:eastAsia="David" w:hAnsi="David" w:cs="David"/>
          <w:bCs/>
          <w:sz w:val="24"/>
          <w:szCs w:val="24"/>
          <w:rtl/>
        </w:rPr>
        <w:t>המפקח על הבנקים, מר דניאל חחיאשוילי</w:t>
      </w:r>
      <w:r w:rsidRPr="00931B96">
        <w:rPr>
          <w:rFonts w:ascii="David" w:eastAsia="David" w:hAnsi="David" w:cs="David"/>
          <w:sz w:val="24"/>
          <w:szCs w:val="24"/>
          <w:rtl/>
        </w:rPr>
        <w:t xml:space="preserve">: "אני מודה למשרד המשפטים על העבודה המשותפת וקידום הנושא החשוב. 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עלינו לפעול להפחתת הדרדרות כלכלית של </w:t>
      </w:r>
      <w:r w:rsidR="003112A9" w:rsidRPr="00931B96">
        <w:rPr>
          <w:rFonts w:ascii="David" w:eastAsia="David" w:hAnsi="David" w:cs="David" w:hint="cs"/>
          <w:sz w:val="24"/>
          <w:szCs w:val="24"/>
          <w:rtl/>
        </w:rPr>
        <w:t>לקוחות הבנקים</w:t>
      </w:r>
      <w:r w:rsidR="00D11C82" w:rsidRPr="00931B96">
        <w:rPr>
          <w:rFonts w:ascii="David" w:eastAsia="David" w:hAnsi="David" w:cs="David" w:hint="cs"/>
          <w:sz w:val="24"/>
          <w:szCs w:val="24"/>
          <w:rtl/>
        </w:rPr>
        <w:t xml:space="preserve"> שנפגעו מהמצב ה</w:t>
      </w:r>
      <w:r w:rsidR="003112A9" w:rsidRPr="00931B96">
        <w:rPr>
          <w:rFonts w:ascii="David" w:eastAsia="David" w:hAnsi="David" w:cs="David" w:hint="cs"/>
          <w:sz w:val="24"/>
          <w:szCs w:val="24"/>
          <w:rtl/>
        </w:rPr>
        <w:t xml:space="preserve">קשה ששרר בעורף בתקופת עם כלביא, בד בבד עם תמיכה דוגמת מתווה ההקלות, לצורך הגברת 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 xml:space="preserve">יכולת השיקום </w:t>
      </w:r>
      <w:r w:rsidR="003112A9" w:rsidRPr="00931B96">
        <w:rPr>
          <w:rFonts w:ascii="David" w:eastAsia="David" w:hAnsi="David" w:cs="David" w:hint="cs"/>
          <w:sz w:val="24"/>
          <w:szCs w:val="24"/>
          <w:rtl/>
        </w:rPr>
        <w:t xml:space="preserve">הכלכלי </w:t>
      </w:r>
      <w:r w:rsidR="00EA7E5D" w:rsidRPr="00931B96">
        <w:rPr>
          <w:rFonts w:ascii="David" w:eastAsia="David" w:hAnsi="David" w:cs="David" w:hint="cs"/>
          <w:sz w:val="24"/>
          <w:szCs w:val="24"/>
          <w:rtl/>
        </w:rPr>
        <w:t>של הלקוחות שנפגעו מהמצב</w:t>
      </w:r>
      <w:r w:rsidR="00734B8E" w:rsidRPr="00931B96">
        <w:rPr>
          <w:rFonts w:ascii="David" w:eastAsia="David" w:hAnsi="David" w:cs="David"/>
          <w:sz w:val="24"/>
          <w:szCs w:val="24"/>
          <w:rtl/>
        </w:rPr>
        <w:t>.</w:t>
      </w:r>
      <w:r w:rsidR="001D5704" w:rsidRPr="00931B96">
        <w:rPr>
          <w:rFonts w:ascii="David" w:eastAsia="David" w:hAnsi="David" w:cs="David"/>
          <w:sz w:val="24"/>
          <w:szCs w:val="24"/>
          <w:rtl/>
        </w:rPr>
        <w:t>"</w:t>
      </w:r>
    </w:p>
    <w:p w:rsidR="00613E2A" w:rsidRPr="00931B96" w:rsidRDefault="0019102D" w:rsidP="00613E2A">
      <w:pP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 w:rsidRPr="00931B96">
        <w:rPr>
          <w:rFonts w:ascii="David" w:eastAsia="David" w:hAnsi="David" w:cs="David"/>
          <w:bCs/>
          <w:sz w:val="24"/>
          <w:szCs w:val="24"/>
          <w:rtl/>
        </w:rPr>
        <w:lastRenderedPageBreak/>
        <w:t xml:space="preserve">המשנה ליועצת המשפטית לממשלה (משפט אזרחי), עו"ד כרמית </w:t>
      </w:r>
      <w:proofErr w:type="spellStart"/>
      <w:r w:rsidRPr="00931B96">
        <w:rPr>
          <w:rFonts w:ascii="David" w:eastAsia="David" w:hAnsi="David" w:cs="David"/>
          <w:bCs/>
          <w:sz w:val="24"/>
          <w:szCs w:val="24"/>
          <w:rtl/>
        </w:rPr>
        <w:t>יוליס</w:t>
      </w:r>
      <w:proofErr w:type="spellEnd"/>
      <w:r w:rsidRPr="00931B96">
        <w:rPr>
          <w:rFonts w:ascii="David" w:eastAsia="David" w:hAnsi="David" w:cs="David"/>
          <w:b/>
          <w:sz w:val="24"/>
          <w:szCs w:val="24"/>
          <w:rtl/>
        </w:rPr>
        <w:t>:</w:t>
      </w:r>
      <w:r w:rsidRPr="00931B96">
        <w:rPr>
          <w:rFonts w:ascii="David" w:eastAsia="David" w:hAnsi="David" w:cs="David"/>
          <w:sz w:val="24"/>
          <w:szCs w:val="24"/>
          <w:rtl/>
        </w:rPr>
        <w:t xml:space="preserve"> "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>אני מודה לשר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 xml:space="preserve"> המשפטים, לשר האוצר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 xml:space="preserve"> וליו"ר ועדת חוקה, חוק ומשפט על 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>ה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 xml:space="preserve">קידום 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>ה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>נחוץ של המהלך שיוכל להביא להקלה וסיוע לכלל האוכלוסייה, ובפרט לאוכלוסיות שנפגעו באופן ישיר מהמצב הבטחוני הקשה במדינתנו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 xml:space="preserve"> ששרר בעת מבצע "עם כלביא"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>. תודה מיוחדת לבנק ישראל על שיתוף הפעולה החשוב בעניין זה. אדגיש כי מטרת התקנות היא להקל על ההתמודדות הכלכלית בסיטואצ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>יות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 xml:space="preserve"> מורכב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>ו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 xml:space="preserve">ת </w:t>
      </w:r>
      <w:r w:rsidR="00613E2A" w:rsidRPr="00931B96">
        <w:rPr>
          <w:rFonts w:ascii="David" w:eastAsia="David" w:hAnsi="David" w:cs="David" w:hint="cs"/>
          <w:sz w:val="24"/>
          <w:szCs w:val="24"/>
          <w:rtl/>
        </w:rPr>
        <w:t>שהתעוררו במהלך המלחמה</w:t>
      </w:r>
      <w:r w:rsidR="00613E2A" w:rsidRPr="00931B96">
        <w:rPr>
          <w:rFonts w:ascii="David" w:eastAsia="David" w:hAnsi="David" w:cs="David"/>
          <w:sz w:val="24"/>
          <w:szCs w:val="24"/>
        </w:rPr>
        <w:t xml:space="preserve"> </w:t>
      </w:r>
      <w:r w:rsidR="00613E2A" w:rsidRPr="00931B96">
        <w:rPr>
          <w:rFonts w:ascii="David" w:eastAsia="David" w:hAnsi="David" w:cs="David"/>
          <w:sz w:val="24"/>
          <w:szCs w:val="24"/>
          <w:rtl/>
        </w:rPr>
        <w:t>אנו פועלים על מנת לקדם מענים נוספים ומשלימים במישור האזרחי."</w:t>
      </w:r>
    </w:p>
    <w:p w:rsidR="00D15E6E" w:rsidRPr="00931B96" w:rsidRDefault="00D15E6E" w:rsidP="00613E2A">
      <w:pP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 w:rsidRPr="00931B96">
        <w:rPr>
          <w:rFonts w:ascii="David" w:eastAsia="David" w:hAnsi="David" w:cs="David" w:hint="cs"/>
          <w:sz w:val="24"/>
          <w:szCs w:val="24"/>
          <w:rtl/>
        </w:rPr>
        <w:t>לינק לצפייה ב</w:t>
      </w:r>
      <w:r w:rsidRPr="00931B96">
        <w:rPr>
          <w:rFonts w:ascii="David" w:eastAsia="David" w:hAnsi="David" w:cs="David"/>
          <w:sz w:val="24"/>
          <w:szCs w:val="24"/>
          <w:rtl/>
        </w:rPr>
        <w:t>תקנות שיקים ללא כיסוי</w:t>
      </w:r>
      <w:r w:rsidRPr="00931B96">
        <w:rPr>
          <w:rFonts w:ascii="David" w:eastAsia="David" w:hAnsi="David" w:cs="David" w:hint="cs"/>
          <w:sz w:val="24"/>
          <w:szCs w:val="24"/>
          <w:rtl/>
        </w:rPr>
        <w:t xml:space="preserve">: </w:t>
      </w:r>
    </w:p>
    <w:p w:rsidR="0019102D" w:rsidRPr="0019102D" w:rsidRDefault="003112A9" w:rsidP="001D5704">
      <w:pP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 w:rsidRPr="00931B96">
        <w:rPr>
          <w:rFonts w:ascii="David" w:eastAsia="David" w:hAnsi="David" w:cs="David"/>
          <w:sz w:val="24"/>
          <w:szCs w:val="24"/>
        </w:rPr>
        <w:t>https://www.nevo.co.il/law_html/law00/238548.htm</w:t>
      </w:r>
    </w:p>
    <w:p w:rsidR="006B3ACC" w:rsidRPr="0019102D" w:rsidRDefault="006B3ACC">
      <w:pPr>
        <w:rPr>
          <w:rFonts w:ascii="David" w:eastAsia="David" w:hAnsi="David" w:cs="David"/>
          <w:sz w:val="24"/>
          <w:szCs w:val="24"/>
        </w:rPr>
      </w:pPr>
    </w:p>
    <w:bookmarkEnd w:id="0"/>
    <w:p w:rsidR="006B3ACC" w:rsidRPr="0019102D" w:rsidRDefault="006B3ACC">
      <w:pPr>
        <w:rPr>
          <w:rFonts w:ascii="David" w:eastAsia="David" w:hAnsi="David" w:cs="David"/>
          <w:sz w:val="24"/>
          <w:szCs w:val="24"/>
        </w:rPr>
      </w:pPr>
    </w:p>
    <w:sectPr w:rsidR="006B3ACC" w:rsidRPr="0019102D" w:rsidSect="00191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EF" w:rsidRDefault="00125BEF">
      <w:pPr>
        <w:spacing w:after="0" w:line="240" w:lineRule="auto"/>
      </w:pPr>
      <w:r>
        <w:separator/>
      </w:r>
    </w:p>
  </w:endnote>
  <w:endnote w:type="continuationSeparator" w:id="0">
    <w:p w:rsidR="00125BEF" w:rsidRDefault="0012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A" w:rsidRDefault="00EB6C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CC" w:rsidRDefault="006B3A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15"/>
      </w:tabs>
      <w:spacing w:after="0" w:line="240" w:lineRule="auto"/>
      <w:ind w:left="-483" w:right="-709"/>
      <w:jc w:val="center"/>
      <w:rPr>
        <w:rFonts w:ascii="Tahoma" w:eastAsia="Tahoma" w:hAnsi="Tahoma" w:cs="Tahoma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A" w:rsidRDefault="00EB6C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EF" w:rsidRDefault="00125BEF">
      <w:pPr>
        <w:spacing w:after="0" w:line="240" w:lineRule="auto"/>
      </w:pPr>
      <w:r>
        <w:separator/>
      </w:r>
    </w:p>
  </w:footnote>
  <w:footnote w:type="continuationSeparator" w:id="0">
    <w:p w:rsidR="00125BEF" w:rsidRDefault="0012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A" w:rsidRDefault="00EB6C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CC" w:rsidRPr="00EB6C2A" w:rsidRDefault="006B3ACC" w:rsidP="00EB6C2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A" w:rsidRDefault="00EB6C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ED8"/>
    <w:multiLevelType w:val="multilevel"/>
    <w:tmpl w:val="1520DD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CC"/>
    <w:rsid w:val="00125BEF"/>
    <w:rsid w:val="0019102D"/>
    <w:rsid w:val="00193DC8"/>
    <w:rsid w:val="001B47D9"/>
    <w:rsid w:val="001D5704"/>
    <w:rsid w:val="002C2DE8"/>
    <w:rsid w:val="003112A9"/>
    <w:rsid w:val="004165E1"/>
    <w:rsid w:val="004263D3"/>
    <w:rsid w:val="00471694"/>
    <w:rsid w:val="004D589E"/>
    <w:rsid w:val="00590777"/>
    <w:rsid w:val="005B0778"/>
    <w:rsid w:val="005E48C9"/>
    <w:rsid w:val="00613E2A"/>
    <w:rsid w:val="00637AD4"/>
    <w:rsid w:val="006B3ACC"/>
    <w:rsid w:val="00734B8E"/>
    <w:rsid w:val="008C402B"/>
    <w:rsid w:val="008D4A8B"/>
    <w:rsid w:val="008E79A5"/>
    <w:rsid w:val="00931B96"/>
    <w:rsid w:val="00931CB5"/>
    <w:rsid w:val="00A15F0D"/>
    <w:rsid w:val="00A24C3E"/>
    <w:rsid w:val="00A96E87"/>
    <w:rsid w:val="00AF6B5F"/>
    <w:rsid w:val="00B07572"/>
    <w:rsid w:val="00C66E4E"/>
    <w:rsid w:val="00D11C82"/>
    <w:rsid w:val="00D15E6E"/>
    <w:rsid w:val="00D94800"/>
    <w:rsid w:val="00DF1B80"/>
    <w:rsid w:val="00E24813"/>
    <w:rsid w:val="00E35831"/>
    <w:rsid w:val="00E852A2"/>
    <w:rsid w:val="00EA7E5D"/>
    <w:rsid w:val="00EB6C2A"/>
    <w:rsid w:val="00EC22EE"/>
    <w:rsid w:val="00F35295"/>
    <w:rsid w:val="00F64312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A8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3529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F35295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10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19102D"/>
  </w:style>
  <w:style w:type="paragraph" w:styleId="a9">
    <w:name w:val="footer"/>
    <w:basedOn w:val="a"/>
    <w:link w:val="aa"/>
    <w:uiPriority w:val="99"/>
    <w:unhideWhenUsed/>
    <w:rsid w:val="001910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19102D"/>
  </w:style>
  <w:style w:type="character" w:styleId="Hyperlink">
    <w:name w:val="Hyperlink"/>
    <w:basedOn w:val="a0"/>
    <w:uiPriority w:val="99"/>
    <w:unhideWhenUsed/>
    <w:rsid w:val="00D15E6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37AD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37AD4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637AD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7AD4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37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2025-12-17T06:51:00Z</dcterms:created>
  <dcterms:modified xsi:type="dcterms:W3CDTF">2025-12-17T06:51:00Z</dcterms:modified>
</cp:coreProperties>
</file>