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21"/>
        <w:bidiVisual/>
        <w:tblW w:w="10991" w:type="dxa"/>
        <w:tblLayout w:type="fixed"/>
        <w:tblLook w:val="0000" w:firstRow="0" w:lastRow="0" w:firstColumn="0" w:lastColumn="0" w:noHBand="0" w:noVBand="0"/>
      </w:tblPr>
      <w:tblGrid>
        <w:gridCol w:w="3404"/>
        <w:gridCol w:w="4182"/>
        <w:gridCol w:w="3405"/>
      </w:tblGrid>
      <w:tr w:rsidR="002D01FB" w:rsidRPr="00DF107C" w:rsidTr="00E8571C">
        <w:trPr>
          <w:trHeight w:val="1495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1FB" w:rsidRPr="00520BB4" w:rsidRDefault="002D01FB" w:rsidP="002D01FB">
            <w:pPr>
              <w:bidi/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520BB4">
              <w:rPr>
                <w:rFonts w:cs="David"/>
                <w:b/>
                <w:bCs/>
                <w:sz w:val="28"/>
                <w:szCs w:val="28"/>
                <w:rtl/>
              </w:rPr>
              <w:t>בנ</w:t>
            </w:r>
            <w:r w:rsidRPr="00520BB4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ק </w:t>
            </w:r>
            <w:r w:rsidRPr="00520BB4">
              <w:rPr>
                <w:rFonts w:cs="David"/>
                <w:b/>
                <w:bCs/>
                <w:sz w:val="28"/>
                <w:szCs w:val="28"/>
                <w:rtl/>
              </w:rPr>
              <w:t>יש</w:t>
            </w:r>
            <w:r w:rsidRPr="00520BB4">
              <w:rPr>
                <w:rFonts w:cs="David" w:hint="cs"/>
                <w:b/>
                <w:bCs/>
                <w:sz w:val="28"/>
                <w:szCs w:val="28"/>
                <w:rtl/>
              </w:rPr>
              <w:t>ראל</w:t>
            </w:r>
          </w:p>
          <w:p w:rsidR="002D01FB" w:rsidRDefault="002D01FB" w:rsidP="002D01FB">
            <w:pPr>
              <w:bidi/>
              <w:spacing w:line="360" w:lineRule="auto"/>
              <w:ind w:right="-101"/>
              <w:jc w:val="center"/>
            </w:pPr>
            <w:r w:rsidRPr="00520BB4">
              <w:rPr>
                <w:rFonts w:cs="David"/>
                <w:rtl/>
              </w:rPr>
              <w:t>דו</w:t>
            </w:r>
            <w:r w:rsidRPr="00520BB4">
              <w:rPr>
                <w:rFonts w:cs="David" w:hint="cs"/>
                <w:rtl/>
              </w:rPr>
              <w:t>בר</w:t>
            </w:r>
            <w:r w:rsidRPr="00520BB4">
              <w:rPr>
                <w:rFonts w:cs="David"/>
                <w:rtl/>
              </w:rPr>
              <w:t>ות</w:t>
            </w:r>
            <w:r w:rsidRPr="00520BB4">
              <w:rPr>
                <w:rFonts w:cs="David" w:hint="cs"/>
                <w:rtl/>
              </w:rPr>
              <w:t xml:space="preserve"> והסברה כלכלית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2D01FB" w:rsidRDefault="002D01FB" w:rsidP="00E8571C">
            <w:pPr>
              <w:bidi/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23AC2DDE" wp14:editId="1F68765E">
                  <wp:extent cx="914400" cy="914400"/>
                  <wp:effectExtent l="0" t="0" r="0" b="0"/>
                  <wp:docPr id="1" name="תמונה 1" descr="C:\Users\z862\AppData\Local\Microsoft\Windows\Temporary Internet Files\Content.Outlook\M6E9SVHT\Logo Bank of Israel 2 color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862\AppData\Local\Microsoft\Windows\Temporary Internet Files\Content.Outlook\M6E9SVHT\Logo Bank of Israel 2 color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1FB" w:rsidRDefault="002D01FB" w:rsidP="002D01FB">
            <w:pPr>
              <w:bidi/>
              <w:spacing w:line="480" w:lineRule="auto"/>
              <w:jc w:val="center"/>
              <w:rPr>
                <w:rFonts w:cs="David"/>
                <w:rtl/>
              </w:rPr>
            </w:pPr>
            <w:r>
              <w:rPr>
                <w:rFonts w:cs="David" w:hint="eastAsia"/>
                <w:rtl/>
              </w:rPr>
              <w:t>‏</w:t>
            </w:r>
          </w:p>
          <w:p w:rsidR="002D01FB" w:rsidRPr="00B20A2F" w:rsidRDefault="002D01FB" w:rsidP="002D01FB">
            <w:pPr>
              <w:bidi/>
              <w:spacing w:line="48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ירושלים, </w:t>
            </w:r>
            <w:r>
              <w:rPr>
                <w:rFonts w:cs="David"/>
              </w:rPr>
              <w:fldChar w:fldCharType="begin"/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 w:hint="cs"/>
              </w:rPr>
              <w:instrText>DATE</w:instrText>
            </w:r>
            <w:r>
              <w:rPr>
                <w:rFonts w:cs="David" w:hint="cs"/>
                <w:rtl/>
              </w:rPr>
              <w:instrText xml:space="preserve"> \@ "</w:instrText>
            </w:r>
            <w:r>
              <w:rPr>
                <w:rFonts w:cs="David" w:hint="cs"/>
              </w:rPr>
              <w:instrText>dd MMMM yyyy" \h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fldChar w:fldCharType="separate"/>
            </w:r>
            <w:r>
              <w:rPr>
                <w:rFonts w:cs="David" w:hint="cs"/>
                <w:noProof/>
                <w:rtl/>
              </w:rPr>
              <w:t>ט</w:t>
            </w:r>
            <w:r>
              <w:rPr>
                <w:rFonts w:cs="David"/>
                <w:noProof/>
                <w:rtl/>
              </w:rPr>
              <w:t>' טבת תשפ"ד</w:t>
            </w:r>
            <w:r>
              <w:rPr>
                <w:rFonts w:cs="David"/>
              </w:rPr>
              <w:fldChar w:fldCharType="end"/>
            </w:r>
          </w:p>
          <w:p w:rsidR="002D01FB" w:rsidRDefault="002D01FB" w:rsidP="002D01FB">
            <w:pPr>
              <w:bidi/>
              <w:spacing w:line="480" w:lineRule="auto"/>
              <w:jc w:val="center"/>
              <w:rPr>
                <w:rFonts w:cs="David"/>
                <w:rtl/>
              </w:rPr>
            </w:pPr>
            <w:r>
              <w:rPr>
                <w:rFonts w:cs="David" w:hint="eastAsia"/>
                <w:rtl/>
              </w:rPr>
              <w:t>‏‏</w:t>
            </w:r>
            <w:r>
              <w:rPr>
                <w:rFonts w:cs="David"/>
              </w:rPr>
              <w:fldChar w:fldCharType="begin"/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 w:hint="cs"/>
              </w:rPr>
              <w:instrText>DATE</w:instrText>
            </w:r>
            <w:r>
              <w:rPr>
                <w:rFonts w:cs="David" w:hint="cs"/>
                <w:rtl/>
              </w:rPr>
              <w:instrText xml:space="preserve"> \@ "</w:instrText>
            </w:r>
            <w:r>
              <w:rPr>
                <w:rFonts w:cs="David" w:hint="cs"/>
              </w:rPr>
              <w:instrText>dd MMMM yyyy</w:instrText>
            </w:r>
            <w:r>
              <w:rPr>
                <w:rFonts w:cs="David" w:hint="cs"/>
                <w:rtl/>
              </w:rPr>
              <w:instrText>"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fldChar w:fldCharType="separate"/>
            </w:r>
            <w:r>
              <w:rPr>
                <w:rFonts w:cs="David"/>
                <w:noProof/>
                <w:rtl/>
              </w:rPr>
              <w:t>‏</w:t>
            </w:r>
            <w:r>
              <w:rPr>
                <w:rFonts w:cs="David" w:hint="cs"/>
                <w:noProof/>
                <w:rtl/>
              </w:rPr>
              <w:t>21</w:t>
            </w:r>
            <w:r>
              <w:rPr>
                <w:rFonts w:cs="David"/>
                <w:noProof/>
                <w:rtl/>
              </w:rPr>
              <w:t xml:space="preserve"> דצמבר 2023</w:t>
            </w:r>
            <w:r>
              <w:rPr>
                <w:rFonts w:cs="David"/>
              </w:rPr>
              <w:fldChar w:fldCharType="end"/>
            </w:r>
          </w:p>
          <w:p w:rsidR="002D01FB" w:rsidRPr="00DF107C" w:rsidRDefault="002D01FB" w:rsidP="00E8571C">
            <w:pPr>
              <w:bidi/>
              <w:spacing w:line="480" w:lineRule="auto"/>
              <w:jc w:val="right"/>
              <w:rPr>
                <w:rFonts w:cs="David"/>
              </w:rPr>
            </w:pPr>
          </w:p>
        </w:tc>
      </w:tr>
    </w:tbl>
    <w:p w:rsidR="002D01FB" w:rsidRPr="002D01FB" w:rsidRDefault="002D01FB" w:rsidP="002125C3">
      <w:pPr>
        <w:bidi/>
        <w:spacing w:line="276" w:lineRule="auto"/>
        <w:rPr>
          <w:rFonts w:ascii="David" w:eastAsia="Times New Roman" w:hAnsi="David" w:cs="David"/>
          <w:b/>
          <w:bCs/>
          <w:rtl/>
        </w:rPr>
      </w:pPr>
    </w:p>
    <w:p w:rsidR="002D01FB" w:rsidRPr="002D01FB" w:rsidRDefault="002D01FB" w:rsidP="002D01FB">
      <w:pPr>
        <w:bidi/>
        <w:spacing w:line="276" w:lineRule="auto"/>
        <w:rPr>
          <w:rFonts w:ascii="David" w:eastAsia="Times New Roman" w:hAnsi="David" w:cs="David"/>
          <w:rtl/>
        </w:rPr>
      </w:pPr>
      <w:r w:rsidRPr="002D01FB">
        <w:rPr>
          <w:rFonts w:ascii="David" w:eastAsia="Times New Roman" w:hAnsi="David" w:cs="David"/>
          <w:rtl/>
        </w:rPr>
        <w:t>הודעה לעיתונות:</w:t>
      </w:r>
    </w:p>
    <w:p w:rsidR="002D01FB" w:rsidRPr="002D01FB" w:rsidRDefault="002D01FB" w:rsidP="002D01FB">
      <w:pPr>
        <w:bidi/>
        <w:spacing w:line="276" w:lineRule="auto"/>
        <w:rPr>
          <w:rFonts w:ascii="David" w:eastAsia="Times New Roman" w:hAnsi="David" w:cs="David"/>
          <w:b/>
          <w:bCs/>
          <w:rtl/>
        </w:rPr>
      </w:pPr>
    </w:p>
    <w:p w:rsidR="00015E69" w:rsidRPr="002D01FB" w:rsidRDefault="00015E69" w:rsidP="002D01FB">
      <w:pPr>
        <w:bidi/>
        <w:spacing w:line="276" w:lineRule="auto"/>
        <w:jc w:val="center"/>
        <w:rPr>
          <w:rFonts w:ascii="David" w:eastAsia="Times New Roman" w:hAnsi="David" w:cs="David"/>
          <w:b/>
          <w:bCs/>
          <w:rtl/>
        </w:rPr>
      </w:pPr>
      <w:r w:rsidRPr="002D01FB">
        <w:rPr>
          <w:rFonts w:ascii="David" w:eastAsia="Times New Roman" w:hAnsi="David" w:cs="David"/>
          <w:b/>
          <w:bCs/>
          <w:sz w:val="28"/>
          <w:szCs w:val="28"/>
          <w:rtl/>
        </w:rPr>
        <w:t>החל המסחר בריבית שיר</w:t>
      </w:r>
      <w:r w:rsidR="0024344D" w:rsidRPr="002D01FB">
        <w:rPr>
          <w:rFonts w:ascii="David" w:eastAsia="Times New Roman" w:hAnsi="David" w:cs="David"/>
          <w:b/>
          <w:bCs/>
          <w:sz w:val="28"/>
          <w:szCs w:val="28"/>
          <w:rtl/>
        </w:rPr>
        <w:t xml:space="preserve"> </w:t>
      </w:r>
      <w:r w:rsidRPr="002D01FB">
        <w:rPr>
          <w:rFonts w:ascii="David" w:eastAsia="Times New Roman" w:hAnsi="David" w:cs="David"/>
          <w:b/>
          <w:bCs/>
          <w:sz w:val="28"/>
          <w:szCs w:val="28"/>
          <w:rtl/>
        </w:rPr>
        <w:t xml:space="preserve"> </w:t>
      </w:r>
      <w:r w:rsidR="00522F57" w:rsidRPr="002D01FB">
        <w:rPr>
          <w:rFonts w:ascii="David" w:eastAsia="Times New Roman" w:hAnsi="David" w:cs="David"/>
          <w:sz w:val="28"/>
          <w:szCs w:val="28"/>
        </w:rPr>
        <w:t>SHIR -</w:t>
      </w:r>
      <w:r w:rsidR="00522F57" w:rsidRPr="002D01FB">
        <w:rPr>
          <w:rFonts w:ascii="David" w:eastAsia="Times New Roman" w:hAnsi="David" w:cs="David"/>
          <w:b/>
          <w:bCs/>
          <w:sz w:val="28"/>
          <w:szCs w:val="28"/>
        </w:rPr>
        <w:t>Sh</w:t>
      </w:r>
      <w:r w:rsidR="00522F57" w:rsidRPr="002D01FB">
        <w:rPr>
          <w:rFonts w:ascii="David" w:eastAsia="Times New Roman" w:hAnsi="David" w:cs="David"/>
          <w:sz w:val="28"/>
          <w:szCs w:val="28"/>
        </w:rPr>
        <w:t xml:space="preserve">ekel overnight </w:t>
      </w:r>
      <w:r w:rsidR="00522F57" w:rsidRPr="002D01FB">
        <w:rPr>
          <w:rFonts w:ascii="David" w:eastAsia="Times New Roman" w:hAnsi="David" w:cs="David"/>
          <w:b/>
          <w:bCs/>
          <w:sz w:val="28"/>
          <w:szCs w:val="28"/>
        </w:rPr>
        <w:t>I</w:t>
      </w:r>
      <w:r w:rsidR="00522F57" w:rsidRPr="002D01FB">
        <w:rPr>
          <w:rFonts w:ascii="David" w:eastAsia="Times New Roman" w:hAnsi="David" w:cs="David"/>
          <w:sz w:val="28"/>
          <w:szCs w:val="28"/>
        </w:rPr>
        <w:t xml:space="preserve">nterest </w:t>
      </w:r>
      <w:r w:rsidR="00522F57" w:rsidRPr="002D01FB">
        <w:rPr>
          <w:rFonts w:ascii="David" w:eastAsia="Times New Roman" w:hAnsi="David" w:cs="David"/>
          <w:b/>
          <w:bCs/>
          <w:sz w:val="28"/>
          <w:szCs w:val="28"/>
        </w:rPr>
        <w:t>R</w:t>
      </w:r>
      <w:r w:rsidR="00522F57" w:rsidRPr="002D01FB">
        <w:rPr>
          <w:rFonts w:ascii="David" w:eastAsia="Times New Roman" w:hAnsi="David" w:cs="David"/>
          <w:sz w:val="28"/>
          <w:szCs w:val="28"/>
        </w:rPr>
        <w:t>ate</w:t>
      </w:r>
      <w:r w:rsidR="00522F57" w:rsidRPr="002D01FB">
        <w:rPr>
          <w:rFonts w:ascii="David" w:eastAsia="Times New Roman" w:hAnsi="David" w:cs="David"/>
          <w:b/>
          <w:bCs/>
          <w:sz w:val="28"/>
          <w:szCs w:val="28"/>
          <w:rtl/>
        </w:rPr>
        <w:t xml:space="preserve"> </w:t>
      </w:r>
      <w:r w:rsidRPr="002D01FB">
        <w:rPr>
          <w:rFonts w:ascii="David" w:eastAsia="Times New Roman" w:hAnsi="David" w:cs="David"/>
          <w:b/>
          <w:bCs/>
          <w:sz w:val="28"/>
          <w:szCs w:val="28"/>
          <w:rtl/>
        </w:rPr>
        <w:t>- הריבית שצפויה להחליף את ריבית התלבור</w:t>
      </w:r>
    </w:p>
    <w:p w:rsidR="00015E69" w:rsidRPr="002D01FB" w:rsidRDefault="00015E69" w:rsidP="00E26CEF">
      <w:pPr>
        <w:bidi/>
        <w:spacing w:line="276" w:lineRule="auto"/>
        <w:jc w:val="both"/>
        <w:rPr>
          <w:rFonts w:ascii="David" w:eastAsia="Times New Roman" w:hAnsi="David" w:cs="David"/>
          <w:rtl/>
        </w:rPr>
      </w:pPr>
    </w:p>
    <w:p w:rsidR="00015E69" w:rsidRPr="00E86B70" w:rsidRDefault="00497C40" w:rsidP="00E26CEF">
      <w:pPr>
        <w:bidi/>
        <w:spacing w:line="276" w:lineRule="auto"/>
        <w:jc w:val="both"/>
        <w:rPr>
          <w:rFonts w:ascii="David" w:eastAsia="Times New Roman" w:hAnsi="David" w:cs="David"/>
          <w:rtl/>
        </w:rPr>
      </w:pPr>
      <w:r w:rsidRPr="00E86B70">
        <w:rPr>
          <w:rFonts w:ascii="David" w:eastAsia="Times New Roman" w:hAnsi="David" w:cs="David"/>
          <w:b/>
          <w:bCs/>
          <w:rtl/>
        </w:rPr>
        <w:t>ד"ר גולן בניטה, מנהל חטיבת השווקים בבנק ישראל</w:t>
      </w:r>
      <w:r w:rsidR="0024344D" w:rsidRPr="00E86B70">
        <w:rPr>
          <w:rFonts w:ascii="David" w:eastAsia="Times New Roman" w:hAnsi="David" w:cs="David"/>
          <w:rtl/>
        </w:rPr>
        <w:t xml:space="preserve">: </w:t>
      </w:r>
      <w:r w:rsidR="00015E69" w:rsidRPr="00E86B70">
        <w:rPr>
          <w:rFonts w:ascii="David" w:eastAsia="Times New Roman" w:hAnsi="David" w:cs="David"/>
          <w:rtl/>
        </w:rPr>
        <w:t>"</w:t>
      </w:r>
      <w:r w:rsidR="00227603" w:rsidRPr="00E86B70">
        <w:rPr>
          <w:rFonts w:ascii="David" w:eastAsia="Times New Roman" w:hAnsi="David" w:cs="David"/>
          <w:rtl/>
        </w:rPr>
        <w:t xml:space="preserve">אנו רואים </w:t>
      </w:r>
      <w:r w:rsidR="0041150C" w:rsidRPr="00E86B70">
        <w:rPr>
          <w:rFonts w:ascii="David" w:eastAsia="Times New Roman" w:hAnsi="David" w:cs="David"/>
          <w:rtl/>
        </w:rPr>
        <w:t xml:space="preserve">חשיבות רבה בפיתוח </w:t>
      </w:r>
      <w:r w:rsidRPr="00E86B70">
        <w:rPr>
          <w:rFonts w:ascii="David" w:eastAsia="Times New Roman" w:hAnsi="David" w:cs="David"/>
          <w:rtl/>
        </w:rPr>
        <w:t>השוק הפיננסי בישראל</w:t>
      </w:r>
      <w:r w:rsidR="00095639" w:rsidRPr="00E86B70">
        <w:rPr>
          <w:rFonts w:ascii="David" w:eastAsia="Times New Roman" w:hAnsi="David" w:cs="David"/>
          <w:rtl/>
        </w:rPr>
        <w:t xml:space="preserve">. בהקשר זה, </w:t>
      </w:r>
      <w:r w:rsidRPr="00E86B70">
        <w:rPr>
          <w:rFonts w:ascii="David" w:eastAsia="Times New Roman" w:hAnsi="David" w:cs="David"/>
          <w:rtl/>
        </w:rPr>
        <w:t xml:space="preserve">אנו שמחים לדווח על </w:t>
      </w:r>
      <w:r w:rsidR="00095639" w:rsidRPr="00E86B70">
        <w:rPr>
          <w:rFonts w:ascii="David" w:eastAsia="Times New Roman" w:hAnsi="David" w:cs="David"/>
          <w:rtl/>
        </w:rPr>
        <w:t>פעילות עסקית</w:t>
      </w:r>
      <w:r w:rsidR="00227603" w:rsidRPr="00E86B70">
        <w:rPr>
          <w:rFonts w:ascii="David" w:eastAsia="Times New Roman" w:hAnsi="David" w:cs="David"/>
          <w:rtl/>
        </w:rPr>
        <w:t xml:space="preserve"> ראשונה</w:t>
      </w:r>
      <w:r w:rsidRPr="00E86B70">
        <w:rPr>
          <w:rFonts w:ascii="David" w:eastAsia="Times New Roman" w:hAnsi="David" w:cs="David"/>
          <w:rtl/>
        </w:rPr>
        <w:t xml:space="preserve"> </w:t>
      </w:r>
      <w:r w:rsidR="00051D97" w:rsidRPr="00E86B70">
        <w:rPr>
          <w:rFonts w:ascii="David" w:eastAsia="Times New Roman" w:hAnsi="David" w:cs="David"/>
          <w:rtl/>
        </w:rPr>
        <w:t xml:space="preserve">על בסיס </w:t>
      </w:r>
      <w:r w:rsidR="00095639" w:rsidRPr="00E86B70">
        <w:rPr>
          <w:rFonts w:ascii="David" w:eastAsia="Times New Roman" w:hAnsi="David" w:cs="David"/>
          <w:rtl/>
        </w:rPr>
        <w:t>ריבית שיר</w:t>
      </w:r>
      <w:r w:rsidR="00051D97" w:rsidRPr="00E86B70">
        <w:rPr>
          <w:rFonts w:ascii="David" w:eastAsia="Times New Roman" w:hAnsi="David" w:cs="David"/>
          <w:rtl/>
        </w:rPr>
        <w:t xml:space="preserve"> </w:t>
      </w:r>
      <w:r w:rsidR="00227603" w:rsidRPr="00E86B70">
        <w:rPr>
          <w:rFonts w:ascii="David" w:eastAsia="Times New Roman" w:hAnsi="David" w:cs="David"/>
          <w:rtl/>
        </w:rPr>
        <w:t>ב</w:t>
      </w:r>
      <w:r w:rsidR="0041150C" w:rsidRPr="00E86B70">
        <w:rPr>
          <w:rFonts w:ascii="David" w:eastAsia="Times New Roman" w:hAnsi="David" w:cs="David"/>
          <w:rtl/>
        </w:rPr>
        <w:t xml:space="preserve">שוק נגזרי הריבית בדומה למקובל בעולם. נמשיך לסייע לפעילים בשוק בארץ ובעולם, להעברה מהירה ויעילה של הפעילות מריבית </w:t>
      </w:r>
      <w:proofErr w:type="spellStart"/>
      <w:r w:rsidR="0041150C" w:rsidRPr="00E86B70">
        <w:rPr>
          <w:rFonts w:ascii="David" w:eastAsia="Times New Roman" w:hAnsi="David" w:cs="David"/>
          <w:rtl/>
        </w:rPr>
        <w:t>תלבור</w:t>
      </w:r>
      <w:proofErr w:type="spellEnd"/>
      <w:r w:rsidR="0041150C" w:rsidRPr="00E86B70">
        <w:rPr>
          <w:rFonts w:ascii="David" w:eastAsia="Times New Roman" w:hAnsi="David" w:cs="David"/>
          <w:rtl/>
        </w:rPr>
        <w:t xml:space="preserve"> לריבית שיר</w:t>
      </w:r>
      <w:r w:rsidR="00015E69" w:rsidRPr="00E86B70">
        <w:rPr>
          <w:rFonts w:ascii="David" w:eastAsia="Times New Roman" w:hAnsi="David" w:cs="David"/>
          <w:rtl/>
        </w:rPr>
        <w:t>".</w:t>
      </w:r>
    </w:p>
    <w:p w:rsidR="0024344D" w:rsidRPr="00E86B70" w:rsidRDefault="0024344D" w:rsidP="00E26CEF">
      <w:pPr>
        <w:bidi/>
        <w:spacing w:line="276" w:lineRule="auto"/>
        <w:jc w:val="both"/>
        <w:rPr>
          <w:rFonts w:ascii="David" w:eastAsia="Times New Roman" w:hAnsi="David" w:cs="David"/>
          <w:rtl/>
        </w:rPr>
      </w:pPr>
    </w:p>
    <w:p w:rsidR="00662D89" w:rsidRPr="00E86B70" w:rsidRDefault="00EE1B7F" w:rsidP="00662D89">
      <w:pPr>
        <w:bidi/>
        <w:spacing w:line="276" w:lineRule="auto"/>
        <w:jc w:val="both"/>
        <w:rPr>
          <w:rFonts w:ascii="David" w:hAnsi="David" w:cs="David"/>
          <w:rtl/>
        </w:rPr>
      </w:pPr>
      <w:r w:rsidRPr="00E86B70">
        <w:rPr>
          <w:rFonts w:ascii="David" w:eastAsia="Times New Roman" w:hAnsi="David" w:cs="David"/>
          <w:b/>
          <w:bCs/>
        </w:rPr>
        <w:t xml:space="preserve">Ms. </w:t>
      </w:r>
      <w:r w:rsidR="00B33804" w:rsidRPr="00E86B70">
        <w:rPr>
          <w:rFonts w:ascii="David" w:eastAsia="Times New Roman" w:hAnsi="David" w:cs="David"/>
          <w:b/>
          <w:bCs/>
        </w:rPr>
        <w:t xml:space="preserve">Susi </w:t>
      </w:r>
      <w:proofErr w:type="spellStart"/>
      <w:r w:rsidR="00B33804" w:rsidRPr="00E86B70">
        <w:rPr>
          <w:rFonts w:ascii="David" w:eastAsia="Times New Roman" w:hAnsi="David" w:cs="David"/>
          <w:b/>
          <w:bCs/>
        </w:rPr>
        <w:t>DeVerdelon</w:t>
      </w:r>
      <w:proofErr w:type="spellEnd"/>
      <w:r w:rsidR="00B33804" w:rsidRPr="00E86B70">
        <w:rPr>
          <w:rFonts w:ascii="David" w:eastAsia="Times New Roman" w:hAnsi="David" w:cs="David"/>
          <w:b/>
          <w:bCs/>
          <w:rtl/>
        </w:rPr>
        <w:t xml:space="preserve">, </w:t>
      </w:r>
      <w:r w:rsidR="00662D89" w:rsidRPr="00E86B70">
        <w:rPr>
          <w:rFonts w:ascii="David" w:hAnsi="David" w:cs="David"/>
          <w:b/>
          <w:bCs/>
        </w:rPr>
        <w:t xml:space="preserve">Head of </w:t>
      </w:r>
      <w:proofErr w:type="spellStart"/>
      <w:r w:rsidR="00662D89" w:rsidRPr="00E86B70">
        <w:rPr>
          <w:rFonts w:ascii="David" w:hAnsi="David" w:cs="David"/>
          <w:b/>
          <w:bCs/>
        </w:rPr>
        <w:t>SwapClear</w:t>
      </w:r>
      <w:proofErr w:type="spellEnd"/>
      <w:r w:rsidR="00662D89" w:rsidRPr="00E86B70">
        <w:rPr>
          <w:rFonts w:ascii="David" w:hAnsi="David" w:cs="David"/>
          <w:b/>
          <w:bCs/>
        </w:rPr>
        <w:t xml:space="preserve"> and Li</w:t>
      </w:r>
      <w:bookmarkStart w:id="0" w:name="_GoBack"/>
      <w:bookmarkEnd w:id="0"/>
      <w:r w:rsidR="00662D89" w:rsidRPr="00E86B70">
        <w:rPr>
          <w:rFonts w:ascii="David" w:hAnsi="David" w:cs="David"/>
          <w:b/>
          <w:bCs/>
        </w:rPr>
        <w:t>sted Rates, LCH Ltd</w:t>
      </w:r>
      <w:r w:rsidR="0024344D" w:rsidRPr="00E86B70">
        <w:rPr>
          <w:rFonts w:ascii="David" w:eastAsia="Times New Roman" w:hAnsi="David" w:cs="David"/>
          <w:rtl/>
        </w:rPr>
        <w:t>: "</w:t>
      </w:r>
      <w:r w:rsidR="00662D89" w:rsidRPr="00E86B70">
        <w:rPr>
          <w:rFonts w:ascii="David" w:hAnsi="David" w:cs="David"/>
          <w:rtl/>
        </w:rPr>
        <w:t xml:space="preserve">אנו שמחים להרחיב את שירותנו ולכלול גם סליקת עסקאות החלף בריבית </w:t>
      </w:r>
      <w:r w:rsidR="00662D89" w:rsidRPr="00E86B70">
        <w:rPr>
          <w:rFonts w:ascii="David" w:hAnsi="David" w:cs="David"/>
        </w:rPr>
        <w:t>SHIR</w:t>
      </w:r>
      <w:r w:rsidR="00662D89" w:rsidRPr="00E86B70">
        <w:rPr>
          <w:rFonts w:ascii="David" w:hAnsi="David" w:cs="David"/>
          <w:rtl/>
        </w:rPr>
        <w:t xml:space="preserve"> (</w:t>
      </w:r>
      <w:r w:rsidR="00662D89" w:rsidRPr="00E86B70">
        <w:rPr>
          <w:rFonts w:ascii="David" w:hAnsi="David" w:cs="David"/>
        </w:rPr>
        <w:t>Shekel overnight interest rate</w:t>
      </w:r>
      <w:r w:rsidR="00662D89" w:rsidRPr="00E86B70">
        <w:rPr>
          <w:rFonts w:ascii="David" w:hAnsi="David" w:cs="David"/>
          <w:rtl/>
        </w:rPr>
        <w:t xml:space="preserve">), ובכך לתמוך ברפורמה של ריבית הסמן בשוק </w:t>
      </w:r>
      <w:proofErr w:type="spellStart"/>
      <w:r w:rsidR="00662D89" w:rsidRPr="00E86B70">
        <w:rPr>
          <w:rFonts w:ascii="David" w:hAnsi="David" w:cs="David"/>
          <w:rtl/>
        </w:rPr>
        <w:t>השקלי</w:t>
      </w:r>
      <w:proofErr w:type="spellEnd"/>
      <w:r w:rsidR="00662D89" w:rsidRPr="00E86B70">
        <w:rPr>
          <w:rFonts w:ascii="David" w:hAnsi="David" w:cs="David"/>
          <w:rtl/>
        </w:rPr>
        <w:t xml:space="preserve"> שמוביל בנק ישראל. ל-</w:t>
      </w:r>
      <w:r w:rsidR="00662D89" w:rsidRPr="00E86B70">
        <w:rPr>
          <w:rFonts w:ascii="David" w:hAnsi="David" w:cs="David"/>
          <w:color w:val="000000"/>
        </w:rPr>
        <w:t xml:space="preserve">LCH </w:t>
      </w:r>
      <w:proofErr w:type="spellStart"/>
      <w:r w:rsidR="00662D89" w:rsidRPr="00E86B70">
        <w:rPr>
          <w:rFonts w:ascii="David" w:hAnsi="David" w:cs="David"/>
          <w:color w:val="000000"/>
        </w:rPr>
        <w:t>SwapClear</w:t>
      </w:r>
      <w:proofErr w:type="spellEnd"/>
      <w:r w:rsidR="00662D89" w:rsidRPr="00E86B70">
        <w:rPr>
          <w:rFonts w:ascii="David" w:hAnsi="David" w:cs="David"/>
          <w:rtl/>
        </w:rPr>
        <w:t xml:space="preserve"> מחויבות מלאה להמשיך ולתמוך ברפורמה הגלובלית בריביות הסמן, ולאפשר למשתתפים בשוק ליהנות מהיתרונות של ניהול סיכונים באיכות גבוהה, תוך הגברת היעילות גם בהקצאת ההון."</w:t>
      </w:r>
    </w:p>
    <w:p w:rsidR="00662D89" w:rsidRPr="00E86B70" w:rsidRDefault="00662D89" w:rsidP="00662D89">
      <w:pPr>
        <w:bidi/>
        <w:spacing w:line="276" w:lineRule="auto"/>
        <w:jc w:val="both"/>
        <w:rPr>
          <w:rFonts w:ascii="David" w:eastAsia="Times New Roman" w:hAnsi="David" w:cs="David"/>
          <w:rtl/>
        </w:rPr>
      </w:pPr>
    </w:p>
    <w:p w:rsidR="00D95FF5" w:rsidRPr="00E86B70" w:rsidRDefault="00057C3A" w:rsidP="00E26CEF">
      <w:pPr>
        <w:bidi/>
        <w:spacing w:line="360" w:lineRule="auto"/>
        <w:jc w:val="both"/>
        <w:rPr>
          <w:rFonts w:ascii="David" w:eastAsia="Times New Roman" w:hAnsi="David" w:cs="David"/>
          <w:rtl/>
        </w:rPr>
      </w:pPr>
      <w:r w:rsidRPr="00E86B70">
        <w:rPr>
          <w:rFonts w:ascii="David" w:eastAsia="Times New Roman" w:hAnsi="David" w:cs="David"/>
          <w:rtl/>
        </w:rPr>
        <w:t xml:space="preserve">בשבוע שעבר נקשרה ונסלקה </w:t>
      </w:r>
      <w:r w:rsidR="00522F57" w:rsidRPr="00E86B70">
        <w:rPr>
          <w:rFonts w:ascii="David" w:eastAsia="Times New Roman" w:hAnsi="David" w:cs="David"/>
          <w:rtl/>
        </w:rPr>
        <w:t>עסקת</w:t>
      </w:r>
      <w:r w:rsidRPr="00E86B70">
        <w:rPr>
          <w:rFonts w:ascii="David" w:eastAsia="Times New Roman" w:hAnsi="David" w:cs="David"/>
          <w:rtl/>
        </w:rPr>
        <w:t xml:space="preserve"> </w:t>
      </w:r>
      <w:r w:rsidR="00522F57" w:rsidRPr="00E86B70">
        <w:rPr>
          <w:rFonts w:ascii="David" w:eastAsia="Times New Roman" w:hAnsi="David" w:cs="David"/>
          <w:rtl/>
        </w:rPr>
        <w:t>החלף הריביות (</w:t>
      </w:r>
      <w:r w:rsidR="00522F57" w:rsidRPr="00E86B70">
        <w:rPr>
          <w:rFonts w:ascii="David" w:eastAsia="Times New Roman" w:hAnsi="David" w:cs="David"/>
        </w:rPr>
        <w:t>IRS</w:t>
      </w:r>
      <w:r w:rsidR="00522F57" w:rsidRPr="00E86B70">
        <w:rPr>
          <w:rFonts w:ascii="David" w:eastAsia="Times New Roman" w:hAnsi="David" w:cs="David"/>
          <w:rtl/>
        </w:rPr>
        <w:t xml:space="preserve">) </w:t>
      </w:r>
      <w:r w:rsidRPr="00E86B70">
        <w:rPr>
          <w:rFonts w:ascii="David" w:eastAsia="Times New Roman" w:hAnsi="David" w:cs="David"/>
          <w:rtl/>
        </w:rPr>
        <w:t xml:space="preserve">הראשונה </w:t>
      </w:r>
      <w:r w:rsidR="008A1D40" w:rsidRPr="00E86B70">
        <w:rPr>
          <w:rFonts w:ascii="David" w:eastAsia="Times New Roman" w:hAnsi="David" w:cs="David"/>
          <w:rtl/>
        </w:rPr>
        <w:t>ב</w:t>
      </w:r>
      <w:r w:rsidRPr="00E86B70">
        <w:rPr>
          <w:rFonts w:ascii="David" w:eastAsia="Times New Roman" w:hAnsi="David" w:cs="David"/>
          <w:rtl/>
        </w:rPr>
        <w:t>ריבית שיר</w:t>
      </w:r>
      <w:r w:rsidR="00E26CEF" w:rsidRPr="00E86B70">
        <w:rPr>
          <w:rStyle w:val="ac"/>
          <w:rFonts w:ascii="David" w:eastAsia="Times New Roman" w:hAnsi="David" w:cs="David"/>
          <w:rtl/>
        </w:rPr>
        <w:footnoteReference w:id="1"/>
      </w:r>
      <w:r w:rsidR="00522F57" w:rsidRPr="00E86B70">
        <w:rPr>
          <w:rFonts w:ascii="David" w:eastAsia="Times New Roman" w:hAnsi="David" w:cs="David"/>
          <w:rtl/>
        </w:rPr>
        <w:t>.</w:t>
      </w:r>
      <w:r w:rsidR="00522F57" w:rsidRPr="00E86B70">
        <w:rPr>
          <w:rFonts w:ascii="David" w:eastAsia="Times New Roman" w:hAnsi="David" w:cs="David"/>
        </w:rPr>
        <w:t xml:space="preserve"> </w:t>
      </w:r>
      <w:r w:rsidR="00522F57" w:rsidRPr="00E86B70">
        <w:rPr>
          <w:rFonts w:ascii="David" w:eastAsia="Times New Roman" w:hAnsi="David" w:cs="David"/>
          <w:rtl/>
        </w:rPr>
        <w:t>העסקה</w:t>
      </w:r>
      <w:r w:rsidRPr="00E86B70">
        <w:rPr>
          <w:rFonts w:ascii="David" w:eastAsia="Times New Roman" w:hAnsi="David" w:cs="David"/>
          <w:rtl/>
        </w:rPr>
        <w:t xml:space="preserve"> </w:t>
      </w:r>
      <w:r w:rsidR="00522F57" w:rsidRPr="00E86B70">
        <w:rPr>
          <w:rFonts w:ascii="David" w:eastAsia="Times New Roman" w:hAnsi="David" w:cs="David"/>
          <w:rtl/>
        </w:rPr>
        <w:t>בוצעה</w:t>
      </w:r>
      <w:r w:rsidR="00DB3D9B" w:rsidRPr="00E86B70">
        <w:rPr>
          <w:rFonts w:ascii="David" w:eastAsia="Times New Roman" w:hAnsi="David" w:cs="David"/>
          <w:rtl/>
        </w:rPr>
        <w:t xml:space="preserve"> </w:t>
      </w:r>
      <w:r w:rsidR="00D95FF5" w:rsidRPr="00E86B70">
        <w:rPr>
          <w:rFonts w:ascii="David" w:eastAsia="Times New Roman" w:hAnsi="David" w:cs="David"/>
          <w:rtl/>
        </w:rPr>
        <w:t xml:space="preserve">בין </w:t>
      </w:r>
      <w:r w:rsidR="00227603" w:rsidRPr="00E86B70">
        <w:rPr>
          <w:rFonts w:ascii="David" w:eastAsia="Times New Roman" w:hAnsi="David" w:cs="David"/>
          <w:rtl/>
        </w:rPr>
        <w:t xml:space="preserve">שני בנקים </w:t>
      </w:r>
      <w:r w:rsidR="00095639" w:rsidRPr="00E86B70">
        <w:rPr>
          <w:rFonts w:ascii="David" w:eastAsia="Times New Roman" w:hAnsi="David" w:cs="David"/>
          <w:rtl/>
        </w:rPr>
        <w:t xml:space="preserve">מקומיים </w:t>
      </w:r>
      <w:r w:rsidR="00D95FF5" w:rsidRPr="00E86B70">
        <w:rPr>
          <w:rFonts w:ascii="David" w:eastAsia="Times New Roman" w:hAnsi="David" w:cs="David"/>
          <w:rtl/>
        </w:rPr>
        <w:t xml:space="preserve">ובתיווך של </w:t>
      </w:r>
      <w:r w:rsidR="00095639" w:rsidRPr="00E86B70">
        <w:rPr>
          <w:rFonts w:ascii="David" w:eastAsia="Times New Roman" w:hAnsi="David" w:cs="David"/>
          <w:rtl/>
        </w:rPr>
        <w:t xml:space="preserve">ברוקר מקומי </w:t>
      </w:r>
      <w:r w:rsidR="008A1D40" w:rsidRPr="00E86B70">
        <w:rPr>
          <w:rFonts w:ascii="David" w:eastAsia="Times New Roman" w:hAnsi="David" w:cs="David"/>
          <w:rtl/>
        </w:rPr>
        <w:t>לתקופה של שנתיים</w:t>
      </w:r>
      <w:r w:rsidR="00D95FF5" w:rsidRPr="00E86B70">
        <w:rPr>
          <w:rFonts w:ascii="David" w:eastAsia="Times New Roman" w:hAnsi="David" w:cs="David"/>
          <w:rtl/>
        </w:rPr>
        <w:t>. העסקה נסלקה ב</w:t>
      </w:r>
      <w:r w:rsidR="00522F57" w:rsidRPr="00E86B70">
        <w:rPr>
          <w:rFonts w:ascii="David" w:eastAsia="Times New Roman" w:hAnsi="David" w:cs="David"/>
          <w:rtl/>
        </w:rPr>
        <w:t>מסלקת ה-</w:t>
      </w:r>
      <w:r w:rsidR="00522F57" w:rsidRPr="00E86B70">
        <w:rPr>
          <w:rFonts w:ascii="David" w:eastAsia="Times New Roman" w:hAnsi="David" w:cs="David"/>
        </w:rPr>
        <w:t>LCH</w:t>
      </w:r>
      <w:r w:rsidR="00522F57" w:rsidRPr="00E86B70">
        <w:rPr>
          <w:rFonts w:ascii="David" w:eastAsia="Times New Roman" w:hAnsi="David" w:cs="David"/>
          <w:rtl/>
        </w:rPr>
        <w:t xml:space="preserve"> (</w:t>
      </w:r>
      <w:r w:rsidR="00D95FF5" w:rsidRPr="00E86B70">
        <w:rPr>
          <w:rFonts w:ascii="David" w:eastAsia="Times New Roman" w:hAnsi="David" w:cs="David"/>
        </w:rPr>
        <w:t xml:space="preserve"> </w:t>
      </w:r>
      <w:r w:rsidR="00522F57" w:rsidRPr="00E86B70">
        <w:rPr>
          <w:rFonts w:ascii="David" w:eastAsia="Times New Roman" w:hAnsi="David" w:cs="David"/>
        </w:rPr>
        <w:t>(</w:t>
      </w:r>
      <w:r w:rsidR="00D95FF5" w:rsidRPr="00E86B70">
        <w:rPr>
          <w:rFonts w:ascii="David" w:eastAsia="Times New Roman" w:hAnsi="David" w:cs="David"/>
        </w:rPr>
        <w:t>London Clearing House</w:t>
      </w:r>
      <w:r w:rsidR="008A1D40" w:rsidRPr="00E86B70">
        <w:rPr>
          <w:rFonts w:ascii="David" w:eastAsia="Times New Roman" w:hAnsi="David" w:cs="David"/>
          <w:rtl/>
        </w:rPr>
        <w:t>שהשלימה את ההיערכות לסליקה מרכזית של</w:t>
      </w:r>
      <w:r w:rsidR="007A1BEC" w:rsidRPr="00E86B70">
        <w:rPr>
          <w:rFonts w:ascii="David" w:eastAsia="Times New Roman" w:hAnsi="David" w:cs="David"/>
          <w:rtl/>
        </w:rPr>
        <w:t xml:space="preserve"> עסקות </w:t>
      </w:r>
      <w:r w:rsidR="008A1D40" w:rsidRPr="00E86B70">
        <w:rPr>
          <w:rFonts w:ascii="David" w:eastAsia="Times New Roman" w:hAnsi="David" w:cs="David"/>
          <w:rtl/>
        </w:rPr>
        <w:t>ב</w:t>
      </w:r>
      <w:r w:rsidR="00D95FF5" w:rsidRPr="00E86B70">
        <w:rPr>
          <w:rFonts w:ascii="David" w:eastAsia="Times New Roman" w:hAnsi="David" w:cs="David"/>
          <w:rtl/>
        </w:rPr>
        <w:t xml:space="preserve">ריבית </w:t>
      </w:r>
      <w:r w:rsidR="00FD2DCD" w:rsidRPr="00E86B70">
        <w:rPr>
          <w:rFonts w:ascii="David" w:eastAsia="Times New Roman" w:hAnsi="David" w:cs="David"/>
          <w:rtl/>
        </w:rPr>
        <w:t>שיר</w:t>
      </w:r>
      <w:r w:rsidR="00D95FF5" w:rsidRPr="00E86B70">
        <w:rPr>
          <w:rFonts w:ascii="David" w:eastAsia="Times New Roman" w:hAnsi="David" w:cs="David"/>
          <w:rtl/>
        </w:rPr>
        <w:t xml:space="preserve"> החל מאוקטובר</w:t>
      </w:r>
      <w:r w:rsidR="008A1D40" w:rsidRPr="00E86B70">
        <w:rPr>
          <w:rFonts w:ascii="David" w:eastAsia="Times New Roman" w:hAnsi="David" w:cs="David"/>
          <w:rtl/>
        </w:rPr>
        <w:t xml:space="preserve"> 2023, ובכך הכשירה את התשתית לביצוע עסקות </w:t>
      </w:r>
      <w:proofErr w:type="spellStart"/>
      <w:r w:rsidR="008A1D40" w:rsidRPr="00E86B70">
        <w:rPr>
          <w:rFonts w:ascii="David" w:eastAsia="Times New Roman" w:hAnsi="David" w:cs="David"/>
          <w:rtl/>
        </w:rPr>
        <w:t>בנגזרי</w:t>
      </w:r>
      <w:proofErr w:type="spellEnd"/>
      <w:r w:rsidR="008A1D40" w:rsidRPr="00E86B70">
        <w:rPr>
          <w:rFonts w:ascii="David" w:eastAsia="Times New Roman" w:hAnsi="David" w:cs="David"/>
          <w:rtl/>
        </w:rPr>
        <w:t xml:space="preserve"> ריבית על בסיס ריבית שיר בסליקה מרכזית.</w:t>
      </w:r>
    </w:p>
    <w:p w:rsidR="007A1BEC" w:rsidRPr="00E86B70" w:rsidRDefault="007A1BEC" w:rsidP="00E26CEF">
      <w:pPr>
        <w:bidi/>
        <w:spacing w:line="276" w:lineRule="auto"/>
        <w:jc w:val="both"/>
        <w:rPr>
          <w:rFonts w:ascii="David" w:eastAsia="Times New Roman" w:hAnsi="David" w:cs="David"/>
          <w:rtl/>
        </w:rPr>
      </w:pPr>
    </w:p>
    <w:p w:rsidR="000E2334" w:rsidRPr="00E86B70" w:rsidRDefault="000E2334" w:rsidP="00E26CEF">
      <w:pPr>
        <w:pStyle w:val="NormalWeb"/>
        <w:shd w:val="clear" w:color="auto" w:fill="FFFFFF"/>
        <w:bidi/>
        <w:spacing w:before="0" w:beforeAutospacing="0" w:line="360" w:lineRule="auto"/>
        <w:jc w:val="both"/>
        <w:rPr>
          <w:rFonts w:ascii="David" w:hAnsi="David" w:cs="David"/>
          <w:rtl/>
        </w:rPr>
      </w:pPr>
      <w:r w:rsidRPr="00E86B70">
        <w:rPr>
          <w:rFonts w:ascii="David" w:hAnsi="David" w:cs="David"/>
          <w:rtl/>
        </w:rPr>
        <w:t>בהתאם להחלטה שהתקבלה ב</w:t>
      </w:r>
      <w:r w:rsidR="00724815" w:rsidRPr="00E86B70">
        <w:rPr>
          <w:rFonts w:ascii="David" w:hAnsi="David" w:cs="David"/>
          <w:rtl/>
        </w:rPr>
        <w:t xml:space="preserve">פברואר 2022, </w:t>
      </w:r>
      <w:r w:rsidRPr="00E86B70">
        <w:rPr>
          <w:rFonts w:ascii="David" w:hAnsi="David" w:cs="David"/>
          <w:rtl/>
        </w:rPr>
        <w:t>ריבית שיר</w:t>
      </w:r>
      <w:r w:rsidRPr="00E86B70">
        <w:rPr>
          <w:rFonts w:ascii="David" w:hAnsi="David" w:cs="David"/>
          <w:color w:val="2E3D50"/>
        </w:rPr>
        <w:t xml:space="preserve"> </w:t>
      </w:r>
      <w:r w:rsidRPr="00E86B70">
        <w:rPr>
          <w:rFonts w:ascii="David" w:hAnsi="David" w:cs="David"/>
          <w:rtl/>
        </w:rPr>
        <w:t>עתידה להחליף את ריבית התלבור בעסקות נגזרי ריבית</w:t>
      </w:r>
      <w:r w:rsidR="001442CB" w:rsidRPr="00E86B70">
        <w:rPr>
          <w:rFonts w:ascii="David" w:hAnsi="David" w:cs="David"/>
          <w:rtl/>
        </w:rPr>
        <w:t xml:space="preserve"> שקלית</w:t>
      </w:r>
      <w:r w:rsidRPr="00E86B70">
        <w:rPr>
          <w:rFonts w:ascii="David" w:hAnsi="David" w:cs="David"/>
          <w:rtl/>
        </w:rPr>
        <w:t>, והיא אשר תשמש כריבית ה-</w:t>
      </w:r>
      <w:r w:rsidRPr="00E86B70">
        <w:rPr>
          <w:rFonts w:ascii="David" w:hAnsi="David" w:cs="David"/>
        </w:rPr>
        <w:t xml:space="preserve"> Over</w:t>
      </w:r>
      <w:r w:rsidR="008A6170" w:rsidRPr="00E86B70">
        <w:rPr>
          <w:rFonts w:ascii="David" w:hAnsi="David" w:cs="David"/>
        </w:rPr>
        <w:t>n</w:t>
      </w:r>
      <w:r w:rsidRPr="00E86B70">
        <w:rPr>
          <w:rFonts w:ascii="David" w:hAnsi="David" w:cs="David"/>
        </w:rPr>
        <w:t>ight</w:t>
      </w:r>
      <w:r w:rsidRPr="00E86B70">
        <w:rPr>
          <w:rFonts w:ascii="David" w:hAnsi="David" w:cs="David"/>
          <w:rtl/>
        </w:rPr>
        <w:t>לאותו יום. ההחלטה על החלפת ריבית התלבור תואמת את ההחלטות שהתקבלו במדינות מרכזיות בעולם, שלפיהן ריביות מסוג</w:t>
      </w:r>
      <w:r w:rsidRPr="00E86B70">
        <w:rPr>
          <w:rFonts w:ascii="David" w:hAnsi="David" w:cs="David"/>
        </w:rPr>
        <w:t>IBOR </w:t>
      </w:r>
      <w:r w:rsidR="00724815" w:rsidRPr="00E86B70">
        <w:rPr>
          <w:rFonts w:ascii="David" w:hAnsi="David" w:cs="David"/>
          <w:rtl/>
        </w:rPr>
        <w:t xml:space="preserve"> </w:t>
      </w:r>
      <w:r w:rsidRPr="00E86B70">
        <w:rPr>
          <w:rFonts w:ascii="David" w:hAnsi="David" w:cs="David"/>
          <w:rtl/>
        </w:rPr>
        <w:t>יוחלפו בריביות</w:t>
      </w:r>
      <w:r w:rsidRPr="00E86B70">
        <w:rPr>
          <w:rFonts w:ascii="David" w:hAnsi="David" w:cs="David"/>
        </w:rPr>
        <w:t xml:space="preserve"> Over</w:t>
      </w:r>
      <w:r w:rsidR="008A6170" w:rsidRPr="00E86B70">
        <w:rPr>
          <w:rFonts w:ascii="David" w:hAnsi="David" w:cs="David"/>
        </w:rPr>
        <w:t>n</w:t>
      </w:r>
      <w:r w:rsidRPr="00E86B70">
        <w:rPr>
          <w:rFonts w:ascii="David" w:hAnsi="David" w:cs="David"/>
        </w:rPr>
        <w:t xml:space="preserve">ight  </w:t>
      </w:r>
      <w:r w:rsidRPr="00E86B70">
        <w:rPr>
          <w:rFonts w:ascii="David" w:hAnsi="David" w:cs="David"/>
          <w:rtl/>
        </w:rPr>
        <w:t>חסרות סיכון</w:t>
      </w:r>
      <w:r w:rsidRPr="00E86B70">
        <w:rPr>
          <w:rFonts w:ascii="David" w:hAnsi="David" w:cs="David"/>
        </w:rPr>
        <w:t>.</w:t>
      </w:r>
      <w:r w:rsidRPr="00E86B70">
        <w:rPr>
          <w:rFonts w:ascii="David" w:hAnsi="David" w:cs="David"/>
          <w:rtl/>
        </w:rPr>
        <w:t xml:space="preserve"> </w:t>
      </w:r>
    </w:p>
    <w:p w:rsidR="00DB3D9B" w:rsidRPr="00E86B70" w:rsidRDefault="00D95FF5" w:rsidP="00E26CEF">
      <w:pPr>
        <w:bidi/>
        <w:spacing w:line="360" w:lineRule="auto"/>
        <w:jc w:val="both"/>
        <w:rPr>
          <w:rFonts w:ascii="David" w:eastAsia="Times New Roman" w:hAnsi="David" w:cs="David"/>
          <w:rtl/>
        </w:rPr>
      </w:pPr>
      <w:r w:rsidRPr="00E86B70">
        <w:rPr>
          <w:rFonts w:ascii="David" w:eastAsia="Times New Roman" w:hAnsi="David" w:cs="David"/>
          <w:rtl/>
        </w:rPr>
        <w:t>קשירה וסליקה של העסקה כאמור</w:t>
      </w:r>
      <w:r w:rsidR="00264002" w:rsidRPr="00E86B70">
        <w:rPr>
          <w:rFonts w:ascii="David" w:eastAsia="Times New Roman" w:hAnsi="David" w:cs="David"/>
          <w:rtl/>
        </w:rPr>
        <w:t>,</w:t>
      </w:r>
      <w:r w:rsidRPr="00E86B70">
        <w:rPr>
          <w:rFonts w:ascii="David" w:eastAsia="Times New Roman" w:hAnsi="David" w:cs="David"/>
          <w:rtl/>
        </w:rPr>
        <w:t xml:space="preserve"> מה</w:t>
      </w:r>
      <w:r w:rsidR="00FD2DCD" w:rsidRPr="00E86B70">
        <w:rPr>
          <w:rFonts w:ascii="David" w:eastAsia="Times New Roman" w:hAnsi="David" w:cs="David"/>
          <w:rtl/>
        </w:rPr>
        <w:t xml:space="preserve">ווה אבן דרך חשובה </w:t>
      </w:r>
      <w:r w:rsidR="007A1BEC" w:rsidRPr="00E86B70">
        <w:rPr>
          <w:rFonts w:ascii="David" w:eastAsia="Times New Roman" w:hAnsi="David" w:cs="David"/>
          <w:rtl/>
        </w:rPr>
        <w:t xml:space="preserve">ומשמעותית </w:t>
      </w:r>
      <w:r w:rsidR="00FD2DCD" w:rsidRPr="00E86B70">
        <w:rPr>
          <w:rFonts w:ascii="David" w:eastAsia="Times New Roman" w:hAnsi="David" w:cs="David"/>
          <w:rtl/>
        </w:rPr>
        <w:t>בתהליך המעבר מ</w:t>
      </w:r>
      <w:r w:rsidRPr="00E86B70">
        <w:rPr>
          <w:rFonts w:ascii="David" w:eastAsia="Times New Roman" w:hAnsi="David" w:cs="David"/>
          <w:rtl/>
        </w:rPr>
        <w:t>ריבית התלבור לריבית</w:t>
      </w:r>
      <w:r w:rsidR="00FD2DCD" w:rsidRPr="00E86B70">
        <w:rPr>
          <w:rFonts w:ascii="David" w:eastAsia="Times New Roman" w:hAnsi="David" w:cs="David"/>
          <w:rtl/>
        </w:rPr>
        <w:t xml:space="preserve"> שיר</w:t>
      </w:r>
      <w:r w:rsidR="00871CE8" w:rsidRPr="00E86B70">
        <w:rPr>
          <w:rFonts w:ascii="David" w:eastAsia="Times New Roman" w:hAnsi="David" w:cs="David"/>
          <w:rtl/>
        </w:rPr>
        <w:t xml:space="preserve">. </w:t>
      </w:r>
      <w:r w:rsidR="0020466D" w:rsidRPr="00E86B70">
        <w:rPr>
          <w:rFonts w:ascii="David" w:eastAsia="Times New Roman" w:hAnsi="David" w:cs="David"/>
          <w:rtl/>
        </w:rPr>
        <w:t>ה</w:t>
      </w:r>
      <w:r w:rsidR="00D56D26" w:rsidRPr="00E86B70">
        <w:rPr>
          <w:rFonts w:ascii="David" w:eastAsia="Times New Roman" w:hAnsi="David" w:cs="David"/>
          <w:rtl/>
        </w:rPr>
        <w:t>תהליך כולל ביצוע עסקות בריבית החדשה וכן הסבת מלאי העסקות ה</w:t>
      </w:r>
      <w:r w:rsidR="002C1D90" w:rsidRPr="00E86B70">
        <w:rPr>
          <w:rFonts w:ascii="David" w:eastAsia="Times New Roman" w:hAnsi="David" w:cs="David"/>
          <w:rtl/>
        </w:rPr>
        <w:t xml:space="preserve">קיימות בריבית </w:t>
      </w:r>
      <w:proofErr w:type="spellStart"/>
      <w:r w:rsidR="002C1D90" w:rsidRPr="00E86B70">
        <w:rPr>
          <w:rFonts w:ascii="David" w:eastAsia="Times New Roman" w:hAnsi="David" w:cs="David"/>
          <w:rtl/>
        </w:rPr>
        <w:t>תלבור</w:t>
      </w:r>
      <w:proofErr w:type="spellEnd"/>
      <w:r w:rsidR="002C1D90" w:rsidRPr="00E86B70">
        <w:rPr>
          <w:rFonts w:ascii="David" w:eastAsia="Times New Roman" w:hAnsi="David" w:cs="David"/>
          <w:rtl/>
        </w:rPr>
        <w:t xml:space="preserve"> לריבית שיר</w:t>
      </w:r>
      <w:r w:rsidR="00317631" w:rsidRPr="00E86B70">
        <w:rPr>
          <w:rFonts w:ascii="David" w:eastAsia="Times New Roman" w:hAnsi="David" w:cs="David"/>
          <w:rtl/>
        </w:rPr>
        <w:t>,</w:t>
      </w:r>
      <w:r w:rsidR="002C1D90" w:rsidRPr="00E86B70">
        <w:rPr>
          <w:rFonts w:ascii="David" w:eastAsia="Times New Roman" w:hAnsi="David" w:cs="David"/>
          <w:rtl/>
        </w:rPr>
        <w:t xml:space="preserve"> ו</w:t>
      </w:r>
      <w:r w:rsidR="00D56D26" w:rsidRPr="00E86B70">
        <w:rPr>
          <w:rFonts w:ascii="David" w:eastAsia="Times New Roman" w:hAnsi="David" w:cs="David"/>
          <w:rtl/>
        </w:rPr>
        <w:t xml:space="preserve">בסופו של התהליך ריבית התלבור </w:t>
      </w:r>
      <w:r w:rsidR="00830464" w:rsidRPr="00E86B70">
        <w:rPr>
          <w:rFonts w:ascii="David" w:eastAsia="Times New Roman" w:hAnsi="David" w:cs="David"/>
          <w:rtl/>
        </w:rPr>
        <w:t>תבוטל</w:t>
      </w:r>
      <w:r w:rsidR="002C1D90" w:rsidRPr="00E86B70">
        <w:rPr>
          <w:rFonts w:ascii="David" w:eastAsia="Times New Roman" w:hAnsi="David" w:cs="David"/>
          <w:rtl/>
        </w:rPr>
        <w:t>.</w:t>
      </w:r>
      <w:r w:rsidR="0020466D" w:rsidRPr="00E86B70">
        <w:rPr>
          <w:rFonts w:ascii="David" w:eastAsia="Times New Roman" w:hAnsi="David" w:cs="David"/>
          <w:rtl/>
        </w:rPr>
        <w:t xml:space="preserve"> </w:t>
      </w:r>
      <w:r w:rsidR="0004521F" w:rsidRPr="00E86B70">
        <w:rPr>
          <w:rFonts w:ascii="David" w:eastAsia="Times New Roman" w:hAnsi="David" w:cs="David"/>
          <w:rtl/>
        </w:rPr>
        <w:t xml:space="preserve">מועד הפסקת פרסום </w:t>
      </w:r>
      <w:r w:rsidR="0020466D" w:rsidRPr="00E86B70">
        <w:rPr>
          <w:rFonts w:ascii="David" w:eastAsia="Times New Roman" w:hAnsi="David" w:cs="David"/>
          <w:rtl/>
        </w:rPr>
        <w:t xml:space="preserve">ריבית התלבור </w:t>
      </w:r>
      <w:r w:rsidR="0004521F" w:rsidRPr="00E86B70">
        <w:rPr>
          <w:rFonts w:ascii="David" w:eastAsia="Times New Roman" w:hAnsi="David" w:cs="David"/>
          <w:rtl/>
        </w:rPr>
        <w:t xml:space="preserve">ייקבע </w:t>
      </w:r>
      <w:r w:rsidR="00830464" w:rsidRPr="00E86B70">
        <w:rPr>
          <w:rFonts w:ascii="David" w:eastAsia="Times New Roman" w:hAnsi="David" w:cs="David"/>
          <w:rtl/>
        </w:rPr>
        <w:t>בהמשך</w:t>
      </w:r>
      <w:r w:rsidR="00317631" w:rsidRPr="00E86B70">
        <w:rPr>
          <w:rFonts w:ascii="David" w:eastAsia="Times New Roman" w:hAnsi="David" w:cs="David"/>
          <w:rtl/>
        </w:rPr>
        <w:t>,</w:t>
      </w:r>
      <w:r w:rsidR="0004521F" w:rsidRPr="00E86B70">
        <w:rPr>
          <w:rFonts w:ascii="David" w:eastAsia="Times New Roman" w:hAnsi="David" w:cs="David"/>
          <w:rtl/>
        </w:rPr>
        <w:t xml:space="preserve"> בהתאם להתקדמות התהליך</w:t>
      </w:r>
      <w:r w:rsidR="00D56D26" w:rsidRPr="00E86B70">
        <w:rPr>
          <w:rFonts w:ascii="David" w:eastAsia="Times New Roman" w:hAnsi="David" w:cs="David"/>
          <w:rtl/>
        </w:rPr>
        <w:t xml:space="preserve">. המעבר לריבית שיר צפוי לתרום לקידומו ופיתוחו של שוק </w:t>
      </w:r>
      <w:proofErr w:type="spellStart"/>
      <w:r w:rsidR="00D56D26" w:rsidRPr="00E86B70">
        <w:rPr>
          <w:rFonts w:ascii="David" w:eastAsia="Times New Roman" w:hAnsi="David" w:cs="David"/>
          <w:rtl/>
        </w:rPr>
        <w:t>נגזרי</w:t>
      </w:r>
      <w:proofErr w:type="spellEnd"/>
      <w:r w:rsidR="00D56D26" w:rsidRPr="00E86B70">
        <w:rPr>
          <w:rFonts w:ascii="David" w:eastAsia="Times New Roman" w:hAnsi="David" w:cs="David"/>
          <w:rtl/>
        </w:rPr>
        <w:t xml:space="preserve"> הריבית </w:t>
      </w:r>
      <w:proofErr w:type="spellStart"/>
      <w:r w:rsidR="00D56D26" w:rsidRPr="00E86B70">
        <w:rPr>
          <w:rFonts w:ascii="David" w:eastAsia="Times New Roman" w:hAnsi="David" w:cs="David"/>
          <w:rtl/>
        </w:rPr>
        <w:t>השקלית</w:t>
      </w:r>
      <w:proofErr w:type="spellEnd"/>
      <w:r w:rsidR="00D56D26" w:rsidRPr="00E86B70">
        <w:rPr>
          <w:rFonts w:ascii="David" w:eastAsia="Times New Roman" w:hAnsi="David" w:cs="David"/>
          <w:rtl/>
        </w:rPr>
        <w:t xml:space="preserve">.  </w:t>
      </w:r>
    </w:p>
    <w:p w:rsidR="000D6D69" w:rsidRPr="00E86B70" w:rsidRDefault="000D6D69" w:rsidP="00E26CEF">
      <w:pPr>
        <w:bidi/>
        <w:spacing w:line="360" w:lineRule="auto"/>
        <w:jc w:val="both"/>
        <w:rPr>
          <w:rFonts w:ascii="David" w:eastAsia="Times New Roman" w:hAnsi="David" w:cs="David"/>
          <w:rtl/>
        </w:rPr>
      </w:pPr>
    </w:p>
    <w:p w:rsidR="00611341" w:rsidRPr="00E86B70" w:rsidRDefault="00E86B70" w:rsidP="002D01FB">
      <w:pPr>
        <w:bidi/>
        <w:spacing w:line="360" w:lineRule="auto"/>
        <w:jc w:val="both"/>
        <w:rPr>
          <w:rFonts w:ascii="David" w:eastAsia="Times New Roman" w:hAnsi="David" w:cs="David"/>
          <w:u w:val="single"/>
        </w:rPr>
      </w:pPr>
      <w:hyperlink r:id="rId8" w:history="1">
        <w:r w:rsidR="000D6D69" w:rsidRPr="00E86B70">
          <w:rPr>
            <w:rStyle w:val="Hyperlink"/>
            <w:rFonts w:ascii="David" w:eastAsia="Times New Roman" w:hAnsi="David" w:cs="David"/>
            <w:rtl/>
          </w:rPr>
          <w:t>למידע נוסף</w:t>
        </w:r>
      </w:hyperlink>
      <w:r w:rsidR="000D6D69" w:rsidRPr="00E86B70">
        <w:rPr>
          <w:rFonts w:ascii="David" w:eastAsia="Times New Roman" w:hAnsi="David" w:cs="David"/>
          <w:u w:val="single"/>
          <w:rtl/>
        </w:rPr>
        <w:t xml:space="preserve"> </w:t>
      </w:r>
      <w:r w:rsidR="001A6C26" w:rsidRPr="00E86B70">
        <w:rPr>
          <w:rFonts w:ascii="David" w:eastAsia="Times New Roman" w:hAnsi="David" w:cs="David"/>
          <w:u w:val="single"/>
          <w:rtl/>
        </w:rPr>
        <w:t>על נושא זה באתר בנק ישראל</w:t>
      </w:r>
    </w:p>
    <w:sectPr w:rsidR="00611341" w:rsidRPr="00E86B70" w:rsidSect="00626B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BFE" w:rsidRDefault="00FA3BFE" w:rsidP="00227603">
      <w:r>
        <w:separator/>
      </w:r>
    </w:p>
  </w:endnote>
  <w:endnote w:type="continuationSeparator" w:id="0">
    <w:p w:rsidR="00FA3BFE" w:rsidRDefault="00FA3BFE" w:rsidP="0022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BFE" w:rsidRDefault="00FA3BFE" w:rsidP="00227603">
      <w:r>
        <w:separator/>
      </w:r>
    </w:p>
  </w:footnote>
  <w:footnote w:type="continuationSeparator" w:id="0">
    <w:p w:rsidR="00FA3BFE" w:rsidRDefault="00FA3BFE" w:rsidP="00227603">
      <w:r>
        <w:continuationSeparator/>
      </w:r>
    </w:p>
  </w:footnote>
  <w:footnote w:id="1">
    <w:p w:rsidR="00E26CEF" w:rsidRDefault="00E26CEF" w:rsidP="00317631">
      <w:pPr>
        <w:bidi/>
        <w:jc w:val="both"/>
        <w:rPr>
          <w:rFonts w:ascii="David" w:hAnsi="David" w:cs="David"/>
          <w:sz w:val="20"/>
          <w:szCs w:val="20"/>
          <w:rtl/>
        </w:rPr>
      </w:pPr>
      <w:r>
        <w:rPr>
          <w:rStyle w:val="ac"/>
        </w:rPr>
        <w:footnoteRef/>
      </w:r>
      <w:r>
        <w:t xml:space="preserve"> </w:t>
      </w:r>
      <w:hyperlink r:id="rId1" w:history="1">
        <w:r w:rsidRPr="00E26CEF">
          <w:rPr>
            <w:rStyle w:val="Hyperlink"/>
            <w:rFonts w:ascii="David" w:hAnsi="David" w:cs="David" w:hint="cs"/>
            <w:sz w:val="20"/>
            <w:szCs w:val="20"/>
            <w:rtl/>
          </w:rPr>
          <w:t>ריבית שיר</w:t>
        </w:r>
      </w:hyperlink>
      <w:r w:rsidRPr="00E26CEF">
        <w:rPr>
          <w:rFonts w:ascii="David" w:hAnsi="David" w:cs="David" w:hint="cs"/>
          <w:sz w:val="20"/>
          <w:szCs w:val="20"/>
          <w:rtl/>
        </w:rPr>
        <w:t xml:space="preserve"> - </w:t>
      </w:r>
      <w:r w:rsidRPr="00E26CEF">
        <w:rPr>
          <w:rFonts w:ascii="David" w:hAnsi="David" w:cs="David"/>
          <w:sz w:val="20"/>
          <w:szCs w:val="20"/>
        </w:rPr>
        <w:t xml:space="preserve"> </w:t>
      </w:r>
      <w:r w:rsidRPr="00E26CEF">
        <w:rPr>
          <w:rFonts w:ascii="David" w:hAnsi="David" w:cs="David"/>
          <w:sz w:val="20"/>
          <w:szCs w:val="20"/>
          <w:rtl/>
        </w:rPr>
        <w:t>עתידה להחליף את ריבית התלבור בעסקות נגזרי ריבית</w:t>
      </w:r>
      <w:r w:rsidRPr="00E26CEF">
        <w:rPr>
          <w:rFonts w:ascii="David" w:hAnsi="David" w:cs="David" w:hint="cs"/>
          <w:sz w:val="20"/>
          <w:szCs w:val="20"/>
          <w:rtl/>
        </w:rPr>
        <w:t xml:space="preserve">. </w:t>
      </w:r>
      <w:r w:rsidRPr="00E26CEF">
        <w:rPr>
          <w:rFonts w:ascii="David" w:hAnsi="David" w:cs="David"/>
          <w:sz w:val="20"/>
          <w:szCs w:val="20"/>
          <w:rtl/>
        </w:rPr>
        <w:t>ריבית שיר</w:t>
      </w:r>
      <w:r w:rsidRPr="00E26CEF">
        <w:rPr>
          <w:rFonts w:ascii="David" w:hAnsi="David" w:cs="David" w:hint="cs"/>
          <w:sz w:val="20"/>
          <w:szCs w:val="20"/>
          <w:rtl/>
        </w:rPr>
        <w:t xml:space="preserve"> </w:t>
      </w:r>
      <w:r w:rsidRPr="00E26CEF">
        <w:rPr>
          <w:rFonts w:ascii="David" w:hAnsi="David" w:cs="David"/>
          <w:sz w:val="20"/>
          <w:szCs w:val="20"/>
          <w:rtl/>
        </w:rPr>
        <w:t>שווה לריבית בנק ישראל, אולם בימים שבהם אין פרסום של</w:t>
      </w:r>
      <w:r w:rsidRPr="00E26CEF">
        <w:rPr>
          <w:rFonts w:ascii="David" w:hAnsi="David" w:cs="David"/>
          <w:sz w:val="20"/>
          <w:szCs w:val="20"/>
        </w:rPr>
        <w:t xml:space="preserve"> </w:t>
      </w:r>
      <w:r w:rsidRPr="00E26CEF">
        <w:rPr>
          <w:rFonts w:ascii="David" w:hAnsi="David" w:cs="David" w:hint="cs"/>
          <w:sz w:val="20"/>
          <w:szCs w:val="20"/>
          <w:rtl/>
        </w:rPr>
        <w:t>שיר,</w:t>
      </w:r>
      <w:r w:rsidRPr="00E26CEF">
        <w:rPr>
          <w:rFonts w:ascii="David" w:hAnsi="David" w:cs="David"/>
          <w:sz w:val="20"/>
          <w:szCs w:val="20"/>
        </w:rPr>
        <w:t xml:space="preserve"> </w:t>
      </w:r>
      <w:r w:rsidRPr="00E26CEF">
        <w:rPr>
          <w:rFonts w:ascii="David" w:hAnsi="David" w:cs="David"/>
          <w:sz w:val="20"/>
          <w:szCs w:val="20"/>
          <w:rtl/>
        </w:rPr>
        <w:t>שוויה יהיה כפי שהיה במועד הפרסום האחרון</w:t>
      </w:r>
      <w:r w:rsidRPr="00E26CEF">
        <w:rPr>
          <w:rFonts w:ascii="David" w:hAnsi="David" w:cs="David"/>
          <w:sz w:val="20"/>
          <w:szCs w:val="20"/>
        </w:rPr>
        <w:t>.</w:t>
      </w:r>
    </w:p>
    <w:p w:rsidR="00E26CEF" w:rsidRPr="00E26CEF" w:rsidRDefault="00E86B70" w:rsidP="00317631">
      <w:pPr>
        <w:bidi/>
        <w:jc w:val="both"/>
        <w:rPr>
          <w:rFonts w:ascii="David" w:hAnsi="David" w:cs="David"/>
          <w:sz w:val="20"/>
          <w:szCs w:val="20"/>
        </w:rPr>
      </w:pPr>
      <w:hyperlink r:id="rId2" w:history="1">
        <w:r w:rsidR="00E26CEF" w:rsidRPr="00317631">
          <w:rPr>
            <w:rStyle w:val="Hyperlink"/>
            <w:rFonts w:ascii="David" w:hAnsi="David" w:cs="David" w:hint="cs"/>
            <w:sz w:val="20"/>
            <w:szCs w:val="20"/>
            <w:rtl/>
          </w:rPr>
          <w:t xml:space="preserve">ריבית </w:t>
        </w:r>
        <w:proofErr w:type="spellStart"/>
        <w:r w:rsidR="00E26CEF" w:rsidRPr="00317631">
          <w:rPr>
            <w:rStyle w:val="Hyperlink"/>
            <w:rFonts w:ascii="David" w:hAnsi="David" w:cs="David" w:hint="cs"/>
            <w:sz w:val="20"/>
            <w:szCs w:val="20"/>
            <w:rtl/>
          </w:rPr>
          <w:t>תלבור</w:t>
        </w:r>
        <w:proofErr w:type="spellEnd"/>
      </w:hyperlink>
      <w:r w:rsidR="00E26CEF">
        <w:rPr>
          <w:rFonts w:ascii="David" w:hAnsi="David" w:cs="David" w:hint="cs"/>
          <w:sz w:val="20"/>
          <w:szCs w:val="20"/>
          <w:rtl/>
        </w:rPr>
        <w:t xml:space="preserve"> - </w:t>
      </w:r>
      <w:r w:rsidR="00317631">
        <w:rPr>
          <w:rFonts w:ascii="David" w:hAnsi="David" w:cs="David" w:hint="cs"/>
          <w:sz w:val="20"/>
          <w:szCs w:val="20"/>
          <w:rtl/>
        </w:rPr>
        <w:t>ר</w:t>
      </w:r>
      <w:r w:rsidR="00E26CEF" w:rsidRPr="00E26CEF">
        <w:rPr>
          <w:rFonts w:ascii="David" w:hAnsi="David" w:cs="David"/>
          <w:sz w:val="20"/>
          <w:szCs w:val="20"/>
          <w:rtl/>
        </w:rPr>
        <w:t>יבית להלוואות בין-בנקאיות, המחושבת ומתפרסמת בכל יום עסקים באמצעות מפיץ המידע "רויטרס". הריבית מחושבת על פי הצעות הריבית של כמה בנקים מסחריים</w:t>
      </w:r>
    </w:p>
    <w:p w:rsidR="00E26CEF" w:rsidRPr="00E26CEF" w:rsidRDefault="00E26CEF" w:rsidP="00317631">
      <w:pPr>
        <w:pStyle w:val="aa"/>
        <w:bidi/>
        <w:jc w:val="both"/>
        <w:rPr>
          <w:rFonts w:ascii="David" w:hAnsi="David" w:cs="David"/>
          <w:rtl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9B"/>
    <w:rsid w:val="00015E69"/>
    <w:rsid w:val="0003660B"/>
    <w:rsid w:val="0004521F"/>
    <w:rsid w:val="00051D97"/>
    <w:rsid w:val="00057C3A"/>
    <w:rsid w:val="0008410E"/>
    <w:rsid w:val="00095639"/>
    <w:rsid w:val="0009719A"/>
    <w:rsid w:val="000D6D69"/>
    <w:rsid w:val="000E2334"/>
    <w:rsid w:val="001018B6"/>
    <w:rsid w:val="00116A79"/>
    <w:rsid w:val="001442CB"/>
    <w:rsid w:val="00161A89"/>
    <w:rsid w:val="001A6C26"/>
    <w:rsid w:val="0020466D"/>
    <w:rsid w:val="002125C3"/>
    <w:rsid w:val="002230EE"/>
    <w:rsid w:val="00227603"/>
    <w:rsid w:val="0024344D"/>
    <w:rsid w:val="00264002"/>
    <w:rsid w:val="002B22B7"/>
    <w:rsid w:val="002B4090"/>
    <w:rsid w:val="002C1D90"/>
    <w:rsid w:val="002D01FB"/>
    <w:rsid w:val="00317631"/>
    <w:rsid w:val="003676F4"/>
    <w:rsid w:val="003950E3"/>
    <w:rsid w:val="003E027F"/>
    <w:rsid w:val="0041150C"/>
    <w:rsid w:val="0041712C"/>
    <w:rsid w:val="004176C8"/>
    <w:rsid w:val="00497C40"/>
    <w:rsid w:val="004F4FDF"/>
    <w:rsid w:val="00522F57"/>
    <w:rsid w:val="005A2759"/>
    <w:rsid w:val="0061012B"/>
    <w:rsid w:val="00611341"/>
    <w:rsid w:val="00626673"/>
    <w:rsid w:val="00626B56"/>
    <w:rsid w:val="0063388C"/>
    <w:rsid w:val="006521A2"/>
    <w:rsid w:val="00662D89"/>
    <w:rsid w:val="006F3CC3"/>
    <w:rsid w:val="00706313"/>
    <w:rsid w:val="00724815"/>
    <w:rsid w:val="007A0490"/>
    <w:rsid w:val="007A1BEC"/>
    <w:rsid w:val="007F3ED9"/>
    <w:rsid w:val="0081216A"/>
    <w:rsid w:val="0081523E"/>
    <w:rsid w:val="00830464"/>
    <w:rsid w:val="00850291"/>
    <w:rsid w:val="00855B39"/>
    <w:rsid w:val="008623CE"/>
    <w:rsid w:val="00871CE8"/>
    <w:rsid w:val="008A1D40"/>
    <w:rsid w:val="008A6170"/>
    <w:rsid w:val="0093303B"/>
    <w:rsid w:val="00935B5E"/>
    <w:rsid w:val="009455AD"/>
    <w:rsid w:val="009F289F"/>
    <w:rsid w:val="00A028E8"/>
    <w:rsid w:val="00A17FD5"/>
    <w:rsid w:val="00A51C0F"/>
    <w:rsid w:val="00A611AD"/>
    <w:rsid w:val="00B33804"/>
    <w:rsid w:val="00B3588A"/>
    <w:rsid w:val="00B8544C"/>
    <w:rsid w:val="00C9268F"/>
    <w:rsid w:val="00CC43BD"/>
    <w:rsid w:val="00CD6516"/>
    <w:rsid w:val="00D01801"/>
    <w:rsid w:val="00D050D3"/>
    <w:rsid w:val="00D051CE"/>
    <w:rsid w:val="00D20727"/>
    <w:rsid w:val="00D31B96"/>
    <w:rsid w:val="00D56D26"/>
    <w:rsid w:val="00D95FF5"/>
    <w:rsid w:val="00DB3D9B"/>
    <w:rsid w:val="00DC603A"/>
    <w:rsid w:val="00E26CEF"/>
    <w:rsid w:val="00E436EF"/>
    <w:rsid w:val="00E86B70"/>
    <w:rsid w:val="00EB778D"/>
    <w:rsid w:val="00EE1B7F"/>
    <w:rsid w:val="00F0067E"/>
    <w:rsid w:val="00F36A11"/>
    <w:rsid w:val="00F415E5"/>
    <w:rsid w:val="00F77600"/>
    <w:rsid w:val="00FA3BFE"/>
    <w:rsid w:val="00FD2DCD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2A647"/>
  <w15:chartTrackingRefBased/>
  <w15:docId w15:val="{9584AAFE-2294-475B-B42B-12958735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D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D95FF5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a0"/>
    <w:uiPriority w:val="99"/>
    <w:unhideWhenUsed/>
    <w:rsid w:val="00D95FF5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8A6170"/>
    <w:rPr>
      <w:rFonts w:ascii="Segoe UI" w:hAnsi="Segoe UI" w:cs="Segoe UI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8A6170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A617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A6170"/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8A6170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A6170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8A6170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unhideWhenUsed/>
    <w:rsid w:val="00227603"/>
    <w:rPr>
      <w:sz w:val="20"/>
      <w:szCs w:val="20"/>
    </w:rPr>
  </w:style>
  <w:style w:type="character" w:customStyle="1" w:styleId="ab">
    <w:name w:val="טקסט הערת שוליים תו"/>
    <w:basedOn w:val="a0"/>
    <w:link w:val="aa"/>
    <w:uiPriority w:val="99"/>
    <w:rsid w:val="00227603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27603"/>
    <w:rPr>
      <w:vertAlign w:val="superscript"/>
    </w:rPr>
  </w:style>
  <w:style w:type="character" w:styleId="FollowedHyperlink">
    <w:name w:val="FollowedHyperlink"/>
    <w:basedOn w:val="a0"/>
    <w:uiPriority w:val="99"/>
    <w:semiHidden/>
    <w:unhideWhenUsed/>
    <w:rsid w:val="005A27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i.org.il/roles/markets/shi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boi.org.il/roles/markets/telbor/" TargetMode="External"/><Relationship Id="rId1" Type="http://schemas.openxmlformats.org/officeDocument/2006/relationships/hyperlink" Target="https://boi.org.il/roles/markets/shir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92614-A9D3-4C5E-BFDA-DA5040BA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BOI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צילה בילט בלנק</dc:creator>
  <cp:keywords/>
  <dc:description/>
  <cp:lastModifiedBy>נטע כלפון</cp:lastModifiedBy>
  <cp:revision>3</cp:revision>
  <dcterms:created xsi:type="dcterms:W3CDTF">2023-12-21T11:13:00Z</dcterms:created>
  <dcterms:modified xsi:type="dcterms:W3CDTF">2023-12-21T11:17:00Z</dcterms:modified>
</cp:coreProperties>
</file>