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140B3" w14:textId="0105E584" w:rsidR="00650B9A" w:rsidRDefault="00125AB8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  <w:r>
        <w:rPr>
          <w:noProof/>
        </w:rPr>
        <w:drawing>
          <wp:inline distT="0" distB="0" distL="0" distR="0" wp14:anchorId="48CFD75F" wp14:editId="68863E03">
            <wp:extent cx="2924175" cy="9715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2A60F" w14:textId="77777777" w:rsidR="00125AB8" w:rsidRDefault="00125AB8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</w:p>
    <w:p w14:paraId="5FEC0092" w14:textId="77777777" w:rsidR="00650B9A" w:rsidRPr="0012431B" w:rsidRDefault="00650B9A" w:rsidP="00A60E0E">
      <w:pPr>
        <w:pStyle w:val="regpar"/>
        <w:spacing w:line="300" w:lineRule="atLeast"/>
        <w:ind w:firstLine="0"/>
        <w:jc w:val="center"/>
        <w:rPr>
          <w:rFonts w:ascii="Segoe UI" w:hAnsi="Segoe UI" w:cs="Segoe UI"/>
          <w:bCs/>
          <w:sz w:val="22"/>
          <w:szCs w:val="22"/>
        </w:rPr>
      </w:pPr>
      <w:r w:rsidRPr="0012431B">
        <w:rPr>
          <w:rFonts w:ascii="Segoe UI" w:hAnsi="Segoe UI" w:cs="Segoe UI"/>
          <w:bCs/>
          <w:sz w:val="22"/>
          <w:szCs w:val="22"/>
        </w:rPr>
        <w:t>BANK OF ISRAEL</w:t>
      </w:r>
    </w:p>
    <w:p w14:paraId="7BDED074" w14:textId="1F140308" w:rsidR="00650B9A" w:rsidRPr="0012431B" w:rsidRDefault="00650B9A" w:rsidP="0009048D">
      <w:pPr>
        <w:pStyle w:val="regpar"/>
        <w:spacing w:line="300" w:lineRule="atLeast"/>
        <w:ind w:firstLine="0"/>
        <w:jc w:val="center"/>
        <w:rPr>
          <w:rFonts w:ascii="Segoe UI" w:hAnsi="Segoe UI" w:cs="Segoe UI"/>
          <w:sz w:val="22"/>
          <w:szCs w:val="22"/>
        </w:rPr>
      </w:pPr>
      <w:r w:rsidRPr="0012431B">
        <w:rPr>
          <w:rFonts w:ascii="Segoe UI" w:hAnsi="Segoe UI" w:cs="Segoe UI"/>
          <w:sz w:val="22"/>
          <w:szCs w:val="22"/>
        </w:rPr>
        <w:t xml:space="preserve">Office of the </w:t>
      </w:r>
      <w:r w:rsidR="0009048D" w:rsidRPr="0012431B">
        <w:rPr>
          <w:rFonts w:ascii="Segoe UI" w:hAnsi="Segoe UI" w:cs="Segoe UI"/>
          <w:sz w:val="22"/>
          <w:szCs w:val="22"/>
        </w:rPr>
        <w:t>Spokesperson and Economic Information</w:t>
      </w:r>
    </w:p>
    <w:p w14:paraId="5DC516B5" w14:textId="6D04FE8F" w:rsidR="0009048D" w:rsidRPr="0012431B" w:rsidRDefault="0009048D" w:rsidP="0009048D">
      <w:pPr>
        <w:pStyle w:val="regpar"/>
        <w:spacing w:line="300" w:lineRule="atLeast"/>
        <w:ind w:firstLine="0"/>
        <w:jc w:val="center"/>
        <w:rPr>
          <w:rFonts w:ascii="Segoe UI" w:hAnsi="Segoe UI" w:cs="Segoe UI"/>
          <w:sz w:val="22"/>
          <w:szCs w:val="22"/>
        </w:rPr>
      </w:pPr>
    </w:p>
    <w:p w14:paraId="73A6A7DC" w14:textId="3569AD15" w:rsidR="0009048D" w:rsidRPr="0012431B" w:rsidRDefault="0009048D" w:rsidP="0009048D">
      <w:pPr>
        <w:pStyle w:val="regpar"/>
        <w:spacing w:line="300" w:lineRule="atLeast"/>
        <w:ind w:firstLine="0"/>
        <w:jc w:val="center"/>
        <w:rPr>
          <w:rFonts w:ascii="Segoe UI" w:hAnsi="Segoe UI" w:cs="Segoe UI"/>
          <w:sz w:val="22"/>
          <w:szCs w:val="22"/>
        </w:rPr>
      </w:pPr>
      <w:r w:rsidRPr="0012431B">
        <w:rPr>
          <w:rFonts w:ascii="Segoe UI" w:hAnsi="Segoe UI" w:cs="Segoe UI"/>
          <w:sz w:val="22"/>
          <w:szCs w:val="22"/>
        </w:rPr>
        <w:t>Press release</w:t>
      </w:r>
    </w:p>
    <w:p w14:paraId="2DEFF62A" w14:textId="77777777" w:rsidR="00DD0AB5" w:rsidRPr="0012431B" w:rsidRDefault="00DD0AB5" w:rsidP="00A60E0E">
      <w:pPr>
        <w:pStyle w:val="regpar"/>
        <w:spacing w:line="300" w:lineRule="atLeast"/>
        <w:ind w:firstLine="0"/>
        <w:jc w:val="center"/>
        <w:rPr>
          <w:rFonts w:ascii="Segoe UI" w:hAnsi="Segoe UI" w:cs="Segoe UI"/>
          <w:b/>
          <w:sz w:val="22"/>
          <w:szCs w:val="22"/>
        </w:rPr>
      </w:pPr>
    </w:p>
    <w:p w14:paraId="0CD9A423" w14:textId="5BB105C0" w:rsidR="007617BD" w:rsidRPr="0012431B" w:rsidRDefault="007E016C" w:rsidP="00651EE8">
      <w:pPr>
        <w:pStyle w:val="regpar"/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February 11</w:t>
      </w:r>
      <w:r w:rsidR="00443EB3">
        <w:rPr>
          <w:rFonts w:ascii="Segoe UI" w:hAnsi="Segoe UI" w:cs="Segoe UI"/>
          <w:sz w:val="22"/>
          <w:szCs w:val="22"/>
        </w:rPr>
        <w:t>, 2025</w:t>
      </w:r>
    </w:p>
    <w:p w14:paraId="22D7AE78" w14:textId="3BEA9B84" w:rsidR="00F23C43" w:rsidRPr="0012431B" w:rsidRDefault="00F23C43" w:rsidP="00F23C43">
      <w:pPr>
        <w:pStyle w:val="regpar"/>
        <w:rPr>
          <w:rFonts w:ascii="Segoe UI" w:hAnsi="Segoe UI" w:cs="Segoe UI"/>
          <w:sz w:val="22"/>
          <w:szCs w:val="22"/>
        </w:rPr>
      </w:pPr>
    </w:p>
    <w:p w14:paraId="325CE029" w14:textId="30104A21" w:rsidR="00D00CF7" w:rsidRPr="0012431B" w:rsidRDefault="00D00CF7" w:rsidP="00D00CF7">
      <w:pPr>
        <w:pStyle w:val="regpar"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7BF8A788" w14:textId="193EC6D7" w:rsidR="00D00CF7" w:rsidRPr="00443EB3" w:rsidRDefault="007E016C" w:rsidP="0087598A">
      <w:pPr>
        <w:pStyle w:val="regpar"/>
        <w:ind w:firstLine="0"/>
        <w:jc w:val="center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Financial Stability Report for the second half of 2024</w:t>
      </w:r>
    </w:p>
    <w:p w14:paraId="57364676" w14:textId="31A5CF0C" w:rsidR="00477DE2" w:rsidRPr="00443EB3" w:rsidRDefault="00477DE2" w:rsidP="00477DE2">
      <w:pPr>
        <w:pStyle w:val="regpar"/>
        <w:ind w:firstLine="0"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4FCC1CB2" w14:textId="47D7D65D" w:rsidR="007E016C" w:rsidRPr="007E016C" w:rsidRDefault="007E016C" w:rsidP="007E016C">
      <w:p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bookmarkStart w:id="0" w:name="_GoBack"/>
      <w:r w:rsidRPr="007E016C">
        <w:rPr>
          <w:rFonts w:ascii="Segoe UI" w:hAnsi="Segoe UI" w:cs="Segoe UI"/>
          <w:sz w:val="22"/>
          <w:szCs w:val="22"/>
        </w:rPr>
        <w:t xml:space="preserve">The Financial Stability Report for the second half of 2024 reviews the financial developments during this period and assesses the stability of the system in light of the ongoing </w:t>
      </w:r>
      <w:r>
        <w:rPr>
          <w:rFonts w:ascii="Segoe UI" w:hAnsi="Segoe UI" w:cs="Segoe UI"/>
          <w:sz w:val="22"/>
          <w:szCs w:val="22"/>
        </w:rPr>
        <w:t xml:space="preserve">Swords of </w:t>
      </w:r>
      <w:r w:rsidRPr="007E016C">
        <w:rPr>
          <w:rFonts w:ascii="Segoe UI" w:hAnsi="Segoe UI" w:cs="Segoe UI"/>
          <w:sz w:val="22"/>
          <w:szCs w:val="22"/>
        </w:rPr>
        <w:t xml:space="preserve">Iron </w:t>
      </w:r>
      <w:r>
        <w:rPr>
          <w:rFonts w:ascii="Segoe UI" w:hAnsi="Segoe UI" w:cs="Segoe UI"/>
          <w:sz w:val="22"/>
          <w:szCs w:val="22"/>
        </w:rPr>
        <w:t>War</w:t>
      </w:r>
      <w:r w:rsidRPr="007E016C">
        <w:rPr>
          <w:rFonts w:ascii="Segoe UI" w:hAnsi="Segoe UI" w:cs="Segoe UI"/>
          <w:sz w:val="22"/>
          <w:szCs w:val="22"/>
        </w:rPr>
        <w:t xml:space="preserve"> in Gaza, southern Lebanon, and its expansion to other areas. The report examines the impact of the war on risk exposure channels, given the resilience of </w:t>
      </w:r>
      <w:r>
        <w:rPr>
          <w:rFonts w:ascii="Segoe UI" w:hAnsi="Segoe UI" w:cs="Segoe UI"/>
          <w:sz w:val="22"/>
          <w:szCs w:val="22"/>
        </w:rPr>
        <w:t xml:space="preserve">the </w:t>
      </w:r>
      <w:r w:rsidRPr="007E016C">
        <w:rPr>
          <w:rFonts w:ascii="Segoe UI" w:hAnsi="Segoe UI" w:cs="Segoe UI"/>
          <w:sz w:val="22"/>
          <w:szCs w:val="22"/>
        </w:rPr>
        <w:t>financial institutions. The level of financial stability is evaluated based on these analyses.</w:t>
      </w:r>
    </w:p>
    <w:p w14:paraId="6475A8FC" w14:textId="77777777" w:rsidR="007E016C" w:rsidRPr="007E016C" w:rsidRDefault="007E016C" w:rsidP="007E016C">
      <w:p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7E016C">
        <w:rPr>
          <w:rFonts w:ascii="Segoe UI" w:hAnsi="Segoe UI" w:cs="Segoe UI"/>
          <w:sz w:val="22"/>
          <w:szCs w:val="22"/>
        </w:rPr>
        <w:t>Key Points:</w:t>
      </w:r>
    </w:p>
    <w:p w14:paraId="50A32936" w14:textId="77777777" w:rsidR="00763647" w:rsidRDefault="007E016C" w:rsidP="00763647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7E016C">
        <w:rPr>
          <w:rFonts w:ascii="Segoe UI" w:hAnsi="Segoe UI" w:cs="Segoe UI"/>
          <w:sz w:val="22"/>
          <w:szCs w:val="22"/>
        </w:rPr>
        <w:t xml:space="preserve">The financial system in Israel </w:t>
      </w:r>
      <w:r w:rsidR="00763647">
        <w:rPr>
          <w:rFonts w:ascii="Segoe UI" w:hAnsi="Segoe UI" w:cs="Segoe UI"/>
          <w:sz w:val="22"/>
          <w:szCs w:val="22"/>
        </w:rPr>
        <w:t>is showing</w:t>
      </w:r>
      <w:r w:rsidRPr="007E016C">
        <w:rPr>
          <w:rFonts w:ascii="Segoe UI" w:hAnsi="Segoe UI" w:cs="Segoe UI"/>
          <w:sz w:val="22"/>
          <w:szCs w:val="22"/>
        </w:rPr>
        <w:t xml:space="preserve"> high resilience against the security challenges and ongoing geopolitical uncertainty that have persisted for over a year. </w:t>
      </w:r>
    </w:p>
    <w:p w14:paraId="6C07FF58" w14:textId="77777777" w:rsidR="00763647" w:rsidRDefault="007E016C" w:rsidP="00763647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7E016C">
        <w:rPr>
          <w:rFonts w:ascii="Segoe UI" w:hAnsi="Segoe UI" w:cs="Segoe UI"/>
          <w:sz w:val="22"/>
          <w:szCs w:val="22"/>
        </w:rPr>
        <w:t xml:space="preserve">During the reviewed period, macroeconomic risk remained high due to the security situation and its impact on economic activity, which stayed below the long-term trend. Government financing needs and costs increased, Israel's risk premium in financial markets rose, and credit rating agencies downgraded Israel's rating, maintaining a negative outlook for future ratings. </w:t>
      </w:r>
    </w:p>
    <w:p w14:paraId="10E0C0F6" w14:textId="1E70E4D8" w:rsidR="007E016C" w:rsidRPr="007E016C" w:rsidRDefault="007E016C" w:rsidP="00763647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7E016C">
        <w:rPr>
          <w:rFonts w:ascii="Segoe UI" w:hAnsi="Segoe UI" w:cs="Segoe UI"/>
          <w:sz w:val="22"/>
          <w:szCs w:val="22"/>
        </w:rPr>
        <w:t>However, towards the end of the reviewed period, the risk premium and debt financing costs decreased somewhat, reflecting a moderation in geopolitical risk assessments and improved sentiment towards local markets.</w:t>
      </w:r>
    </w:p>
    <w:p w14:paraId="1957690C" w14:textId="62349800" w:rsidR="007E016C" w:rsidRPr="007E016C" w:rsidRDefault="007E016C" w:rsidP="00763647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7E016C">
        <w:rPr>
          <w:rFonts w:ascii="Segoe UI" w:hAnsi="Segoe UI" w:cs="Segoe UI"/>
          <w:sz w:val="22"/>
          <w:szCs w:val="22"/>
        </w:rPr>
        <w:t xml:space="preserve">Local stock indices rose in the last quarter, partially offsetting the </w:t>
      </w:r>
      <w:r w:rsidR="00763647">
        <w:rPr>
          <w:rFonts w:ascii="Segoe UI" w:hAnsi="Segoe UI" w:cs="Segoe UI"/>
          <w:sz w:val="22"/>
          <w:szCs w:val="22"/>
        </w:rPr>
        <w:t xml:space="preserve">cumulative </w:t>
      </w:r>
      <w:r w:rsidRPr="007E016C">
        <w:rPr>
          <w:rFonts w:ascii="Segoe UI" w:hAnsi="Segoe UI" w:cs="Segoe UI"/>
          <w:sz w:val="22"/>
          <w:szCs w:val="22"/>
        </w:rPr>
        <w:t>underperformance</w:t>
      </w:r>
      <w:r w:rsidR="00763647">
        <w:rPr>
          <w:rFonts w:ascii="Segoe UI" w:hAnsi="Segoe UI" w:cs="Segoe UI"/>
          <w:sz w:val="22"/>
          <w:szCs w:val="22"/>
        </w:rPr>
        <w:t xml:space="preserve"> in dollar terms</w:t>
      </w:r>
      <w:r w:rsidRPr="007E016C">
        <w:rPr>
          <w:rFonts w:ascii="Segoe UI" w:hAnsi="Segoe UI" w:cs="Segoe UI"/>
          <w:sz w:val="22"/>
          <w:szCs w:val="22"/>
        </w:rPr>
        <w:t xml:space="preserve"> since the beginning of 2023. Despite the increases, stock prices in Israel remain low </w:t>
      </w:r>
      <w:r w:rsidR="00763647">
        <w:rPr>
          <w:rFonts w:ascii="Segoe UI" w:hAnsi="Segoe UI" w:cs="Segoe UI"/>
          <w:sz w:val="22"/>
          <w:szCs w:val="22"/>
        </w:rPr>
        <w:t xml:space="preserve">in dollar terms </w:t>
      </w:r>
      <w:r w:rsidRPr="007E016C">
        <w:rPr>
          <w:rFonts w:ascii="Segoe UI" w:hAnsi="Segoe UI" w:cs="Segoe UI"/>
          <w:sz w:val="22"/>
          <w:szCs w:val="22"/>
        </w:rPr>
        <w:t>c</w:t>
      </w:r>
      <w:r w:rsidR="00763647">
        <w:rPr>
          <w:rFonts w:ascii="Segoe UI" w:hAnsi="Segoe UI" w:cs="Segoe UI"/>
          <w:sz w:val="22"/>
          <w:szCs w:val="22"/>
        </w:rPr>
        <w:t>ompared to global stock indices</w:t>
      </w:r>
      <w:r w:rsidRPr="007E016C">
        <w:rPr>
          <w:rFonts w:ascii="Segoe UI" w:hAnsi="Segoe UI" w:cs="Segoe UI"/>
          <w:sz w:val="22"/>
          <w:szCs w:val="22"/>
        </w:rPr>
        <w:t>, indicating a relatively high risk assessment for Israel.</w:t>
      </w:r>
    </w:p>
    <w:p w14:paraId="3398FCD7" w14:textId="77777777" w:rsidR="00763647" w:rsidRDefault="007E016C" w:rsidP="007E016C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7E016C">
        <w:rPr>
          <w:rFonts w:ascii="Segoe UI" w:hAnsi="Segoe UI" w:cs="Segoe UI"/>
          <w:sz w:val="22"/>
          <w:szCs w:val="22"/>
        </w:rPr>
        <w:t xml:space="preserve">Housing prices continued to rise during the reviewed period, following a renewed increase in the first half of the year, alongside a recovery in transaction volumes. Rent prices also continued to rise, leading to stabilization and even a slight decrease in the price-to-rent ratio. </w:t>
      </w:r>
    </w:p>
    <w:p w14:paraId="4965B65E" w14:textId="79248DBA" w:rsidR="007E016C" w:rsidRPr="007E016C" w:rsidRDefault="007E016C" w:rsidP="00763647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7E016C">
        <w:rPr>
          <w:rFonts w:ascii="Segoe UI" w:hAnsi="Segoe UI" w:cs="Segoe UI"/>
          <w:sz w:val="22"/>
          <w:szCs w:val="22"/>
        </w:rPr>
        <w:t>Consequently, along with the reduced potential</w:t>
      </w:r>
      <w:r w:rsidR="00763647">
        <w:rPr>
          <w:rFonts w:ascii="Segoe UI" w:hAnsi="Segoe UI" w:cs="Segoe UI"/>
          <w:sz w:val="22"/>
          <w:szCs w:val="22"/>
        </w:rPr>
        <w:t xml:space="preserve"> of a</w:t>
      </w:r>
      <w:r w:rsidRPr="007E016C">
        <w:rPr>
          <w:rFonts w:ascii="Segoe UI" w:hAnsi="Segoe UI" w:cs="Segoe UI"/>
          <w:sz w:val="22"/>
          <w:szCs w:val="22"/>
        </w:rPr>
        <w:t xml:space="preserve"> negative impact on stock prices due to risk absorption, the financial system's vulnerability from asset price channels dec</w:t>
      </w:r>
      <w:r w:rsidR="00763647">
        <w:rPr>
          <w:rFonts w:ascii="Segoe UI" w:hAnsi="Segoe UI" w:cs="Segoe UI"/>
          <w:sz w:val="22"/>
          <w:szCs w:val="22"/>
        </w:rPr>
        <w:t>lined</w:t>
      </w:r>
      <w:r w:rsidRPr="007E016C">
        <w:rPr>
          <w:rFonts w:ascii="Segoe UI" w:hAnsi="Segoe UI" w:cs="Segoe UI"/>
          <w:sz w:val="22"/>
          <w:szCs w:val="22"/>
        </w:rPr>
        <w:t xml:space="preserve"> to a medium-high level compared to the first half of the year.</w:t>
      </w:r>
    </w:p>
    <w:p w14:paraId="5E121926" w14:textId="19098709" w:rsidR="007E016C" w:rsidRPr="007E016C" w:rsidRDefault="007E016C" w:rsidP="00763647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7E016C">
        <w:rPr>
          <w:rFonts w:ascii="Segoe UI" w:hAnsi="Segoe UI" w:cs="Segoe UI"/>
          <w:sz w:val="22"/>
          <w:szCs w:val="22"/>
        </w:rPr>
        <w:t xml:space="preserve">Credit repayment delinquency rates remained stable and historically low. During the reviewed period, banks' </w:t>
      </w:r>
      <w:r w:rsidR="00763647">
        <w:rPr>
          <w:rFonts w:ascii="Segoe UI" w:hAnsi="Segoe UI" w:cs="Segoe UI"/>
          <w:sz w:val="22"/>
          <w:szCs w:val="22"/>
        </w:rPr>
        <w:t>loan loss provisions</w:t>
      </w:r>
      <w:r w:rsidRPr="007E016C">
        <w:rPr>
          <w:rFonts w:ascii="Segoe UI" w:hAnsi="Segoe UI" w:cs="Segoe UI"/>
          <w:sz w:val="22"/>
          <w:szCs w:val="22"/>
        </w:rPr>
        <w:t xml:space="preserve"> also decreased. As a result, the credit risk level moderated to a medium-high level in the second half of 2024.</w:t>
      </w:r>
    </w:p>
    <w:p w14:paraId="775BC14F" w14:textId="77777777" w:rsidR="007E016C" w:rsidRPr="007E016C" w:rsidRDefault="007E016C" w:rsidP="007E016C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7E016C">
        <w:rPr>
          <w:rFonts w:ascii="Segoe UI" w:hAnsi="Segoe UI" w:cs="Segoe UI"/>
          <w:sz w:val="22"/>
          <w:szCs w:val="22"/>
        </w:rPr>
        <w:t>The resilience of major financial institutions remained high, with improvements in capital ratios for both banks and insurance companies, which were already high.</w:t>
      </w:r>
    </w:p>
    <w:p w14:paraId="1613F33B" w14:textId="3E127656" w:rsidR="007E016C" w:rsidRPr="007E016C" w:rsidRDefault="007E016C" w:rsidP="00A52CC6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7E016C">
        <w:rPr>
          <w:rFonts w:ascii="Segoe UI" w:hAnsi="Segoe UI" w:cs="Segoe UI"/>
          <w:sz w:val="22"/>
          <w:szCs w:val="22"/>
        </w:rPr>
        <w:t xml:space="preserve">Two risk scenarios for the economy relate to potential further impacts on the macroeconomic channel. The first scenario involves the continuation of the security risk </w:t>
      </w:r>
      <w:r w:rsidRPr="007E016C">
        <w:rPr>
          <w:rFonts w:ascii="Segoe UI" w:hAnsi="Segoe UI" w:cs="Segoe UI"/>
          <w:sz w:val="22"/>
          <w:szCs w:val="22"/>
        </w:rPr>
        <w:lastRenderedPageBreak/>
        <w:t>realized with the outbreak of the Swords</w:t>
      </w:r>
      <w:r w:rsidR="00763647">
        <w:rPr>
          <w:rFonts w:ascii="Segoe UI" w:hAnsi="Segoe UI" w:cs="Segoe UI"/>
          <w:sz w:val="22"/>
          <w:szCs w:val="22"/>
        </w:rPr>
        <w:t xml:space="preserve"> of Iron</w:t>
      </w:r>
      <w:r w:rsidRPr="007E016C">
        <w:rPr>
          <w:rFonts w:ascii="Segoe UI" w:hAnsi="Segoe UI" w:cs="Segoe UI"/>
          <w:sz w:val="22"/>
          <w:szCs w:val="22"/>
        </w:rPr>
        <w:t xml:space="preserve"> </w:t>
      </w:r>
      <w:r w:rsidR="00763647">
        <w:rPr>
          <w:rFonts w:ascii="Segoe UI" w:hAnsi="Segoe UI" w:cs="Segoe UI"/>
          <w:sz w:val="22"/>
          <w:szCs w:val="22"/>
        </w:rPr>
        <w:t>W</w:t>
      </w:r>
      <w:r w:rsidRPr="007E016C">
        <w:rPr>
          <w:rFonts w:ascii="Segoe UI" w:hAnsi="Segoe UI" w:cs="Segoe UI"/>
          <w:sz w:val="22"/>
          <w:szCs w:val="22"/>
        </w:rPr>
        <w:t xml:space="preserve">ar, </w:t>
      </w:r>
      <w:r w:rsidR="00A52CC6">
        <w:rPr>
          <w:rFonts w:ascii="Segoe UI" w:hAnsi="Segoe UI" w:cs="Segoe UI"/>
          <w:sz w:val="22"/>
          <w:szCs w:val="22"/>
        </w:rPr>
        <w:t>and relates</w:t>
      </w:r>
      <w:r w:rsidRPr="007E016C">
        <w:rPr>
          <w:rFonts w:ascii="Segoe UI" w:hAnsi="Segoe UI" w:cs="Segoe UI"/>
          <w:sz w:val="22"/>
          <w:szCs w:val="22"/>
        </w:rPr>
        <w:t xml:space="preserve"> to a worsening local geopolitical situation. The second scenario addresses high global economic uncertainty, alongside </w:t>
      </w:r>
      <w:proofErr w:type="spellStart"/>
      <w:r w:rsidRPr="007E016C">
        <w:rPr>
          <w:rFonts w:ascii="Segoe UI" w:hAnsi="Segoe UI" w:cs="Segoe UI"/>
          <w:sz w:val="22"/>
          <w:szCs w:val="22"/>
        </w:rPr>
        <w:t>deglobalization</w:t>
      </w:r>
      <w:proofErr w:type="spellEnd"/>
      <w:r w:rsidRPr="007E016C">
        <w:rPr>
          <w:rFonts w:ascii="Segoe UI" w:hAnsi="Segoe UI" w:cs="Segoe UI"/>
          <w:sz w:val="22"/>
          <w:szCs w:val="22"/>
        </w:rPr>
        <w:t xml:space="preserve"> processes and a decline in global growth.</w:t>
      </w:r>
    </w:p>
    <w:p w14:paraId="2C50CF19" w14:textId="77777777" w:rsidR="00A52CC6" w:rsidRDefault="007E016C" w:rsidP="007E016C">
      <w:p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7E016C">
        <w:rPr>
          <w:rFonts w:ascii="Segoe UI" w:hAnsi="Segoe UI" w:cs="Segoe UI"/>
          <w:sz w:val="22"/>
          <w:szCs w:val="22"/>
        </w:rPr>
        <w:t xml:space="preserve">Background on the Report: </w:t>
      </w:r>
    </w:p>
    <w:p w14:paraId="1666D7E8" w14:textId="69AC7108" w:rsidR="007E016C" w:rsidRPr="007E016C" w:rsidRDefault="007E016C" w:rsidP="00A52CC6">
      <w:p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7E016C">
        <w:rPr>
          <w:rFonts w:ascii="Segoe UI" w:hAnsi="Segoe UI" w:cs="Segoe UI"/>
          <w:sz w:val="22"/>
          <w:szCs w:val="22"/>
        </w:rPr>
        <w:t xml:space="preserve">In this report, </w:t>
      </w:r>
      <w:r w:rsidR="00A52CC6">
        <w:rPr>
          <w:rFonts w:ascii="Segoe UI" w:hAnsi="Segoe UI" w:cs="Segoe UI"/>
          <w:sz w:val="22"/>
          <w:szCs w:val="22"/>
        </w:rPr>
        <w:t>B</w:t>
      </w:r>
      <w:r w:rsidRPr="007E016C">
        <w:rPr>
          <w:rFonts w:ascii="Segoe UI" w:hAnsi="Segoe UI" w:cs="Segoe UI"/>
          <w:sz w:val="22"/>
          <w:szCs w:val="22"/>
        </w:rPr>
        <w:t>ank</w:t>
      </w:r>
      <w:r w:rsidR="00A52CC6">
        <w:rPr>
          <w:rFonts w:ascii="Segoe UI" w:hAnsi="Segoe UI" w:cs="Segoe UI"/>
          <w:sz w:val="22"/>
          <w:szCs w:val="22"/>
        </w:rPr>
        <w:t xml:space="preserve"> of Israel</w:t>
      </w:r>
      <w:r w:rsidRPr="007E016C">
        <w:rPr>
          <w:rFonts w:ascii="Segoe UI" w:hAnsi="Segoe UI" w:cs="Segoe UI"/>
          <w:sz w:val="22"/>
          <w:szCs w:val="22"/>
        </w:rPr>
        <w:t xml:space="preserve"> economists express their assessment of the main risk exposures facing the financial system, analyze the primary exposures, and evaluate potential risk scenarios. The assessments and analyses are based on a review of developments during the reviewed period, </w:t>
      </w:r>
      <w:r w:rsidR="00A52CC6">
        <w:rPr>
          <w:rFonts w:ascii="Segoe UI" w:hAnsi="Segoe UI" w:cs="Segoe UI"/>
          <w:sz w:val="22"/>
          <w:szCs w:val="22"/>
        </w:rPr>
        <w:t xml:space="preserve">an </w:t>
      </w:r>
      <w:r w:rsidRPr="007E016C">
        <w:rPr>
          <w:rFonts w:ascii="Segoe UI" w:hAnsi="Segoe UI" w:cs="Segoe UI"/>
          <w:sz w:val="22"/>
          <w:szCs w:val="22"/>
        </w:rPr>
        <w:t xml:space="preserve">examination of structural changes, </w:t>
      </w:r>
      <w:r w:rsidR="00A52CC6">
        <w:rPr>
          <w:rFonts w:ascii="Segoe UI" w:hAnsi="Segoe UI" w:cs="Segoe UI"/>
          <w:sz w:val="22"/>
          <w:szCs w:val="22"/>
        </w:rPr>
        <w:t xml:space="preserve">the </w:t>
      </w:r>
      <w:r w:rsidRPr="007E016C">
        <w:rPr>
          <w:rFonts w:ascii="Segoe UI" w:hAnsi="Segoe UI" w:cs="Segoe UI"/>
          <w:sz w:val="22"/>
          <w:szCs w:val="22"/>
        </w:rPr>
        <w:t xml:space="preserve">use of analytical models, and </w:t>
      </w:r>
      <w:r w:rsidR="00A52CC6">
        <w:rPr>
          <w:rFonts w:ascii="Segoe UI" w:hAnsi="Segoe UI" w:cs="Segoe UI"/>
          <w:sz w:val="22"/>
          <w:szCs w:val="22"/>
        </w:rPr>
        <w:t>assessments</w:t>
      </w:r>
      <w:r w:rsidRPr="007E016C">
        <w:rPr>
          <w:rFonts w:ascii="Segoe UI" w:hAnsi="Segoe UI" w:cs="Segoe UI"/>
          <w:sz w:val="22"/>
          <w:szCs w:val="22"/>
        </w:rPr>
        <w:t xml:space="preserve"> of background conditions in global and local economies. The report </w:t>
      </w:r>
      <w:r w:rsidR="00A52CC6">
        <w:rPr>
          <w:rFonts w:ascii="Segoe UI" w:hAnsi="Segoe UI" w:cs="Segoe UI"/>
          <w:sz w:val="22"/>
          <w:szCs w:val="22"/>
        </w:rPr>
        <w:t>outlines how the</w:t>
      </w:r>
      <w:r w:rsidRPr="007E016C">
        <w:rPr>
          <w:rFonts w:ascii="Segoe UI" w:hAnsi="Segoe UI" w:cs="Segoe UI"/>
          <w:sz w:val="22"/>
          <w:szCs w:val="22"/>
        </w:rPr>
        <w:t xml:space="preserve"> realiz</w:t>
      </w:r>
      <w:r w:rsidR="00A52CC6">
        <w:rPr>
          <w:rFonts w:ascii="Segoe UI" w:hAnsi="Segoe UI" w:cs="Segoe UI"/>
          <w:sz w:val="22"/>
          <w:szCs w:val="22"/>
        </w:rPr>
        <w:t>ation of</w:t>
      </w:r>
      <w:r w:rsidRPr="007E016C">
        <w:rPr>
          <w:rFonts w:ascii="Segoe UI" w:hAnsi="Segoe UI" w:cs="Segoe UI"/>
          <w:sz w:val="22"/>
          <w:szCs w:val="22"/>
        </w:rPr>
        <w:t xml:space="preserve"> risk scenarios </w:t>
      </w:r>
      <w:r w:rsidR="00A52CC6">
        <w:rPr>
          <w:rFonts w:ascii="Segoe UI" w:hAnsi="Segoe UI" w:cs="Segoe UI"/>
          <w:sz w:val="22"/>
          <w:szCs w:val="22"/>
        </w:rPr>
        <w:t>may affect</w:t>
      </w:r>
      <w:r w:rsidRPr="007E016C">
        <w:rPr>
          <w:rFonts w:ascii="Segoe UI" w:hAnsi="Segoe UI" w:cs="Segoe UI"/>
          <w:sz w:val="22"/>
          <w:szCs w:val="22"/>
        </w:rPr>
        <w:t xml:space="preserve"> the financial system in the short and medium term</w:t>
      </w:r>
      <w:r w:rsidR="00A52CC6">
        <w:rPr>
          <w:rFonts w:ascii="Segoe UI" w:hAnsi="Segoe UI" w:cs="Segoe UI"/>
          <w:sz w:val="22"/>
          <w:szCs w:val="22"/>
        </w:rPr>
        <w:t>s</w:t>
      </w:r>
      <w:r w:rsidRPr="007E016C">
        <w:rPr>
          <w:rFonts w:ascii="Segoe UI" w:hAnsi="Segoe UI" w:cs="Segoe UI"/>
          <w:sz w:val="22"/>
          <w:szCs w:val="22"/>
        </w:rPr>
        <w:t>, aiming to raise awareness among policymakers and the general public an</w:t>
      </w:r>
      <w:r w:rsidR="00A52CC6">
        <w:rPr>
          <w:rFonts w:ascii="Segoe UI" w:hAnsi="Segoe UI" w:cs="Segoe UI"/>
          <w:sz w:val="22"/>
          <w:szCs w:val="22"/>
        </w:rPr>
        <w:t>d enable appropriate preparedness</w:t>
      </w:r>
      <w:r w:rsidRPr="007E016C">
        <w:rPr>
          <w:rFonts w:ascii="Segoe UI" w:hAnsi="Segoe UI" w:cs="Segoe UI"/>
          <w:sz w:val="22"/>
          <w:szCs w:val="22"/>
        </w:rPr>
        <w:t>.</w:t>
      </w:r>
    </w:p>
    <w:p w14:paraId="02759EF9" w14:textId="17791E78" w:rsidR="007E016C" w:rsidRPr="007E016C" w:rsidRDefault="007E016C" w:rsidP="00A52CC6">
      <w:p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7E016C">
        <w:rPr>
          <w:rFonts w:ascii="Segoe UI" w:hAnsi="Segoe UI" w:cs="Segoe UI"/>
          <w:sz w:val="22"/>
          <w:szCs w:val="22"/>
        </w:rPr>
        <w:t>Starting in 2025, the report will be published annually instead of semiannually.</w:t>
      </w:r>
    </w:p>
    <w:bookmarkEnd w:id="0"/>
    <w:p w14:paraId="56CB040C" w14:textId="77777777" w:rsidR="00443EB3" w:rsidRPr="007E016C" w:rsidRDefault="00443EB3" w:rsidP="007E016C">
      <w:pPr>
        <w:pStyle w:val="regpar"/>
        <w:ind w:firstLine="0"/>
        <w:rPr>
          <w:rFonts w:ascii="Segoe UI" w:hAnsi="Segoe UI" w:cs="Segoe UI"/>
          <w:sz w:val="22"/>
          <w:szCs w:val="22"/>
        </w:rPr>
      </w:pPr>
    </w:p>
    <w:sectPr w:rsidR="00443EB3" w:rsidRPr="007E016C" w:rsidSect="004F5A85">
      <w:headerReference w:type="default" r:id="rId12"/>
      <w:endnotePr>
        <w:numFmt w:val="hebrew2"/>
      </w:endnotePr>
      <w:pgSz w:w="11880" w:h="16820"/>
      <w:pgMar w:top="624" w:right="1390" w:bottom="567" w:left="1418" w:header="57" w:footer="283" w:gutter="0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4FA47" w14:textId="77777777" w:rsidR="005C39E7" w:rsidRDefault="005C39E7">
      <w:r>
        <w:separator/>
      </w:r>
    </w:p>
  </w:endnote>
  <w:endnote w:type="continuationSeparator" w:id="0">
    <w:p w14:paraId="5845B4D1" w14:textId="77777777" w:rsidR="005C39E7" w:rsidRDefault="005C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CC93B" w14:textId="77777777" w:rsidR="005C39E7" w:rsidRDefault="005C39E7">
      <w:pPr>
        <w:spacing w:line="160" w:lineRule="exact"/>
      </w:pPr>
    </w:p>
  </w:footnote>
  <w:footnote w:type="continuationSeparator" w:id="0">
    <w:p w14:paraId="5015A0E3" w14:textId="77777777" w:rsidR="005C39E7" w:rsidRDefault="005C39E7">
      <w:pPr>
        <w:pStyle w:val="rule"/>
      </w:pPr>
      <w:r>
        <w:t>–––––––––––––––––––––––––––</w:t>
      </w:r>
    </w:p>
    <w:p w14:paraId="68CA0EA3" w14:textId="77777777" w:rsidR="005C39E7" w:rsidRDefault="005C39E7">
      <w:pPr>
        <w:pStyle w:val="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CA7D6" w14:textId="77777777" w:rsidR="00CE7A79" w:rsidRDefault="00CE7A79" w:rsidP="007A34C9">
    <w:pPr>
      <w:pStyle w:val="regpar"/>
      <w:spacing w:line="300" w:lineRule="atLeast"/>
      <w:ind w:firstLine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049565AB"/>
    <w:multiLevelType w:val="hybridMultilevel"/>
    <w:tmpl w:val="3AEE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707B"/>
    <w:multiLevelType w:val="hybridMultilevel"/>
    <w:tmpl w:val="CED8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F1E76"/>
    <w:multiLevelType w:val="hybridMultilevel"/>
    <w:tmpl w:val="9B849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A69E9"/>
    <w:multiLevelType w:val="hybridMultilevel"/>
    <w:tmpl w:val="A67A3D8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3F003117"/>
    <w:multiLevelType w:val="hybridMultilevel"/>
    <w:tmpl w:val="FA1A5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E5350"/>
    <w:multiLevelType w:val="hybridMultilevel"/>
    <w:tmpl w:val="9AE2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544E1"/>
    <w:multiLevelType w:val="hybridMultilevel"/>
    <w:tmpl w:val="5966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912EE"/>
    <w:multiLevelType w:val="hybridMultilevel"/>
    <w:tmpl w:val="58729F30"/>
    <w:lvl w:ilvl="0" w:tplc="0AA490D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 w15:restartNumberingAfterBreak="0">
    <w:nsid w:val="45324FFB"/>
    <w:multiLevelType w:val="hybridMultilevel"/>
    <w:tmpl w:val="15D25D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E08E8"/>
    <w:multiLevelType w:val="multilevel"/>
    <w:tmpl w:val="C76A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541E8D"/>
    <w:multiLevelType w:val="hybridMultilevel"/>
    <w:tmpl w:val="84D08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727CA"/>
    <w:multiLevelType w:val="hybridMultilevel"/>
    <w:tmpl w:val="D5F6F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B2FC6"/>
    <w:multiLevelType w:val="hybridMultilevel"/>
    <w:tmpl w:val="03E4B96C"/>
    <w:lvl w:ilvl="0" w:tplc="B814614C">
      <w:start w:val="7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 w15:restartNumberingAfterBreak="0">
    <w:nsid w:val="718D7B23"/>
    <w:multiLevelType w:val="hybridMultilevel"/>
    <w:tmpl w:val="A568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616CB"/>
    <w:multiLevelType w:val="hybridMultilevel"/>
    <w:tmpl w:val="11728488"/>
    <w:lvl w:ilvl="0" w:tplc="5802D0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DA0365C"/>
    <w:multiLevelType w:val="hybridMultilevel"/>
    <w:tmpl w:val="03D09186"/>
    <w:lvl w:ilvl="0" w:tplc="AC34D7F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602F8"/>
    <w:multiLevelType w:val="hybridMultilevel"/>
    <w:tmpl w:val="3C26F5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4"/>
  </w:num>
  <w:num w:numId="5">
    <w:abstractNumId w:val="1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4"/>
  </w:num>
  <w:num w:numId="10">
    <w:abstractNumId w:val="16"/>
  </w:num>
  <w:num w:numId="11">
    <w:abstractNumId w:val="12"/>
  </w:num>
  <w:num w:numId="12">
    <w:abstractNumId w:val="9"/>
  </w:num>
  <w:num w:numId="13">
    <w:abstractNumId w:val="3"/>
  </w:num>
  <w:num w:numId="14">
    <w:abstractNumId w:val="2"/>
  </w:num>
  <w:num w:numId="15">
    <w:abstractNumId w:val="11"/>
  </w:num>
  <w:num w:numId="16">
    <w:abstractNumId w:val="1"/>
  </w:num>
  <w:num w:numId="17">
    <w:abstractNumId w:val="17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70"/>
    <w:rsid w:val="00002A48"/>
    <w:rsid w:val="00005737"/>
    <w:rsid w:val="00014291"/>
    <w:rsid w:val="00016929"/>
    <w:rsid w:val="00016E30"/>
    <w:rsid w:val="00017E04"/>
    <w:rsid w:val="000305B1"/>
    <w:rsid w:val="0004575D"/>
    <w:rsid w:val="000466C2"/>
    <w:rsid w:val="000502D1"/>
    <w:rsid w:val="00052610"/>
    <w:rsid w:val="000614E5"/>
    <w:rsid w:val="00066C5D"/>
    <w:rsid w:val="00067EAC"/>
    <w:rsid w:val="0007485B"/>
    <w:rsid w:val="00076856"/>
    <w:rsid w:val="00077915"/>
    <w:rsid w:val="00085E93"/>
    <w:rsid w:val="0009048D"/>
    <w:rsid w:val="00093619"/>
    <w:rsid w:val="00093A61"/>
    <w:rsid w:val="00094FFA"/>
    <w:rsid w:val="000A0AE8"/>
    <w:rsid w:val="000B13FB"/>
    <w:rsid w:val="000B2451"/>
    <w:rsid w:val="000B5143"/>
    <w:rsid w:val="000B6617"/>
    <w:rsid w:val="000C1242"/>
    <w:rsid w:val="000C4140"/>
    <w:rsid w:val="000C46E3"/>
    <w:rsid w:val="000D3201"/>
    <w:rsid w:val="000D3F79"/>
    <w:rsid w:val="000E08B9"/>
    <w:rsid w:val="000E2EB0"/>
    <w:rsid w:val="000F4D42"/>
    <w:rsid w:val="00104F58"/>
    <w:rsid w:val="0010545F"/>
    <w:rsid w:val="001116D7"/>
    <w:rsid w:val="00114F59"/>
    <w:rsid w:val="001172A8"/>
    <w:rsid w:val="00121BED"/>
    <w:rsid w:val="001239DD"/>
    <w:rsid w:val="0012431B"/>
    <w:rsid w:val="00124970"/>
    <w:rsid w:val="00124AB5"/>
    <w:rsid w:val="00124ED8"/>
    <w:rsid w:val="00125AB8"/>
    <w:rsid w:val="00126370"/>
    <w:rsid w:val="00127549"/>
    <w:rsid w:val="00130460"/>
    <w:rsid w:val="00143F0D"/>
    <w:rsid w:val="0014603A"/>
    <w:rsid w:val="001550A7"/>
    <w:rsid w:val="00160123"/>
    <w:rsid w:val="00161743"/>
    <w:rsid w:val="00162F9E"/>
    <w:rsid w:val="0016621D"/>
    <w:rsid w:val="00166ECD"/>
    <w:rsid w:val="00181A09"/>
    <w:rsid w:val="0018444C"/>
    <w:rsid w:val="00187D68"/>
    <w:rsid w:val="00190909"/>
    <w:rsid w:val="00194F7F"/>
    <w:rsid w:val="001A2237"/>
    <w:rsid w:val="001A6127"/>
    <w:rsid w:val="001B0294"/>
    <w:rsid w:val="001C1743"/>
    <w:rsid w:val="001C209A"/>
    <w:rsid w:val="001C502E"/>
    <w:rsid w:val="001C5614"/>
    <w:rsid w:val="001D57CD"/>
    <w:rsid w:val="001D5EBA"/>
    <w:rsid w:val="001E2931"/>
    <w:rsid w:val="001E6D0C"/>
    <w:rsid w:val="001F28E6"/>
    <w:rsid w:val="001F51F4"/>
    <w:rsid w:val="00203B3D"/>
    <w:rsid w:val="00210F11"/>
    <w:rsid w:val="00212EBE"/>
    <w:rsid w:val="00236391"/>
    <w:rsid w:val="00243044"/>
    <w:rsid w:val="00246FA7"/>
    <w:rsid w:val="00250C32"/>
    <w:rsid w:val="0025222B"/>
    <w:rsid w:val="00263AC9"/>
    <w:rsid w:val="00275B82"/>
    <w:rsid w:val="00276225"/>
    <w:rsid w:val="002803D5"/>
    <w:rsid w:val="00283C91"/>
    <w:rsid w:val="002878D8"/>
    <w:rsid w:val="00295684"/>
    <w:rsid w:val="002A325D"/>
    <w:rsid w:val="002A5EE7"/>
    <w:rsid w:val="002B172C"/>
    <w:rsid w:val="002C31A2"/>
    <w:rsid w:val="002D0B04"/>
    <w:rsid w:val="002D460E"/>
    <w:rsid w:val="002D6616"/>
    <w:rsid w:val="002D6644"/>
    <w:rsid w:val="002E2978"/>
    <w:rsid w:val="002E5259"/>
    <w:rsid w:val="002E77B6"/>
    <w:rsid w:val="002F02D1"/>
    <w:rsid w:val="002F761B"/>
    <w:rsid w:val="00302325"/>
    <w:rsid w:val="003121C6"/>
    <w:rsid w:val="0031394B"/>
    <w:rsid w:val="003140DF"/>
    <w:rsid w:val="00323D8C"/>
    <w:rsid w:val="00327BCD"/>
    <w:rsid w:val="00333620"/>
    <w:rsid w:val="00333F56"/>
    <w:rsid w:val="003370E3"/>
    <w:rsid w:val="003445F3"/>
    <w:rsid w:val="00347069"/>
    <w:rsid w:val="00347EEC"/>
    <w:rsid w:val="00350413"/>
    <w:rsid w:val="003514AB"/>
    <w:rsid w:val="00354C47"/>
    <w:rsid w:val="00357E66"/>
    <w:rsid w:val="003605C6"/>
    <w:rsid w:val="00366DB8"/>
    <w:rsid w:val="00367A32"/>
    <w:rsid w:val="00376023"/>
    <w:rsid w:val="00376976"/>
    <w:rsid w:val="00380012"/>
    <w:rsid w:val="003814C4"/>
    <w:rsid w:val="0038232A"/>
    <w:rsid w:val="003938F8"/>
    <w:rsid w:val="00395D70"/>
    <w:rsid w:val="003A1107"/>
    <w:rsid w:val="003A3B39"/>
    <w:rsid w:val="003A6723"/>
    <w:rsid w:val="003B0942"/>
    <w:rsid w:val="003B2C70"/>
    <w:rsid w:val="003B4074"/>
    <w:rsid w:val="003B4DF1"/>
    <w:rsid w:val="003C3B6F"/>
    <w:rsid w:val="003C6E15"/>
    <w:rsid w:val="003D0E36"/>
    <w:rsid w:val="003D71F7"/>
    <w:rsid w:val="003E0432"/>
    <w:rsid w:val="003E107B"/>
    <w:rsid w:val="003F360E"/>
    <w:rsid w:val="00403AF2"/>
    <w:rsid w:val="00406562"/>
    <w:rsid w:val="00406709"/>
    <w:rsid w:val="00406809"/>
    <w:rsid w:val="00407252"/>
    <w:rsid w:val="00421E16"/>
    <w:rsid w:val="00423781"/>
    <w:rsid w:val="0042406A"/>
    <w:rsid w:val="00425894"/>
    <w:rsid w:val="004266FD"/>
    <w:rsid w:val="004307F0"/>
    <w:rsid w:val="004356C6"/>
    <w:rsid w:val="004361EA"/>
    <w:rsid w:val="00437FD7"/>
    <w:rsid w:val="00441DC9"/>
    <w:rsid w:val="004421CE"/>
    <w:rsid w:val="00443EB3"/>
    <w:rsid w:val="00452814"/>
    <w:rsid w:val="00454C06"/>
    <w:rsid w:val="00457687"/>
    <w:rsid w:val="004576AA"/>
    <w:rsid w:val="004655E8"/>
    <w:rsid w:val="004735EC"/>
    <w:rsid w:val="00477DE2"/>
    <w:rsid w:val="00482B8E"/>
    <w:rsid w:val="004839AA"/>
    <w:rsid w:val="00484A86"/>
    <w:rsid w:val="00492029"/>
    <w:rsid w:val="004A0A80"/>
    <w:rsid w:val="004A179B"/>
    <w:rsid w:val="004A2970"/>
    <w:rsid w:val="004C5B3B"/>
    <w:rsid w:val="004C7155"/>
    <w:rsid w:val="004D0449"/>
    <w:rsid w:val="004D55DA"/>
    <w:rsid w:val="004E7032"/>
    <w:rsid w:val="004F5A85"/>
    <w:rsid w:val="00500F8B"/>
    <w:rsid w:val="00503622"/>
    <w:rsid w:val="00515681"/>
    <w:rsid w:val="00517461"/>
    <w:rsid w:val="005273A2"/>
    <w:rsid w:val="005317F2"/>
    <w:rsid w:val="00531AD1"/>
    <w:rsid w:val="00536575"/>
    <w:rsid w:val="0054053A"/>
    <w:rsid w:val="0054075A"/>
    <w:rsid w:val="005417D3"/>
    <w:rsid w:val="00543038"/>
    <w:rsid w:val="005504CF"/>
    <w:rsid w:val="00554AC0"/>
    <w:rsid w:val="0055658B"/>
    <w:rsid w:val="0056099E"/>
    <w:rsid w:val="00562B0B"/>
    <w:rsid w:val="005676E1"/>
    <w:rsid w:val="00572E97"/>
    <w:rsid w:val="00581AE6"/>
    <w:rsid w:val="00590949"/>
    <w:rsid w:val="00591171"/>
    <w:rsid w:val="00592585"/>
    <w:rsid w:val="00594895"/>
    <w:rsid w:val="005A5253"/>
    <w:rsid w:val="005B0C33"/>
    <w:rsid w:val="005B5BFC"/>
    <w:rsid w:val="005B6B00"/>
    <w:rsid w:val="005C1FAF"/>
    <w:rsid w:val="005C274D"/>
    <w:rsid w:val="005C39E7"/>
    <w:rsid w:val="005C5CA6"/>
    <w:rsid w:val="005C635F"/>
    <w:rsid w:val="005C76FF"/>
    <w:rsid w:val="005D175A"/>
    <w:rsid w:val="005D225E"/>
    <w:rsid w:val="005E1AD6"/>
    <w:rsid w:val="005E23D5"/>
    <w:rsid w:val="006031D8"/>
    <w:rsid w:val="00605EBE"/>
    <w:rsid w:val="0061268B"/>
    <w:rsid w:val="00612A07"/>
    <w:rsid w:val="00613B3E"/>
    <w:rsid w:val="00617A39"/>
    <w:rsid w:val="00621D95"/>
    <w:rsid w:val="00621DB2"/>
    <w:rsid w:val="00624732"/>
    <w:rsid w:val="00632487"/>
    <w:rsid w:val="0063248B"/>
    <w:rsid w:val="00632812"/>
    <w:rsid w:val="00634A22"/>
    <w:rsid w:val="00636566"/>
    <w:rsid w:val="00641FBE"/>
    <w:rsid w:val="00644EC6"/>
    <w:rsid w:val="0064598C"/>
    <w:rsid w:val="00650B9A"/>
    <w:rsid w:val="00651EE8"/>
    <w:rsid w:val="00653813"/>
    <w:rsid w:val="006540CC"/>
    <w:rsid w:val="0065491B"/>
    <w:rsid w:val="00655D2E"/>
    <w:rsid w:val="00660075"/>
    <w:rsid w:val="00663562"/>
    <w:rsid w:val="0067374A"/>
    <w:rsid w:val="0067456C"/>
    <w:rsid w:val="00677C0C"/>
    <w:rsid w:val="00681BC1"/>
    <w:rsid w:val="00683C36"/>
    <w:rsid w:val="00684279"/>
    <w:rsid w:val="006918C1"/>
    <w:rsid w:val="00694066"/>
    <w:rsid w:val="00696506"/>
    <w:rsid w:val="006A29C7"/>
    <w:rsid w:val="006A2E45"/>
    <w:rsid w:val="006A36A4"/>
    <w:rsid w:val="006B03B7"/>
    <w:rsid w:val="006B39E9"/>
    <w:rsid w:val="006C17E0"/>
    <w:rsid w:val="006D10C5"/>
    <w:rsid w:val="006D738F"/>
    <w:rsid w:val="006E30C1"/>
    <w:rsid w:val="006E33B5"/>
    <w:rsid w:val="006E35F9"/>
    <w:rsid w:val="006E4E37"/>
    <w:rsid w:val="006F331D"/>
    <w:rsid w:val="007012E2"/>
    <w:rsid w:val="00701620"/>
    <w:rsid w:val="00706A01"/>
    <w:rsid w:val="0071317E"/>
    <w:rsid w:val="00730C23"/>
    <w:rsid w:val="00730F15"/>
    <w:rsid w:val="007342CE"/>
    <w:rsid w:val="007369BA"/>
    <w:rsid w:val="00740582"/>
    <w:rsid w:val="007414E1"/>
    <w:rsid w:val="00741B11"/>
    <w:rsid w:val="0074580C"/>
    <w:rsid w:val="00760F71"/>
    <w:rsid w:val="007617BD"/>
    <w:rsid w:val="00763647"/>
    <w:rsid w:val="00770D80"/>
    <w:rsid w:val="00772339"/>
    <w:rsid w:val="0078710E"/>
    <w:rsid w:val="00787F4C"/>
    <w:rsid w:val="007917B0"/>
    <w:rsid w:val="007A1A5F"/>
    <w:rsid w:val="007A34C9"/>
    <w:rsid w:val="007A6C5D"/>
    <w:rsid w:val="007A7425"/>
    <w:rsid w:val="007A7980"/>
    <w:rsid w:val="007B04FD"/>
    <w:rsid w:val="007B59CC"/>
    <w:rsid w:val="007B71B6"/>
    <w:rsid w:val="007C085F"/>
    <w:rsid w:val="007C1B58"/>
    <w:rsid w:val="007D41E1"/>
    <w:rsid w:val="007E016C"/>
    <w:rsid w:val="007E1A57"/>
    <w:rsid w:val="007E616F"/>
    <w:rsid w:val="007E6D32"/>
    <w:rsid w:val="007F0611"/>
    <w:rsid w:val="007F2CA6"/>
    <w:rsid w:val="007F423C"/>
    <w:rsid w:val="007F71A7"/>
    <w:rsid w:val="0080149A"/>
    <w:rsid w:val="00801CA2"/>
    <w:rsid w:val="00802BFE"/>
    <w:rsid w:val="008052DA"/>
    <w:rsid w:val="00807431"/>
    <w:rsid w:val="00810763"/>
    <w:rsid w:val="00814968"/>
    <w:rsid w:val="008157BA"/>
    <w:rsid w:val="00817D8A"/>
    <w:rsid w:val="00820704"/>
    <w:rsid w:val="00826845"/>
    <w:rsid w:val="00836D7A"/>
    <w:rsid w:val="00841E41"/>
    <w:rsid w:val="0084331E"/>
    <w:rsid w:val="00843E13"/>
    <w:rsid w:val="00843F4B"/>
    <w:rsid w:val="0084597D"/>
    <w:rsid w:val="00850D4E"/>
    <w:rsid w:val="00857394"/>
    <w:rsid w:val="008600E4"/>
    <w:rsid w:val="0086296B"/>
    <w:rsid w:val="008676DF"/>
    <w:rsid w:val="00867ECF"/>
    <w:rsid w:val="0087075D"/>
    <w:rsid w:val="00872CF4"/>
    <w:rsid w:val="00873E53"/>
    <w:rsid w:val="0087598A"/>
    <w:rsid w:val="00877C88"/>
    <w:rsid w:val="0088365D"/>
    <w:rsid w:val="008907C3"/>
    <w:rsid w:val="008920C9"/>
    <w:rsid w:val="008924D8"/>
    <w:rsid w:val="00892705"/>
    <w:rsid w:val="008965FF"/>
    <w:rsid w:val="00897D7D"/>
    <w:rsid w:val="008A0D61"/>
    <w:rsid w:val="008A117A"/>
    <w:rsid w:val="008A4E71"/>
    <w:rsid w:val="008B3910"/>
    <w:rsid w:val="008B564A"/>
    <w:rsid w:val="008C0767"/>
    <w:rsid w:val="008C2D26"/>
    <w:rsid w:val="008C671A"/>
    <w:rsid w:val="008D0CD2"/>
    <w:rsid w:val="008D2340"/>
    <w:rsid w:val="008E2532"/>
    <w:rsid w:val="008E34E9"/>
    <w:rsid w:val="008F0C79"/>
    <w:rsid w:val="008F3DE8"/>
    <w:rsid w:val="008F4908"/>
    <w:rsid w:val="009055ED"/>
    <w:rsid w:val="00912CE3"/>
    <w:rsid w:val="009249B9"/>
    <w:rsid w:val="009269B2"/>
    <w:rsid w:val="00930D0F"/>
    <w:rsid w:val="00932779"/>
    <w:rsid w:val="009342BD"/>
    <w:rsid w:val="009345ED"/>
    <w:rsid w:val="00934ED3"/>
    <w:rsid w:val="00940505"/>
    <w:rsid w:val="00941183"/>
    <w:rsid w:val="00943EFE"/>
    <w:rsid w:val="00946CAD"/>
    <w:rsid w:val="00951190"/>
    <w:rsid w:val="00970925"/>
    <w:rsid w:val="00987141"/>
    <w:rsid w:val="00991A2A"/>
    <w:rsid w:val="009937AE"/>
    <w:rsid w:val="009A2328"/>
    <w:rsid w:val="009A374A"/>
    <w:rsid w:val="009B0072"/>
    <w:rsid w:val="009B01E1"/>
    <w:rsid w:val="009B5ABC"/>
    <w:rsid w:val="009C2CE3"/>
    <w:rsid w:val="009D5B6B"/>
    <w:rsid w:val="009D6B3B"/>
    <w:rsid w:val="009D71A3"/>
    <w:rsid w:val="009E5610"/>
    <w:rsid w:val="009F3027"/>
    <w:rsid w:val="009F4C02"/>
    <w:rsid w:val="009F5C01"/>
    <w:rsid w:val="00A06CAC"/>
    <w:rsid w:val="00A10C60"/>
    <w:rsid w:val="00A176D5"/>
    <w:rsid w:val="00A2357F"/>
    <w:rsid w:val="00A2557F"/>
    <w:rsid w:val="00A27711"/>
    <w:rsid w:val="00A30E4A"/>
    <w:rsid w:val="00A326F3"/>
    <w:rsid w:val="00A339CF"/>
    <w:rsid w:val="00A362B4"/>
    <w:rsid w:val="00A41ECF"/>
    <w:rsid w:val="00A43D36"/>
    <w:rsid w:val="00A52CC6"/>
    <w:rsid w:val="00A60D93"/>
    <w:rsid w:val="00A60E0E"/>
    <w:rsid w:val="00A61B62"/>
    <w:rsid w:val="00A72CBB"/>
    <w:rsid w:val="00A85159"/>
    <w:rsid w:val="00A87E8E"/>
    <w:rsid w:val="00A91D66"/>
    <w:rsid w:val="00AA4754"/>
    <w:rsid w:val="00AA4992"/>
    <w:rsid w:val="00AA4ED8"/>
    <w:rsid w:val="00AA71D5"/>
    <w:rsid w:val="00AB0EB8"/>
    <w:rsid w:val="00AB478D"/>
    <w:rsid w:val="00AC5B03"/>
    <w:rsid w:val="00AC5D5C"/>
    <w:rsid w:val="00AF535D"/>
    <w:rsid w:val="00B02AD8"/>
    <w:rsid w:val="00B02B42"/>
    <w:rsid w:val="00B03A12"/>
    <w:rsid w:val="00B06509"/>
    <w:rsid w:val="00B06C58"/>
    <w:rsid w:val="00B14655"/>
    <w:rsid w:val="00B158CF"/>
    <w:rsid w:val="00B23E71"/>
    <w:rsid w:val="00B269CD"/>
    <w:rsid w:val="00B3068E"/>
    <w:rsid w:val="00B3103B"/>
    <w:rsid w:val="00B37BBE"/>
    <w:rsid w:val="00B46F7B"/>
    <w:rsid w:val="00B476CC"/>
    <w:rsid w:val="00B52957"/>
    <w:rsid w:val="00B552D1"/>
    <w:rsid w:val="00B5736D"/>
    <w:rsid w:val="00B57F69"/>
    <w:rsid w:val="00B6764F"/>
    <w:rsid w:val="00B76579"/>
    <w:rsid w:val="00B81305"/>
    <w:rsid w:val="00B9723D"/>
    <w:rsid w:val="00BA3A63"/>
    <w:rsid w:val="00BA589A"/>
    <w:rsid w:val="00BA78B9"/>
    <w:rsid w:val="00BC05E1"/>
    <w:rsid w:val="00BC46DE"/>
    <w:rsid w:val="00BC6BBA"/>
    <w:rsid w:val="00BD570C"/>
    <w:rsid w:val="00BE50DA"/>
    <w:rsid w:val="00BF0276"/>
    <w:rsid w:val="00BF78A3"/>
    <w:rsid w:val="00C00CE9"/>
    <w:rsid w:val="00C042B1"/>
    <w:rsid w:val="00C17405"/>
    <w:rsid w:val="00C178D0"/>
    <w:rsid w:val="00C2256F"/>
    <w:rsid w:val="00C23F8F"/>
    <w:rsid w:val="00C24EB5"/>
    <w:rsid w:val="00C25A28"/>
    <w:rsid w:val="00C26787"/>
    <w:rsid w:val="00C3065F"/>
    <w:rsid w:val="00C34862"/>
    <w:rsid w:val="00C34F28"/>
    <w:rsid w:val="00C3506B"/>
    <w:rsid w:val="00C36FE1"/>
    <w:rsid w:val="00C40F50"/>
    <w:rsid w:val="00C4244A"/>
    <w:rsid w:val="00C5022D"/>
    <w:rsid w:val="00C52A97"/>
    <w:rsid w:val="00C62AC4"/>
    <w:rsid w:val="00C63A99"/>
    <w:rsid w:val="00C64770"/>
    <w:rsid w:val="00C67CCF"/>
    <w:rsid w:val="00C701EA"/>
    <w:rsid w:val="00C76EFC"/>
    <w:rsid w:val="00C773B3"/>
    <w:rsid w:val="00C80C62"/>
    <w:rsid w:val="00C81F0F"/>
    <w:rsid w:val="00C82902"/>
    <w:rsid w:val="00C839A9"/>
    <w:rsid w:val="00C870AA"/>
    <w:rsid w:val="00C87D96"/>
    <w:rsid w:val="00C96635"/>
    <w:rsid w:val="00C97616"/>
    <w:rsid w:val="00CA4BB8"/>
    <w:rsid w:val="00CA68B3"/>
    <w:rsid w:val="00CB474B"/>
    <w:rsid w:val="00CC0F35"/>
    <w:rsid w:val="00CC493C"/>
    <w:rsid w:val="00CC598E"/>
    <w:rsid w:val="00CC59FC"/>
    <w:rsid w:val="00CC65CD"/>
    <w:rsid w:val="00CD51D2"/>
    <w:rsid w:val="00CE1CDD"/>
    <w:rsid w:val="00CE65D4"/>
    <w:rsid w:val="00CE7A79"/>
    <w:rsid w:val="00CF4492"/>
    <w:rsid w:val="00D00CF7"/>
    <w:rsid w:val="00D038A8"/>
    <w:rsid w:val="00D0407A"/>
    <w:rsid w:val="00D043CC"/>
    <w:rsid w:val="00D14E29"/>
    <w:rsid w:val="00D25B51"/>
    <w:rsid w:val="00D33F84"/>
    <w:rsid w:val="00D3751C"/>
    <w:rsid w:val="00D424D1"/>
    <w:rsid w:val="00D44CFE"/>
    <w:rsid w:val="00D463F8"/>
    <w:rsid w:val="00D54F0D"/>
    <w:rsid w:val="00D56394"/>
    <w:rsid w:val="00D56CA9"/>
    <w:rsid w:val="00D56FEA"/>
    <w:rsid w:val="00D61443"/>
    <w:rsid w:val="00D621C1"/>
    <w:rsid w:val="00D6747A"/>
    <w:rsid w:val="00D776C6"/>
    <w:rsid w:val="00D77FC6"/>
    <w:rsid w:val="00D85592"/>
    <w:rsid w:val="00D866ED"/>
    <w:rsid w:val="00D907F6"/>
    <w:rsid w:val="00D93E87"/>
    <w:rsid w:val="00D94C50"/>
    <w:rsid w:val="00DA4139"/>
    <w:rsid w:val="00DA5C83"/>
    <w:rsid w:val="00DA6F1C"/>
    <w:rsid w:val="00DC192C"/>
    <w:rsid w:val="00DD0AB5"/>
    <w:rsid w:val="00DD1273"/>
    <w:rsid w:val="00DD20B4"/>
    <w:rsid w:val="00DE121E"/>
    <w:rsid w:val="00DE76BB"/>
    <w:rsid w:val="00E03DAD"/>
    <w:rsid w:val="00E042D4"/>
    <w:rsid w:val="00E1087D"/>
    <w:rsid w:val="00E305A3"/>
    <w:rsid w:val="00E3258A"/>
    <w:rsid w:val="00E33F37"/>
    <w:rsid w:val="00E37EA3"/>
    <w:rsid w:val="00E40792"/>
    <w:rsid w:val="00E448BF"/>
    <w:rsid w:val="00E50A6B"/>
    <w:rsid w:val="00E52DD0"/>
    <w:rsid w:val="00E645EE"/>
    <w:rsid w:val="00E6497E"/>
    <w:rsid w:val="00E65CA7"/>
    <w:rsid w:val="00E67A70"/>
    <w:rsid w:val="00E701BC"/>
    <w:rsid w:val="00E74B20"/>
    <w:rsid w:val="00E878FC"/>
    <w:rsid w:val="00E9221F"/>
    <w:rsid w:val="00E927A6"/>
    <w:rsid w:val="00EA1D70"/>
    <w:rsid w:val="00EA2EEA"/>
    <w:rsid w:val="00EA2FB0"/>
    <w:rsid w:val="00EA3CE9"/>
    <w:rsid w:val="00EB1022"/>
    <w:rsid w:val="00EB2AB7"/>
    <w:rsid w:val="00EC6A3B"/>
    <w:rsid w:val="00ED1987"/>
    <w:rsid w:val="00ED1A90"/>
    <w:rsid w:val="00ED576F"/>
    <w:rsid w:val="00ED6F4E"/>
    <w:rsid w:val="00EE4F43"/>
    <w:rsid w:val="00EF5815"/>
    <w:rsid w:val="00F0557B"/>
    <w:rsid w:val="00F110FE"/>
    <w:rsid w:val="00F13C80"/>
    <w:rsid w:val="00F14FC5"/>
    <w:rsid w:val="00F17BE5"/>
    <w:rsid w:val="00F217C5"/>
    <w:rsid w:val="00F23C43"/>
    <w:rsid w:val="00F2605B"/>
    <w:rsid w:val="00F26C5D"/>
    <w:rsid w:val="00F32332"/>
    <w:rsid w:val="00F35D37"/>
    <w:rsid w:val="00F41E74"/>
    <w:rsid w:val="00F433E4"/>
    <w:rsid w:val="00F454A2"/>
    <w:rsid w:val="00F5404C"/>
    <w:rsid w:val="00F56652"/>
    <w:rsid w:val="00F573B0"/>
    <w:rsid w:val="00F6266E"/>
    <w:rsid w:val="00F74B4E"/>
    <w:rsid w:val="00F74CC8"/>
    <w:rsid w:val="00F863B6"/>
    <w:rsid w:val="00F9199C"/>
    <w:rsid w:val="00F92BBC"/>
    <w:rsid w:val="00F95623"/>
    <w:rsid w:val="00F96CE5"/>
    <w:rsid w:val="00FA0F55"/>
    <w:rsid w:val="00FA1547"/>
    <w:rsid w:val="00FA16BE"/>
    <w:rsid w:val="00FA18C6"/>
    <w:rsid w:val="00FA427D"/>
    <w:rsid w:val="00FA46BE"/>
    <w:rsid w:val="00FA4BC3"/>
    <w:rsid w:val="00FA5FFA"/>
    <w:rsid w:val="00FA67CD"/>
    <w:rsid w:val="00FC1161"/>
    <w:rsid w:val="00FC7294"/>
    <w:rsid w:val="00FE0A60"/>
    <w:rsid w:val="00FE4890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FD3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regpar"/>
    <w:qFormat/>
    <w:rPr>
      <w:rFonts w:ascii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par">
    <w:name w:val="regpar"/>
    <w:basedOn w:val="Normal"/>
    <w:pPr>
      <w:ind w:firstLine="2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200"/>
        <w:tab w:val="right" w:pos="8400"/>
      </w:tabs>
    </w:pPr>
  </w:style>
  <w:style w:type="character" w:styleId="FootnoteReference">
    <w:name w:val="footnote reference"/>
    <w:rPr>
      <w:position w:val="6"/>
      <w:sz w:val="14"/>
      <w:szCs w:val="14"/>
    </w:rPr>
  </w:style>
  <w:style w:type="paragraph" w:styleId="FootnoteText">
    <w:name w:val="footnote text"/>
    <w:basedOn w:val="regpar"/>
    <w:link w:val="FootnoteTextChar"/>
    <w:pPr>
      <w:spacing w:line="240" w:lineRule="exact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ER-text86">
    <w:name w:val="*ER-text 86%"/>
    <w:basedOn w:val="Normal"/>
  </w:style>
  <w:style w:type="paragraph" w:customStyle="1" w:styleId="abstract">
    <w:name w:val="abstract"/>
    <w:basedOn w:val="Normal"/>
    <w:next w:val="Normal"/>
    <w:pPr>
      <w:spacing w:line="260" w:lineRule="exact"/>
      <w:ind w:left="480" w:right="480"/>
    </w:pPr>
    <w:rPr>
      <w:sz w:val="22"/>
      <w:szCs w:val="22"/>
    </w:rPr>
  </w:style>
  <w:style w:type="paragraph" w:customStyle="1" w:styleId="author">
    <w:name w:val="author"/>
    <w:basedOn w:val="Normal"/>
    <w:next w:val="abstract"/>
    <w:pPr>
      <w:jc w:val="center"/>
    </w:pPr>
    <w:rPr>
      <w:smallCaps/>
    </w:rPr>
  </w:style>
  <w:style w:type="paragraph" w:customStyle="1" w:styleId="1">
    <w:name w:val="כותרת טקסט1"/>
    <w:basedOn w:val="Normal"/>
    <w:next w:val="author"/>
    <w:pPr>
      <w:jc w:val="center"/>
    </w:pPr>
    <w:rPr>
      <w:caps/>
      <w:sz w:val="28"/>
      <w:szCs w:val="28"/>
    </w:rPr>
  </w:style>
  <w:style w:type="paragraph" w:customStyle="1" w:styleId="Ahead">
    <w:name w:val="A head"/>
    <w:basedOn w:val="Normal"/>
    <w:next w:val="Normal"/>
    <w:rPr>
      <w:caps/>
      <w:sz w:val="22"/>
      <w:szCs w:val="22"/>
    </w:rPr>
  </w:style>
  <w:style w:type="paragraph" w:customStyle="1" w:styleId="Bhead">
    <w:name w:val="B head"/>
    <w:basedOn w:val="Normal"/>
    <w:next w:val="Normal"/>
    <w:rPr>
      <w:b/>
      <w:bCs/>
    </w:rPr>
  </w:style>
  <w:style w:type="paragraph" w:customStyle="1" w:styleId="rule">
    <w:name w:val="rule"/>
    <w:basedOn w:val="Normal"/>
    <w:pPr>
      <w:spacing w:line="120" w:lineRule="exact"/>
    </w:pPr>
    <w:rPr>
      <w:spacing w:val="-20"/>
      <w:sz w:val="12"/>
      <w:szCs w:val="12"/>
    </w:rPr>
  </w:style>
  <w:style w:type="paragraph" w:customStyle="1" w:styleId="noteseparator">
    <w:name w:val="note separator"/>
    <w:basedOn w:val="Normal"/>
    <w:next w:val="FootnoteText"/>
    <w:pPr>
      <w:spacing w:line="160" w:lineRule="exact"/>
    </w:pPr>
  </w:style>
  <w:style w:type="paragraph" w:customStyle="1" w:styleId="runninghead">
    <w:name w:val="running head"/>
    <w:basedOn w:val="Header"/>
    <w:rPr>
      <w:smallCaps/>
    </w:rPr>
  </w:style>
  <w:style w:type="paragraph" w:customStyle="1" w:styleId="eq">
    <w:name w:val="eq"/>
    <w:basedOn w:val="Normal"/>
    <w:pPr>
      <w:tabs>
        <w:tab w:val="center" w:pos="4320"/>
        <w:tab w:val="right" w:pos="8400"/>
      </w:tabs>
      <w:spacing w:line="300" w:lineRule="atLeast"/>
    </w:pPr>
  </w:style>
  <w:style w:type="paragraph" w:customStyle="1" w:styleId="Chead">
    <w:name w:val="C head"/>
    <w:basedOn w:val="Normal"/>
    <w:next w:val="Normal"/>
    <w:rPr>
      <w:i/>
      <w:iCs/>
    </w:rPr>
  </w:style>
  <w:style w:type="paragraph" w:customStyle="1" w:styleId="ARtext">
    <w:name w:val="*AR text"/>
    <w:basedOn w:val="Normal"/>
  </w:style>
  <w:style w:type="paragraph" w:customStyle="1" w:styleId="quotes">
    <w:name w:val="quotes"/>
    <w:basedOn w:val="Normal"/>
    <w:next w:val="Normal"/>
    <w:pPr>
      <w:spacing w:line="260" w:lineRule="exact"/>
      <w:ind w:left="480" w:right="480"/>
    </w:pPr>
    <w:rPr>
      <w:sz w:val="22"/>
      <w:szCs w:val="22"/>
    </w:rPr>
  </w:style>
  <w:style w:type="paragraph" w:customStyle="1" w:styleId="chapter">
    <w:name w:val="chapter"/>
    <w:basedOn w:val="Normal"/>
    <w:next w:val="1"/>
    <w:pPr>
      <w:spacing w:line="560" w:lineRule="atLeast"/>
    </w:pPr>
    <w:rPr>
      <w:i/>
      <w:iCs/>
      <w:sz w:val="36"/>
      <w:szCs w:val="36"/>
    </w:rPr>
  </w:style>
  <w:style w:type="paragraph" w:styleId="BodyTextIndent">
    <w:name w:val="Body Text Indent"/>
    <w:basedOn w:val="Normal"/>
    <w:pPr>
      <w:widowControl w:val="0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Date">
    <w:name w:val="Date"/>
    <w:basedOn w:val="Normal"/>
    <w:next w:val="Normal"/>
    <w:rsid w:val="00E03DAD"/>
  </w:style>
  <w:style w:type="table" w:styleId="TableGrid">
    <w:name w:val="Table Grid"/>
    <w:basedOn w:val="TableNormal"/>
    <w:rsid w:val="00E03DAD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E7A7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6A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81F0F"/>
    <w:rPr>
      <w:rFonts w:ascii="Times" w:hAnsi="Times" w:cs="Times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2DD0"/>
    <w:rPr>
      <w:rFonts w:ascii="Calibri" w:eastAsia="Calibri" w:hAnsi="Calibri" w:cs="Arial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E52DD0"/>
    <w:rPr>
      <w:rFonts w:ascii="Calibri" w:eastAsia="Calibri" w:hAnsi="Calibri" w:cs="Arial"/>
      <w:sz w:val="22"/>
      <w:szCs w:val="21"/>
    </w:rPr>
  </w:style>
  <w:style w:type="paragraph" w:styleId="ListParagraph">
    <w:name w:val="List Paragraph"/>
    <w:basedOn w:val="Normal"/>
    <w:uiPriority w:val="34"/>
    <w:qFormat/>
    <w:rsid w:val="00C9663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F0C79"/>
    <w:rPr>
      <w:rFonts w:ascii="Times" w:hAnsi="Times" w:cs="Times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A27711"/>
    <w:rPr>
      <w:rFonts w:ascii="Times" w:hAnsi="Times" w:cs="Times"/>
    </w:rPr>
  </w:style>
  <w:style w:type="character" w:styleId="CommentReference">
    <w:name w:val="annotation reference"/>
    <w:basedOn w:val="DefaultParagraphFont"/>
    <w:uiPriority w:val="99"/>
    <w:semiHidden/>
    <w:unhideWhenUsed/>
    <w:rsid w:val="008D2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3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340"/>
    <w:rPr>
      <w:rFonts w:ascii="Times" w:hAnsi="Times" w:cs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340"/>
    <w:rPr>
      <w:rFonts w:ascii="Times" w:hAnsi="Times" w:cs="Times"/>
      <w:b/>
      <w:bCs/>
    </w:rPr>
  </w:style>
  <w:style w:type="paragraph" w:styleId="NormalWeb">
    <w:name w:val="Normal (Web)"/>
    <w:basedOn w:val="Normal"/>
    <w:uiPriority w:val="99"/>
    <w:unhideWhenUsed/>
    <w:rsid w:val="000C46E3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accf42b3bcc0c5f4f4cd3f70261d3e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402afa3d4ca2a94263dbb7393923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B3AD7-C05B-4FB1-A8D2-B75B3DAE7EF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FD70AE1-37F1-4A16-B90F-7D9393E12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C8C08-DE6D-4052-A05A-FF43BF313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BE8F6A-B3AE-40A9-BEA3-53F872BA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3220</Characters>
  <Application>Microsoft Office Word</Application>
  <DocSecurity>4</DocSecurity>
  <Lines>70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2025-02-11T10:49:00Z</dcterms:created>
  <dcterms:modified xsi:type="dcterms:W3CDTF">2025-02-11T10:49:00Z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