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411FB" w:rsidRPr="005E28F6" w14:paraId="36EEDC8E" w14:textId="77777777" w:rsidTr="009244D5">
        <w:tc>
          <w:tcPr>
            <w:tcW w:w="3343" w:type="dxa"/>
            <w:tcBorders>
              <w:top w:val="nil"/>
              <w:left w:val="nil"/>
              <w:bottom w:val="nil"/>
              <w:right w:val="nil"/>
            </w:tcBorders>
            <w:vAlign w:val="center"/>
          </w:tcPr>
          <w:p w14:paraId="775177A9" w14:textId="77777777" w:rsidR="000411FB" w:rsidRPr="005E28F6" w:rsidRDefault="000411FB" w:rsidP="009244D5">
            <w:pPr>
              <w:jc w:val="center"/>
              <w:rPr>
                <w:rFonts w:asciiTheme="minorHAnsi" w:hAnsiTheme="minorHAnsi" w:cstheme="minorHAnsi"/>
                <w:b/>
                <w:bCs/>
                <w:rtl/>
              </w:rPr>
            </w:pPr>
            <w:r w:rsidRPr="005E28F6">
              <w:rPr>
                <w:rFonts w:asciiTheme="minorHAnsi" w:hAnsiTheme="minorHAnsi" w:cstheme="minorHAnsi"/>
                <w:b/>
                <w:bCs/>
                <w:rtl/>
              </w:rPr>
              <w:t>בנק ישראל</w:t>
            </w:r>
          </w:p>
          <w:p w14:paraId="0B68896E" w14:textId="77777777" w:rsidR="000411FB" w:rsidRPr="005E28F6" w:rsidRDefault="000411FB" w:rsidP="009244D5">
            <w:pPr>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14:paraId="446CFE54" w14:textId="77777777" w:rsidR="000411FB" w:rsidRPr="005E28F6" w:rsidRDefault="000411FB" w:rsidP="009244D5">
            <w:pPr>
              <w:jc w:val="center"/>
              <w:rPr>
                <w:rFonts w:asciiTheme="minorHAnsi" w:hAnsiTheme="minorHAnsi" w:cstheme="minorHAnsi"/>
              </w:rPr>
            </w:pPr>
            <w:r>
              <w:rPr>
                <w:rFonts w:asciiTheme="minorHAnsi" w:hAnsiTheme="minorHAnsi" w:cstheme="minorHAnsi"/>
                <w:noProof/>
              </w:rPr>
              <w:drawing>
                <wp:inline distT="0" distB="0" distL="0" distR="0" wp14:anchorId="048FFAD9" wp14:editId="22970058">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14:paraId="2465AD4A" w14:textId="144929D9" w:rsidR="000411FB" w:rsidRPr="005E28F6" w:rsidRDefault="000411FB" w:rsidP="009244D5">
            <w:pPr>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C77354">
              <w:rPr>
                <w:rFonts w:asciiTheme="minorHAnsi" w:hAnsiTheme="minorHAnsi" w:cstheme="minorHAnsi"/>
                <w:noProof/>
                <w:rtl/>
              </w:rPr>
              <w:t>‏כ"ט טבת, תשפ"ו</w:t>
            </w:r>
            <w:r w:rsidRPr="005E28F6">
              <w:rPr>
                <w:rFonts w:asciiTheme="minorHAnsi" w:hAnsiTheme="minorHAnsi" w:cstheme="minorHAnsi"/>
                <w:rtl/>
              </w:rPr>
              <w:fldChar w:fldCharType="end"/>
            </w:r>
          </w:p>
          <w:p w14:paraId="6BB5C260" w14:textId="4E7A2689" w:rsidR="000411FB" w:rsidRPr="005E28F6" w:rsidRDefault="000411FB" w:rsidP="009244D5">
            <w:pPr>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C77354">
              <w:rPr>
                <w:rFonts w:asciiTheme="minorHAnsi" w:hAnsiTheme="minorHAnsi" w:cstheme="minorHAnsi"/>
                <w:noProof/>
                <w:rtl/>
              </w:rPr>
              <w:t>‏18 ינואר, 2026</w:t>
            </w:r>
            <w:r w:rsidRPr="005E28F6">
              <w:rPr>
                <w:rFonts w:asciiTheme="minorHAnsi" w:hAnsiTheme="minorHAnsi" w:cstheme="minorHAnsi"/>
                <w:rtl/>
              </w:rPr>
              <w:fldChar w:fldCharType="end"/>
            </w:r>
          </w:p>
        </w:tc>
      </w:tr>
    </w:tbl>
    <w:p w14:paraId="7CD0017A" w14:textId="3FF20DEA" w:rsidR="0096452E" w:rsidRPr="000411FB" w:rsidRDefault="000411FB" w:rsidP="0096452E">
      <w:pPr>
        <w:rPr>
          <w:rtl/>
        </w:rPr>
      </w:pPr>
      <w:r>
        <w:rPr>
          <w:rFonts w:hint="cs"/>
          <w:rtl/>
        </w:rPr>
        <w:t>הודעה לעיתונות:</w:t>
      </w:r>
    </w:p>
    <w:p w14:paraId="52D59A22" w14:textId="77777777" w:rsidR="0096452E" w:rsidRPr="00202530" w:rsidRDefault="001C161C" w:rsidP="00144E5B">
      <w:pPr>
        <w:pStyle w:val="af7"/>
        <w:spacing w:before="240" w:line="276" w:lineRule="auto"/>
        <w:rPr>
          <w:rFonts w:ascii="Calibri" w:hAnsi="Calibri" w:cs="Calibri"/>
          <w:rtl/>
        </w:rPr>
      </w:pPr>
      <w:r w:rsidRPr="00202530">
        <w:rPr>
          <w:rFonts w:ascii="Calibri" w:hAnsi="Calibri" w:cs="Calibri"/>
          <w:rtl/>
        </w:rPr>
        <w:t xml:space="preserve">התחזית המקרו-כלכלית של חטיבת המחקר, </w:t>
      </w:r>
      <w:r w:rsidR="00144E5B">
        <w:rPr>
          <w:rFonts w:ascii="Calibri" w:hAnsi="Calibri" w:cs="Calibri" w:hint="cs"/>
          <w:rtl/>
        </w:rPr>
        <w:t>ינואר</w:t>
      </w:r>
      <w:r w:rsidRPr="00202530">
        <w:rPr>
          <w:rFonts w:ascii="Calibri" w:hAnsi="Calibri" w:cs="Calibri"/>
          <w:rtl/>
        </w:rPr>
        <w:t xml:space="preserve"> 202</w:t>
      </w:r>
      <w:r w:rsidR="00144E5B">
        <w:rPr>
          <w:rFonts w:ascii="Calibri" w:hAnsi="Calibri" w:cs="Calibri" w:hint="cs"/>
          <w:rtl/>
        </w:rPr>
        <w:t>6</w:t>
      </w:r>
    </w:p>
    <w:p w14:paraId="6786EB15" w14:textId="77777777" w:rsidR="0096452E" w:rsidRPr="00202530" w:rsidRDefault="001C161C" w:rsidP="0096452E">
      <w:pPr>
        <w:pStyle w:val="11"/>
        <w:spacing w:line="276" w:lineRule="auto"/>
        <w:rPr>
          <w:rFonts w:ascii="Calibri" w:hAnsi="Calibri" w:cs="Calibri"/>
        </w:rPr>
      </w:pPr>
      <w:bookmarkStart w:id="0" w:name="_GoBack"/>
      <w:r w:rsidRPr="00202530">
        <w:rPr>
          <w:rFonts w:ascii="Calibri" w:hAnsi="Calibri" w:cs="Calibri"/>
          <w:rtl/>
        </w:rPr>
        <w:t>תמצית</w:t>
      </w:r>
    </w:p>
    <w:p w14:paraId="3DF57193" w14:textId="36100A96" w:rsidR="00C730D0" w:rsidRDefault="001C161C" w:rsidP="00EC0A7C">
      <w:pPr>
        <w:spacing w:after="120"/>
        <w:jc w:val="both"/>
        <w:rPr>
          <w:rFonts w:eastAsia="Calibri"/>
          <w:rtl/>
        </w:rPr>
      </w:pPr>
      <w:r w:rsidRPr="00202296">
        <w:rPr>
          <w:rFonts w:eastAsia="Calibri"/>
          <w:rtl/>
        </w:rPr>
        <w:t xml:space="preserve">מסמך זה מציג את התחזית המקרו-כלכלית שחטיבת המחקר בבנק </w:t>
      </w:r>
      <w:r w:rsidRPr="00F5450F">
        <w:rPr>
          <w:rFonts w:eastAsia="Calibri"/>
          <w:rtl/>
        </w:rPr>
        <w:t xml:space="preserve">ישראל גיבשה </w:t>
      </w:r>
      <w:r w:rsidR="002728C0">
        <w:rPr>
          <w:rFonts w:eastAsia="Calibri" w:hint="cs"/>
          <w:rtl/>
        </w:rPr>
        <w:t>בינואר</w:t>
      </w:r>
      <w:r w:rsidRPr="00F5450F">
        <w:rPr>
          <w:rFonts w:eastAsia="Calibri"/>
          <w:rtl/>
        </w:rPr>
        <w:t xml:space="preserve"> 202</w:t>
      </w:r>
      <w:r w:rsidR="002728C0">
        <w:rPr>
          <w:rFonts w:eastAsia="Calibri" w:hint="cs"/>
          <w:rtl/>
        </w:rPr>
        <w:t>6</w:t>
      </w:r>
      <w:r w:rsidRPr="00F5450F">
        <w:rPr>
          <w:rFonts w:eastAsia="Calibri"/>
          <w:rtl/>
        </w:rPr>
        <w:t xml:space="preserve"> בנוגע למשתני המקרו העיקריים –</w:t>
      </w:r>
      <w:r w:rsidR="004D0CA8">
        <w:rPr>
          <w:rFonts w:eastAsia="Calibri" w:hint="cs"/>
          <w:rtl/>
        </w:rPr>
        <w:t xml:space="preserve"> לרבות</w:t>
      </w:r>
      <w:r w:rsidRPr="00F5450F">
        <w:rPr>
          <w:rFonts w:eastAsia="Calibri"/>
          <w:rtl/>
        </w:rPr>
        <w:t xml:space="preserve"> התוצר, האינפלציה והריבית.</w:t>
      </w:r>
      <w:r>
        <w:rPr>
          <w:rFonts w:eastAsia="Calibri"/>
          <w:vertAlign w:val="superscript"/>
          <w:rtl/>
        </w:rPr>
        <w:footnoteReference w:id="1"/>
      </w:r>
      <w:r w:rsidRPr="00F5450F">
        <w:rPr>
          <w:rFonts w:eastAsia="Calibri"/>
          <w:rtl/>
        </w:rPr>
        <w:t xml:space="preserve"> </w:t>
      </w:r>
      <w:r w:rsidR="00385ABA" w:rsidRPr="00385ABA">
        <w:rPr>
          <w:rFonts w:eastAsia="Calibri"/>
          <w:rtl/>
        </w:rPr>
        <w:t>התוצר צמח להערכתנו ב-</w:t>
      </w:r>
      <w:r w:rsidR="00385ABA">
        <w:rPr>
          <w:rFonts w:eastAsia="Calibri" w:hint="cs"/>
          <w:rtl/>
        </w:rPr>
        <w:t>2.8</w:t>
      </w:r>
      <w:r w:rsidR="00385ABA" w:rsidRPr="00385ABA">
        <w:rPr>
          <w:rFonts w:eastAsia="Calibri"/>
          <w:rtl/>
        </w:rPr>
        <w:t>%</w:t>
      </w:r>
      <w:r w:rsidR="009301A3">
        <w:rPr>
          <w:rFonts w:eastAsia="Calibri" w:hint="cs"/>
          <w:rtl/>
        </w:rPr>
        <w:t xml:space="preserve"> </w:t>
      </w:r>
      <w:r w:rsidR="00385ABA" w:rsidRPr="00385ABA">
        <w:rPr>
          <w:rFonts w:eastAsia="Calibri"/>
          <w:rtl/>
        </w:rPr>
        <w:t>בשנת 202</w:t>
      </w:r>
      <w:r w:rsidR="00385ABA">
        <w:rPr>
          <w:rFonts w:eastAsia="Calibri" w:hint="cs"/>
          <w:rtl/>
        </w:rPr>
        <w:t>5, ו</w:t>
      </w:r>
      <w:r w:rsidRPr="00F5450F">
        <w:rPr>
          <w:rFonts w:eastAsia="Calibri"/>
          <w:rtl/>
        </w:rPr>
        <w:t>צפוי לצמוח בשנת 20</w:t>
      </w:r>
      <w:r w:rsidRPr="002F449F">
        <w:rPr>
          <w:rFonts w:eastAsia="Calibri"/>
          <w:rtl/>
        </w:rPr>
        <w:t>2</w:t>
      </w:r>
      <w:r w:rsidR="002728C0">
        <w:rPr>
          <w:rFonts w:eastAsia="Calibri" w:hint="cs"/>
          <w:rtl/>
        </w:rPr>
        <w:t>6</w:t>
      </w:r>
      <w:r w:rsidRPr="002F449F">
        <w:rPr>
          <w:rFonts w:eastAsia="Calibri"/>
          <w:rtl/>
        </w:rPr>
        <w:t xml:space="preserve"> ב-</w:t>
      </w:r>
      <w:r w:rsidR="002728C0">
        <w:rPr>
          <w:rFonts w:eastAsia="Calibri" w:hint="cs"/>
          <w:rtl/>
        </w:rPr>
        <w:t>5.2</w:t>
      </w:r>
      <w:r w:rsidRPr="002F449F">
        <w:rPr>
          <w:rFonts w:eastAsia="Calibri"/>
          <w:rtl/>
        </w:rPr>
        <w:t>% וב-202</w:t>
      </w:r>
      <w:r w:rsidR="002728C0">
        <w:rPr>
          <w:rFonts w:eastAsia="Calibri" w:hint="cs"/>
          <w:rtl/>
        </w:rPr>
        <w:t>7</w:t>
      </w:r>
      <w:r w:rsidRPr="002F449F">
        <w:rPr>
          <w:rFonts w:eastAsia="Calibri"/>
          <w:rtl/>
        </w:rPr>
        <w:t xml:space="preserve"> ב-4.</w:t>
      </w:r>
      <w:r>
        <w:rPr>
          <w:rFonts w:eastAsia="Calibri" w:hint="cs"/>
          <w:rtl/>
        </w:rPr>
        <w:t>3</w:t>
      </w:r>
      <w:r w:rsidRPr="002F449F">
        <w:rPr>
          <w:rFonts w:eastAsia="Calibri"/>
          <w:rtl/>
        </w:rPr>
        <w:t>%. שיעור</w:t>
      </w:r>
      <w:r w:rsidRPr="00F5450F">
        <w:rPr>
          <w:rFonts w:eastAsia="Calibri"/>
          <w:rtl/>
        </w:rPr>
        <w:t xml:space="preserve"> האינפלציה בארבעת הרבעונים הקרובים (המסתיימים ברבעון ה</w:t>
      </w:r>
      <w:r w:rsidR="002728C0">
        <w:rPr>
          <w:rFonts w:eastAsia="Calibri" w:hint="cs"/>
          <w:rtl/>
        </w:rPr>
        <w:t>רביעי</w:t>
      </w:r>
      <w:r>
        <w:rPr>
          <w:rFonts w:eastAsia="Calibri" w:hint="cs"/>
          <w:rtl/>
        </w:rPr>
        <w:t xml:space="preserve"> </w:t>
      </w:r>
      <w:r w:rsidRPr="00F5450F">
        <w:rPr>
          <w:rFonts w:eastAsia="Calibri"/>
          <w:rtl/>
        </w:rPr>
        <w:t xml:space="preserve">של שנת 2026) צפוי </w:t>
      </w:r>
      <w:r w:rsidRPr="002F449F">
        <w:rPr>
          <w:rFonts w:eastAsia="Calibri"/>
          <w:rtl/>
        </w:rPr>
        <w:t xml:space="preserve">לעמוד על </w:t>
      </w:r>
      <w:r w:rsidR="002728C0">
        <w:rPr>
          <w:rFonts w:eastAsia="Calibri" w:hint="cs"/>
          <w:rtl/>
        </w:rPr>
        <w:t>1.</w:t>
      </w:r>
      <w:r>
        <w:rPr>
          <w:rFonts w:eastAsia="Calibri" w:hint="cs"/>
          <w:rtl/>
        </w:rPr>
        <w:t>7</w:t>
      </w:r>
      <w:r w:rsidR="00385ABA">
        <w:rPr>
          <w:rFonts w:eastAsia="Calibri"/>
          <w:rtl/>
        </w:rPr>
        <w:t>%</w:t>
      </w:r>
      <w:r w:rsidR="00385ABA">
        <w:rPr>
          <w:rFonts w:eastAsia="Calibri" w:hint="cs"/>
          <w:rtl/>
        </w:rPr>
        <w:t>,</w:t>
      </w:r>
      <w:r w:rsidRPr="002F449F">
        <w:rPr>
          <w:rFonts w:eastAsia="Calibri"/>
          <w:rtl/>
        </w:rPr>
        <w:t xml:space="preserve"> </w:t>
      </w:r>
      <w:r w:rsidR="00385ABA">
        <w:rPr>
          <w:rFonts w:eastAsia="Calibri" w:hint="cs"/>
          <w:rtl/>
        </w:rPr>
        <w:t>ו</w:t>
      </w:r>
      <w:r w:rsidRPr="002F449F">
        <w:rPr>
          <w:rFonts w:eastAsia="Calibri"/>
          <w:rtl/>
        </w:rPr>
        <w:t xml:space="preserve">במהלך </w:t>
      </w:r>
      <w:r w:rsidRPr="00F5450F">
        <w:rPr>
          <w:rFonts w:eastAsia="Calibri"/>
          <w:rtl/>
        </w:rPr>
        <w:t>שנת 202</w:t>
      </w:r>
      <w:r w:rsidR="002728C0">
        <w:rPr>
          <w:rFonts w:eastAsia="Calibri" w:hint="cs"/>
          <w:rtl/>
        </w:rPr>
        <w:t>7</w:t>
      </w:r>
      <w:r w:rsidRPr="00F5450F">
        <w:rPr>
          <w:rFonts w:eastAsia="Calibri"/>
          <w:rtl/>
        </w:rPr>
        <w:t xml:space="preserve"> הוא צפוי </w:t>
      </w:r>
      <w:r w:rsidRPr="002F449F">
        <w:rPr>
          <w:rFonts w:eastAsia="Calibri"/>
          <w:rtl/>
        </w:rPr>
        <w:t xml:space="preserve">לעמוד על </w:t>
      </w:r>
      <w:r w:rsidR="002728C0">
        <w:rPr>
          <w:rFonts w:eastAsia="Calibri" w:hint="cs"/>
          <w:rtl/>
        </w:rPr>
        <w:t>2</w:t>
      </w:r>
      <w:r>
        <w:rPr>
          <w:rFonts w:eastAsia="Calibri" w:hint="cs"/>
          <w:rtl/>
        </w:rPr>
        <w:t>.0%</w:t>
      </w:r>
      <w:r w:rsidRPr="002F449F">
        <w:rPr>
          <w:rFonts w:eastAsia="Calibri"/>
          <w:rtl/>
        </w:rPr>
        <w:t xml:space="preserve">. הריבית </w:t>
      </w:r>
      <w:r w:rsidRPr="002F449F">
        <w:rPr>
          <w:rFonts w:eastAsia="Calibri" w:hint="cs"/>
          <w:rtl/>
        </w:rPr>
        <w:t xml:space="preserve">הממוצעת </w:t>
      </w:r>
      <w:r w:rsidRPr="002F449F">
        <w:rPr>
          <w:rFonts w:eastAsia="Calibri"/>
          <w:rtl/>
        </w:rPr>
        <w:t xml:space="preserve">ברבעון </w:t>
      </w:r>
      <w:r w:rsidRPr="002F449F">
        <w:rPr>
          <w:rFonts w:eastAsia="Calibri" w:hint="cs"/>
          <w:rtl/>
        </w:rPr>
        <w:t>ה</w:t>
      </w:r>
      <w:r w:rsidR="002728C0">
        <w:rPr>
          <w:rFonts w:eastAsia="Calibri" w:hint="cs"/>
          <w:rtl/>
        </w:rPr>
        <w:t>רביעי</w:t>
      </w:r>
      <w:r w:rsidRPr="002F449F">
        <w:rPr>
          <w:rFonts w:eastAsia="Calibri" w:hint="cs"/>
          <w:rtl/>
        </w:rPr>
        <w:t xml:space="preserve"> </w:t>
      </w:r>
      <w:r w:rsidRPr="002F449F">
        <w:rPr>
          <w:rFonts w:eastAsia="Calibri"/>
          <w:rtl/>
        </w:rPr>
        <w:t xml:space="preserve">של 2026 צפויה לעמוד על </w:t>
      </w:r>
      <w:r w:rsidRPr="002F449F">
        <w:rPr>
          <w:rFonts w:eastAsia="Calibri" w:hint="cs"/>
          <w:rtl/>
        </w:rPr>
        <w:t>3</w:t>
      </w:r>
      <w:r w:rsidRPr="002F449F">
        <w:rPr>
          <w:rFonts w:eastAsia="Calibri"/>
          <w:rtl/>
        </w:rPr>
        <w:t>.</w:t>
      </w:r>
      <w:r>
        <w:rPr>
          <w:rFonts w:eastAsia="Calibri" w:hint="cs"/>
          <w:rtl/>
        </w:rPr>
        <w:t>5</w:t>
      </w:r>
      <w:r w:rsidRPr="002F449F">
        <w:rPr>
          <w:rFonts w:eastAsia="Calibri"/>
          <w:rtl/>
        </w:rPr>
        <w:t>%.</w:t>
      </w:r>
      <w:r w:rsidRPr="00C730D0">
        <w:rPr>
          <w:rtl/>
        </w:rPr>
        <w:t xml:space="preserve"> בשנת 2027, הגירעון </w:t>
      </w:r>
      <w:r w:rsidR="007D0CB0">
        <w:rPr>
          <w:rFonts w:hint="cs"/>
          <w:rtl/>
        </w:rPr>
        <w:t xml:space="preserve">צפוי לרדת </w:t>
      </w:r>
      <w:r w:rsidRPr="00C730D0">
        <w:rPr>
          <w:rtl/>
        </w:rPr>
        <w:t xml:space="preserve">ל-3.6 אחוזי תוצר ויחס </w:t>
      </w:r>
      <w:r w:rsidR="00EC0A7C">
        <w:rPr>
          <w:rFonts w:hint="cs"/>
          <w:rtl/>
        </w:rPr>
        <w:t>ה</w:t>
      </w:r>
      <w:r w:rsidRPr="00C730D0">
        <w:rPr>
          <w:rtl/>
        </w:rPr>
        <w:t>חוב</w:t>
      </w:r>
      <w:r w:rsidR="00EC0A7C">
        <w:rPr>
          <w:rFonts w:hint="cs"/>
          <w:rtl/>
        </w:rPr>
        <w:t xml:space="preserve"> ל</w:t>
      </w:r>
      <w:r w:rsidRPr="00C730D0">
        <w:rPr>
          <w:rtl/>
        </w:rPr>
        <w:t xml:space="preserve">תוצר </w:t>
      </w:r>
      <w:r w:rsidR="007D0CB0">
        <w:rPr>
          <w:rFonts w:hint="cs"/>
          <w:rtl/>
        </w:rPr>
        <w:t>צפוי לעמוד על</w:t>
      </w:r>
      <w:r w:rsidRPr="00C730D0">
        <w:rPr>
          <w:rtl/>
        </w:rPr>
        <w:t xml:space="preserve"> </w:t>
      </w:r>
      <w:r w:rsidR="002E588C">
        <w:rPr>
          <w:rFonts w:hint="cs"/>
          <w:rtl/>
        </w:rPr>
        <w:t>68</w:t>
      </w:r>
      <w:r w:rsidR="00221CF0">
        <w:rPr>
          <w:rFonts w:hint="cs"/>
          <w:rtl/>
        </w:rPr>
        <w:t>.5</w:t>
      </w:r>
      <w:r w:rsidRPr="00C730D0">
        <w:rPr>
          <w:rtl/>
        </w:rPr>
        <w:t>%.</w:t>
      </w:r>
    </w:p>
    <w:p w14:paraId="0C12F24A" w14:textId="0194AB19" w:rsidR="00FC7FEF" w:rsidRDefault="001C161C" w:rsidP="00540AC8">
      <w:pPr>
        <w:tabs>
          <w:tab w:val="num" w:pos="720"/>
        </w:tabs>
        <w:spacing w:after="120"/>
        <w:jc w:val="both"/>
        <w:rPr>
          <w:rtl/>
        </w:rPr>
      </w:pPr>
      <w:r>
        <w:rPr>
          <w:rtl/>
        </w:rPr>
        <w:t>התחזית גובשה לאחר הפסקת האש באוקטובר 2025, על רקע משק המאופיין בעודפי ביקוש ובשוק עבודה הדוק. הקדמת הפסקת האש</w:t>
      </w:r>
      <w:r w:rsidR="002A03DF">
        <w:rPr>
          <w:rFonts w:hint="cs"/>
          <w:rtl/>
        </w:rPr>
        <w:t>,</w:t>
      </w:r>
      <w:r>
        <w:rPr>
          <w:rtl/>
        </w:rPr>
        <w:t xml:space="preserve"> </w:t>
      </w:r>
      <w:r w:rsidR="002A03DF">
        <w:rPr>
          <w:rFonts w:hint="cs"/>
          <w:rtl/>
        </w:rPr>
        <w:t>ביחס להנחה בתחזית שפורסמה בספטמבר 2025,</w:t>
      </w:r>
      <w:r w:rsidR="002A03DF">
        <w:rPr>
          <w:rtl/>
        </w:rPr>
        <w:t xml:space="preserve"> </w:t>
      </w:r>
      <w:r w:rsidR="007D0CB0">
        <w:rPr>
          <w:rFonts w:hint="cs"/>
          <w:rtl/>
        </w:rPr>
        <w:t>הביאה להקדמת</w:t>
      </w:r>
      <w:r w:rsidR="00E721F4">
        <w:rPr>
          <w:rFonts w:hint="cs"/>
          <w:rtl/>
        </w:rPr>
        <w:t xml:space="preserve"> ההקלה</w:t>
      </w:r>
      <w:r>
        <w:rPr>
          <w:rtl/>
        </w:rPr>
        <w:t xml:space="preserve"> </w:t>
      </w:r>
      <w:r w:rsidR="00E721F4">
        <w:rPr>
          <w:rFonts w:hint="cs"/>
          <w:rtl/>
        </w:rPr>
        <w:t>ב</w:t>
      </w:r>
      <w:r>
        <w:rPr>
          <w:rtl/>
        </w:rPr>
        <w:t xml:space="preserve">מגבלות ההיצע, בעיקר הודות לשחרור אנשי מילואים וחזרתם לתעסוקה במגזר העסקי. </w:t>
      </w:r>
      <w:r w:rsidR="00EC0A7C">
        <w:rPr>
          <w:rFonts w:hint="cs"/>
          <w:rtl/>
        </w:rPr>
        <w:t xml:space="preserve">התחזית מתבססת על ההנחה שתימשך הרגיעה היחסית בחזיתות השונות. </w:t>
      </w:r>
      <w:r>
        <w:rPr>
          <w:rtl/>
        </w:rPr>
        <w:t xml:space="preserve">עם זאת, אנו מעריכים כי </w:t>
      </w:r>
      <w:r w:rsidR="002A03DF">
        <w:rPr>
          <w:rFonts w:hint="cs"/>
          <w:rtl/>
        </w:rPr>
        <w:t xml:space="preserve">עדיין קיימות </w:t>
      </w:r>
      <w:r w:rsidR="0046206C">
        <w:rPr>
          <w:rtl/>
        </w:rPr>
        <w:t>מגבלות היצע</w:t>
      </w:r>
      <w:r w:rsidR="002A03DF">
        <w:rPr>
          <w:rFonts w:hint="cs"/>
          <w:rtl/>
        </w:rPr>
        <w:t>,</w:t>
      </w:r>
      <w:r w:rsidR="0046206C">
        <w:rPr>
          <w:rtl/>
        </w:rPr>
        <w:t xml:space="preserve"> </w:t>
      </w:r>
      <w:r w:rsidR="002A03DF">
        <w:rPr>
          <w:rFonts w:hint="cs"/>
          <w:rtl/>
        </w:rPr>
        <w:t xml:space="preserve">והן </w:t>
      </w:r>
      <w:r w:rsidR="009301A3">
        <w:rPr>
          <w:rtl/>
        </w:rPr>
        <w:t>י</w:t>
      </w:r>
      <w:r w:rsidR="009301A3">
        <w:rPr>
          <w:rFonts w:hint="cs"/>
          <w:rtl/>
        </w:rPr>
        <w:t>וקלו</w:t>
      </w:r>
      <w:r w:rsidR="009301A3">
        <w:rPr>
          <w:rtl/>
        </w:rPr>
        <w:t xml:space="preserve"> </w:t>
      </w:r>
      <w:r w:rsidR="0046206C">
        <w:rPr>
          <w:rtl/>
        </w:rPr>
        <w:t>בהדרגה בלבד</w:t>
      </w:r>
      <w:r w:rsidR="009301A3">
        <w:rPr>
          <w:rFonts w:hint="cs"/>
          <w:rtl/>
        </w:rPr>
        <w:t>, בזכות המשך עלייה הדרגתית בשיעור ההשתתפות של צעירים לאחר שירות צבאי והמשך עלייה במספר העובדים הזרים</w:t>
      </w:r>
      <w:r w:rsidR="002A03DF">
        <w:rPr>
          <w:rFonts w:hint="cs"/>
          <w:rtl/>
        </w:rPr>
        <w:t>.</w:t>
      </w:r>
      <w:r w:rsidR="009301A3">
        <w:rPr>
          <w:rFonts w:hint="cs"/>
          <w:rtl/>
        </w:rPr>
        <w:t xml:space="preserve"> ואולם, גם בקצה אופק התחזית בסוף 2027</w:t>
      </w:r>
      <w:r>
        <w:rPr>
          <w:rtl/>
        </w:rPr>
        <w:t xml:space="preserve"> </w:t>
      </w:r>
      <w:r w:rsidR="00C730D0" w:rsidRPr="00C730D0">
        <w:rPr>
          <w:rtl/>
        </w:rPr>
        <w:t xml:space="preserve">מספר העובדים </w:t>
      </w:r>
      <w:r w:rsidR="009301A3">
        <w:rPr>
          <w:rFonts w:hint="cs"/>
          <w:rtl/>
        </w:rPr>
        <w:t xml:space="preserve">צפוי להישאר </w:t>
      </w:r>
      <w:r w:rsidR="00C730D0" w:rsidRPr="00C730D0">
        <w:rPr>
          <w:rtl/>
        </w:rPr>
        <w:t>נמוך ביחס ל</w:t>
      </w:r>
      <w:r w:rsidR="009301A3">
        <w:rPr>
          <w:rFonts w:hint="cs"/>
          <w:rtl/>
        </w:rPr>
        <w:t>רמה הנגזרת מ</w:t>
      </w:r>
      <w:r w:rsidR="00C730D0" w:rsidRPr="00C730D0">
        <w:rPr>
          <w:rtl/>
        </w:rPr>
        <w:t>מגמ</w:t>
      </w:r>
      <w:r w:rsidR="009301A3">
        <w:rPr>
          <w:rFonts w:hint="cs"/>
          <w:rtl/>
        </w:rPr>
        <w:t>ת</w:t>
      </w:r>
      <w:r w:rsidR="00C730D0" w:rsidRPr="00C730D0">
        <w:rPr>
          <w:rtl/>
        </w:rPr>
        <w:t xml:space="preserve"> טרום</w:t>
      </w:r>
      <w:r w:rsidR="0046206C">
        <w:rPr>
          <w:rFonts w:hint="cs"/>
          <w:rtl/>
        </w:rPr>
        <w:t>-</w:t>
      </w:r>
      <w:r w:rsidR="00C730D0" w:rsidRPr="00C730D0">
        <w:rPr>
          <w:rtl/>
        </w:rPr>
        <w:t xml:space="preserve">המלחמה, </w:t>
      </w:r>
      <w:r>
        <w:rPr>
          <w:rtl/>
        </w:rPr>
        <w:t>בשל היקף מילואים גבוה מ</w:t>
      </w:r>
      <w:r w:rsidR="00540AC8">
        <w:rPr>
          <w:rFonts w:hint="cs"/>
          <w:rtl/>
        </w:rPr>
        <w:t xml:space="preserve">אשר </w:t>
      </w:r>
      <w:r>
        <w:rPr>
          <w:rtl/>
        </w:rPr>
        <w:t xml:space="preserve">בעבר, </w:t>
      </w:r>
      <w:r w:rsidR="009301A3">
        <w:rPr>
          <w:rFonts w:hint="cs"/>
          <w:rtl/>
        </w:rPr>
        <w:t>חלק מ</w:t>
      </w:r>
      <w:r>
        <w:rPr>
          <w:rFonts w:hint="cs"/>
          <w:rtl/>
        </w:rPr>
        <w:t>נ</w:t>
      </w:r>
      <w:r>
        <w:rPr>
          <w:rtl/>
        </w:rPr>
        <w:t>פגע</w:t>
      </w:r>
      <w:r>
        <w:rPr>
          <w:rFonts w:hint="cs"/>
          <w:rtl/>
        </w:rPr>
        <w:t>י מ</w:t>
      </w:r>
      <w:r>
        <w:rPr>
          <w:rtl/>
        </w:rPr>
        <w:t>לחמה</w:t>
      </w:r>
      <w:r w:rsidR="009301A3">
        <w:rPr>
          <w:rFonts w:hint="cs"/>
          <w:rtl/>
        </w:rPr>
        <w:t xml:space="preserve"> שיישארו מחוץ לשוק העבודה</w:t>
      </w:r>
      <w:r>
        <w:rPr>
          <w:rtl/>
        </w:rPr>
        <w:t xml:space="preserve"> ומאזן הגירה שלילי.</w:t>
      </w:r>
      <w:r w:rsidR="0046206C">
        <w:rPr>
          <w:rFonts w:hint="cs"/>
          <w:rtl/>
        </w:rPr>
        <w:t xml:space="preserve"> </w:t>
      </w:r>
      <w:r w:rsidR="00AC1701">
        <w:rPr>
          <w:rFonts w:hint="cs"/>
          <w:rtl/>
        </w:rPr>
        <w:t>הפסקת האש ו</w:t>
      </w:r>
      <w:r>
        <w:rPr>
          <w:rtl/>
        </w:rPr>
        <w:t>צמצום אי-הוודאות</w:t>
      </w:r>
      <w:r w:rsidR="009F0EDD">
        <w:rPr>
          <w:rFonts w:hint="cs"/>
          <w:rtl/>
        </w:rPr>
        <w:t xml:space="preserve"> הגיאופוליטית</w:t>
      </w:r>
      <w:r>
        <w:rPr>
          <w:rtl/>
        </w:rPr>
        <w:t xml:space="preserve"> </w:t>
      </w:r>
      <w:r w:rsidR="0046206C">
        <w:rPr>
          <w:rtl/>
        </w:rPr>
        <w:t>תומכים בהתרחבות של הפעילות, ללא סימנים לעודפי ביקוש חריגים.</w:t>
      </w:r>
      <w:r>
        <w:rPr>
          <w:rFonts w:hint="cs"/>
          <w:rtl/>
        </w:rPr>
        <w:t xml:space="preserve"> </w:t>
      </w:r>
      <w:r>
        <w:rPr>
          <w:rtl/>
        </w:rPr>
        <w:t xml:space="preserve">ההשקעות צפויות לצמוח במהירות </w:t>
      </w:r>
      <w:r w:rsidR="00540AC8">
        <w:rPr>
          <w:rFonts w:hint="cs"/>
          <w:rtl/>
        </w:rPr>
        <w:t>כמענה</w:t>
      </w:r>
      <w:r w:rsidR="00293EE8">
        <w:rPr>
          <w:rFonts w:hint="cs"/>
          <w:rtl/>
        </w:rPr>
        <w:t xml:space="preserve"> ל</w:t>
      </w:r>
      <w:r w:rsidR="00C70A7F">
        <w:rPr>
          <w:rtl/>
        </w:rPr>
        <w:t xml:space="preserve">מחסור בכוח </w:t>
      </w:r>
      <w:r w:rsidR="00C70A7F">
        <w:rPr>
          <w:rFonts w:hint="cs"/>
          <w:rtl/>
        </w:rPr>
        <w:t>ה</w:t>
      </w:r>
      <w:r w:rsidR="00C70A7F">
        <w:rPr>
          <w:rtl/>
        </w:rPr>
        <w:t>אדם</w:t>
      </w:r>
      <w:r w:rsidR="00482725">
        <w:rPr>
          <w:rFonts w:hint="cs"/>
          <w:rtl/>
        </w:rPr>
        <w:t>, תוך פיצוי מסוים על השנים בה</w:t>
      </w:r>
      <w:r w:rsidR="00540AC8">
        <w:rPr>
          <w:rFonts w:hint="cs"/>
          <w:rtl/>
        </w:rPr>
        <w:t>ן</w:t>
      </w:r>
      <w:r w:rsidR="00482725">
        <w:rPr>
          <w:rFonts w:hint="cs"/>
          <w:rtl/>
        </w:rPr>
        <w:t xml:space="preserve"> ההשקעה התמתנה</w:t>
      </w:r>
      <w:r w:rsidRPr="00D736AB">
        <w:rPr>
          <w:rtl/>
        </w:rPr>
        <w:t>.</w:t>
      </w:r>
      <w:r>
        <w:rPr>
          <w:rtl/>
        </w:rPr>
        <w:t xml:space="preserve"> </w:t>
      </w:r>
      <w:r w:rsidRPr="00CD14AB">
        <w:rPr>
          <w:rtl/>
        </w:rPr>
        <w:t xml:space="preserve">היבוא </w:t>
      </w:r>
      <w:r w:rsidR="009301A3">
        <w:rPr>
          <w:rFonts w:hint="cs"/>
          <w:rtl/>
        </w:rPr>
        <w:t xml:space="preserve">והיצוא </w:t>
      </w:r>
      <w:r>
        <w:rPr>
          <w:rFonts w:hint="cs"/>
          <w:rtl/>
        </w:rPr>
        <w:t>צפוי</w:t>
      </w:r>
      <w:r w:rsidR="009301A3">
        <w:rPr>
          <w:rFonts w:hint="cs"/>
          <w:rtl/>
        </w:rPr>
        <w:t>ים לה</w:t>
      </w:r>
      <w:r w:rsidRPr="00CD14AB">
        <w:rPr>
          <w:rtl/>
        </w:rPr>
        <w:t>תרחב</w:t>
      </w:r>
      <w:r w:rsidR="009301A3">
        <w:rPr>
          <w:rFonts w:hint="cs"/>
          <w:rtl/>
        </w:rPr>
        <w:t xml:space="preserve"> במהירות יחסית לקצב צמיחת התוצר</w:t>
      </w:r>
      <w:r w:rsidR="002812C8">
        <w:rPr>
          <w:rFonts w:hint="cs"/>
          <w:rtl/>
        </w:rPr>
        <w:t>,</w:t>
      </w:r>
      <w:r w:rsidR="009301A3">
        <w:rPr>
          <w:rFonts w:hint="cs"/>
          <w:rtl/>
        </w:rPr>
        <w:t xml:space="preserve"> </w:t>
      </w:r>
      <w:r w:rsidR="00EC0A7C">
        <w:rPr>
          <w:rFonts w:hint="cs"/>
          <w:rtl/>
        </w:rPr>
        <w:t>ו</w:t>
      </w:r>
      <w:r w:rsidR="009301A3">
        <w:rPr>
          <w:rFonts w:hint="cs"/>
          <w:rtl/>
        </w:rPr>
        <w:t>להערכתנו הירידה בעודף היצוא שנצפתה במהלך 2025 תתמתן בזכות ההקלה במגבלות ההיצע.</w:t>
      </w:r>
      <w:r>
        <w:rPr>
          <w:rFonts w:hint="cs"/>
          <w:rtl/>
        </w:rPr>
        <w:t xml:space="preserve"> </w:t>
      </w:r>
    </w:p>
    <w:p w14:paraId="4DE5CB36" w14:textId="774B7DBF" w:rsidR="00000003" w:rsidRDefault="001C161C" w:rsidP="00D736AB">
      <w:pPr>
        <w:tabs>
          <w:tab w:val="num" w:pos="720"/>
        </w:tabs>
        <w:spacing w:after="120"/>
        <w:jc w:val="both"/>
        <w:rPr>
          <w:rtl/>
        </w:rPr>
      </w:pPr>
      <w:r>
        <w:rPr>
          <w:rFonts w:hint="cs"/>
          <w:rtl/>
        </w:rPr>
        <w:t>ההקלה</w:t>
      </w:r>
      <w:r>
        <w:rPr>
          <w:rtl/>
        </w:rPr>
        <w:t xml:space="preserve"> </w:t>
      </w:r>
      <w:r>
        <w:rPr>
          <w:rFonts w:hint="cs"/>
          <w:rtl/>
        </w:rPr>
        <w:t>ב</w:t>
      </w:r>
      <w:r>
        <w:rPr>
          <w:rtl/>
        </w:rPr>
        <w:t>מגבלות ההיצע</w:t>
      </w:r>
      <w:r>
        <w:rPr>
          <w:rFonts w:hint="cs"/>
          <w:rtl/>
        </w:rPr>
        <w:t>, ה</w:t>
      </w:r>
      <w:r>
        <w:rPr>
          <w:rtl/>
        </w:rPr>
        <w:t xml:space="preserve">ירידה </w:t>
      </w:r>
      <w:r w:rsidR="000D3AC7">
        <w:rPr>
          <w:rFonts w:hint="cs"/>
          <w:rtl/>
        </w:rPr>
        <w:t>בהוצאות הביטחון ו</w:t>
      </w:r>
      <w:r>
        <w:rPr>
          <w:rtl/>
        </w:rPr>
        <w:t>בפרמיית הסיכון של ישראל</w:t>
      </w:r>
      <w:r w:rsidR="000D3AC7">
        <w:rPr>
          <w:rFonts w:hint="cs"/>
          <w:rtl/>
        </w:rPr>
        <w:t>,</w:t>
      </w:r>
      <w:r>
        <w:rPr>
          <w:rtl/>
        </w:rPr>
        <w:t xml:space="preserve"> וייסוף השקל </w:t>
      </w:r>
      <w:r w:rsidR="002A03DF">
        <w:rPr>
          <w:rFonts w:hint="cs"/>
          <w:rtl/>
        </w:rPr>
        <w:t>תורמים להתמתנות</w:t>
      </w:r>
      <w:r>
        <w:rPr>
          <w:rtl/>
        </w:rPr>
        <w:t xml:space="preserve"> סביבת האינפלציה</w:t>
      </w:r>
      <w:r>
        <w:rPr>
          <w:rFonts w:hint="cs"/>
          <w:rtl/>
        </w:rPr>
        <w:t>,</w:t>
      </w:r>
      <w:r w:rsidR="0093069C">
        <w:rPr>
          <w:rFonts w:hint="cs"/>
          <w:rtl/>
        </w:rPr>
        <w:t xml:space="preserve"> אשר </w:t>
      </w:r>
      <w:r w:rsidR="001F7E3D">
        <w:rPr>
          <w:rFonts w:hint="cs"/>
          <w:rtl/>
        </w:rPr>
        <w:t>צפויה לה</w:t>
      </w:r>
      <w:r w:rsidR="0093069C" w:rsidRPr="00C730D0">
        <w:rPr>
          <w:rtl/>
        </w:rPr>
        <w:t>תבסס ב</w:t>
      </w:r>
      <w:r w:rsidR="001F7E3D">
        <w:rPr>
          <w:rFonts w:hint="cs"/>
          <w:rtl/>
        </w:rPr>
        <w:t xml:space="preserve">סביבת </w:t>
      </w:r>
      <w:r w:rsidR="0093069C" w:rsidRPr="00C730D0">
        <w:rPr>
          <w:rtl/>
        </w:rPr>
        <w:t>מרכז תחום היעד,</w:t>
      </w:r>
      <w:r w:rsidR="0093069C">
        <w:rPr>
          <w:rFonts w:hint="cs"/>
          <w:rtl/>
        </w:rPr>
        <w:t xml:space="preserve"> </w:t>
      </w:r>
      <w:r>
        <w:rPr>
          <w:rtl/>
        </w:rPr>
        <w:t>ותומכים בתהליך הורדת הריבית שהחל בנובמבר</w:t>
      </w:r>
      <w:r w:rsidR="002A03DF">
        <w:rPr>
          <w:rFonts w:hint="cs"/>
          <w:rtl/>
        </w:rPr>
        <w:t xml:space="preserve"> 2025</w:t>
      </w:r>
      <w:r w:rsidR="002A03DF">
        <w:rPr>
          <w:rtl/>
        </w:rPr>
        <w:t>.</w:t>
      </w:r>
    </w:p>
    <w:p w14:paraId="03B1B7A7" w14:textId="77777777" w:rsidR="0096452E" w:rsidRPr="00202530" w:rsidRDefault="001C161C" w:rsidP="0096452E">
      <w:pPr>
        <w:pStyle w:val="11"/>
        <w:spacing w:line="276" w:lineRule="auto"/>
        <w:rPr>
          <w:rFonts w:ascii="Calibri" w:hAnsi="Calibri" w:cs="Calibri"/>
          <w:rtl/>
        </w:rPr>
      </w:pPr>
      <w:r w:rsidRPr="00202530">
        <w:rPr>
          <w:rFonts w:ascii="Calibri" w:hAnsi="Calibri" w:cs="Calibri"/>
          <w:rtl/>
        </w:rPr>
        <w:t>התחזית</w:t>
      </w:r>
    </w:p>
    <w:p w14:paraId="53DF3DC2" w14:textId="77777777" w:rsidR="0096452E" w:rsidRPr="00202530" w:rsidRDefault="001C161C" w:rsidP="0096452E">
      <w:pPr>
        <w:spacing w:after="120"/>
        <w:jc w:val="both"/>
        <w:rPr>
          <w:rFonts w:eastAsia="Calibri"/>
          <w:rtl/>
        </w:rPr>
      </w:pPr>
      <w:r w:rsidRPr="00202296">
        <w:rPr>
          <w:rFonts w:eastAsia="Calibri"/>
          <w:rtl/>
        </w:rPr>
        <w:t>חטיבת המחקר של בנק ישראל עורכת בכל רבעון תחזית מקרו-כלכלית שמתבססת על מספר מודלים, על מקורות מידע שונים ועל הערכות שיפוטיות. בתהליך זה יש תפקיד מרכזי למודל ה-</w:t>
      </w:r>
      <w:r w:rsidRPr="00202296">
        <w:rPr>
          <w:rFonts w:eastAsia="Calibri"/>
        </w:rPr>
        <w:t>DSGE (Dynamic Stochastic General Equilibrium)</w:t>
      </w:r>
      <w:r w:rsidRPr="00202296">
        <w:rPr>
          <w:rFonts w:eastAsia="Calibri"/>
          <w:rtl/>
        </w:rPr>
        <w:t xml:space="preserve"> שפותח בחטיבת המחקר – מודל מבני שמבוסס על יסודות מיקרו-כלכליים. המודל מספק מסגרת לניתוח הכוחות המשפיעים על </w:t>
      </w:r>
      <w:r>
        <w:rPr>
          <w:rFonts w:eastAsia="Calibri" w:hint="cs"/>
          <w:rtl/>
        </w:rPr>
        <w:t>המשק</w:t>
      </w:r>
      <w:r w:rsidRPr="00202296">
        <w:rPr>
          <w:rFonts w:eastAsia="Calibri"/>
          <w:rtl/>
        </w:rPr>
        <w:t xml:space="preserve"> והוא מאפשר לגבש את המידע מהמקורות השונים לכדי תחזית מקרו-כלכלית למשתנים ריאליים ונומינליים, המתאפיינת בעקביות פנימית ובסיפור כלכלי.</w:t>
      </w:r>
      <w:r w:rsidRPr="00202530">
        <w:rPr>
          <w:rFonts w:eastAsia="Calibri"/>
          <w:rtl/>
        </w:rPr>
        <w:t xml:space="preserve"> </w:t>
      </w:r>
    </w:p>
    <w:bookmarkEnd w:id="0"/>
    <w:p w14:paraId="36512F3E" w14:textId="77777777" w:rsidR="00AC1701" w:rsidRPr="002749A7" w:rsidRDefault="001C161C" w:rsidP="002749A7">
      <w:pPr>
        <w:pStyle w:val="a"/>
        <w:spacing w:line="276" w:lineRule="auto"/>
      </w:pPr>
      <w:r w:rsidRPr="00153AEE">
        <w:rPr>
          <w:rtl/>
        </w:rPr>
        <w:t>הסביבה העולמית</w:t>
      </w:r>
      <w:bookmarkStart w:id="1" w:name="_Hlk202427660"/>
    </w:p>
    <w:p w14:paraId="638E2959" w14:textId="77777777" w:rsidR="00D83BF3" w:rsidRPr="00373DA1" w:rsidRDefault="001C161C" w:rsidP="00382A08">
      <w:pPr>
        <w:tabs>
          <w:tab w:val="num" w:pos="720"/>
        </w:tabs>
        <w:spacing w:after="360"/>
        <w:jc w:val="both"/>
        <w:rPr>
          <w:rFonts w:eastAsia="Calibri"/>
          <w:color w:val="000000" w:themeColor="text1"/>
          <w:rtl/>
        </w:rPr>
      </w:pPr>
      <w:r w:rsidRPr="00FE6161">
        <w:rPr>
          <w:rFonts w:eastAsia="Calibri"/>
          <w:rtl/>
        </w:rPr>
        <w:t>הערכותינו לגבי ההתפתחויות בסביבה העולמית מתבססות על התחזיות שמגבשים מוסדות בין-לאומיים ובתי השקעות זרים</w:t>
      </w:r>
      <w:r w:rsidRPr="00FE6161">
        <w:rPr>
          <w:rFonts w:eastAsia="Calibri"/>
          <w:color w:val="000000" w:themeColor="text1"/>
          <w:rtl/>
        </w:rPr>
        <w:t xml:space="preserve">. </w:t>
      </w:r>
      <w:r w:rsidRPr="00FE6161">
        <w:rPr>
          <w:rFonts w:eastAsia="Calibri"/>
          <w:rtl/>
        </w:rPr>
        <w:t xml:space="preserve">בהתאם, אנו מניחים כי </w:t>
      </w:r>
      <w:r>
        <w:rPr>
          <w:rFonts w:eastAsia="Calibri" w:hint="cs"/>
          <w:rtl/>
        </w:rPr>
        <w:t>התוצר של המדינות</w:t>
      </w:r>
      <w:r w:rsidRPr="00FE6161">
        <w:rPr>
          <w:rFonts w:eastAsia="Calibri"/>
          <w:rtl/>
        </w:rPr>
        <w:t xml:space="preserve"> המפותחות יצמח בשיעור של 1.</w:t>
      </w:r>
      <w:r w:rsidR="002749A7">
        <w:rPr>
          <w:rFonts w:eastAsia="Calibri" w:hint="cs"/>
          <w:rtl/>
        </w:rPr>
        <w:t>5</w:t>
      </w:r>
      <w:r w:rsidRPr="00FE6161">
        <w:rPr>
          <w:rFonts w:eastAsia="Calibri"/>
          <w:rtl/>
        </w:rPr>
        <w:t xml:space="preserve">% </w:t>
      </w:r>
      <w:r>
        <w:rPr>
          <w:rFonts w:eastAsia="Calibri"/>
          <w:rtl/>
        </w:rPr>
        <w:t>ב</w:t>
      </w:r>
      <w:r w:rsidR="00A86F05">
        <w:rPr>
          <w:rFonts w:eastAsia="Calibri" w:hint="cs"/>
          <w:rtl/>
        </w:rPr>
        <w:t xml:space="preserve">שנת </w:t>
      </w:r>
      <w:r>
        <w:rPr>
          <w:rFonts w:eastAsia="Calibri"/>
          <w:rtl/>
        </w:rPr>
        <w:t>2026</w:t>
      </w:r>
      <w:r>
        <w:rPr>
          <w:rFonts w:eastAsia="Calibri" w:hint="cs"/>
          <w:rtl/>
        </w:rPr>
        <w:t xml:space="preserve">, </w:t>
      </w:r>
      <w:r w:rsidR="00373DA1">
        <w:rPr>
          <w:rFonts w:eastAsia="Calibri" w:hint="cs"/>
          <w:rtl/>
        </w:rPr>
        <w:t>ובשיעור של 1.6% בשנת 2027</w:t>
      </w:r>
      <w:r w:rsidR="002749A7">
        <w:rPr>
          <w:rFonts w:eastAsia="Calibri" w:hint="cs"/>
          <w:rtl/>
        </w:rPr>
        <w:t xml:space="preserve"> (לעומת 1.4% בשנת 2026 בתחזית ספטמבר)</w:t>
      </w:r>
      <w:r w:rsidR="00373DA1">
        <w:rPr>
          <w:rFonts w:eastAsia="Calibri" w:hint="cs"/>
          <w:rtl/>
        </w:rPr>
        <w:t xml:space="preserve">. </w:t>
      </w:r>
      <w:r w:rsidRPr="00FE6161">
        <w:rPr>
          <w:rFonts w:eastAsia="Calibri"/>
          <w:rtl/>
        </w:rPr>
        <w:t>האינפלציה</w:t>
      </w:r>
      <w:r>
        <w:rPr>
          <w:rFonts w:eastAsia="Calibri" w:hint="cs"/>
          <w:rtl/>
        </w:rPr>
        <w:t xml:space="preserve"> </w:t>
      </w:r>
      <w:r w:rsidRPr="00FE6161">
        <w:rPr>
          <w:rFonts w:eastAsia="Calibri" w:hint="cs"/>
          <w:rtl/>
        </w:rPr>
        <w:t>של מדינות אלו</w:t>
      </w:r>
      <w:r>
        <w:rPr>
          <w:rFonts w:eastAsia="Calibri" w:hint="cs"/>
          <w:rtl/>
        </w:rPr>
        <w:t xml:space="preserve"> </w:t>
      </w:r>
      <w:r w:rsidRPr="00FE6161">
        <w:rPr>
          <w:rFonts w:eastAsia="Calibri"/>
          <w:rtl/>
        </w:rPr>
        <w:t xml:space="preserve">תעמוד על </w:t>
      </w:r>
      <w:r w:rsidRPr="00FE6161">
        <w:rPr>
          <w:rFonts w:eastAsia="Calibri" w:hint="cs"/>
          <w:rtl/>
        </w:rPr>
        <w:t>2.</w:t>
      </w:r>
      <w:r w:rsidR="00373DA1">
        <w:rPr>
          <w:rFonts w:eastAsia="Calibri" w:hint="cs"/>
          <w:rtl/>
        </w:rPr>
        <w:t>3</w:t>
      </w:r>
      <w:r w:rsidRPr="00FE6161">
        <w:rPr>
          <w:rFonts w:eastAsia="Calibri"/>
          <w:rtl/>
        </w:rPr>
        <w:t>% ו-</w:t>
      </w:r>
      <w:r w:rsidRPr="00FE6161">
        <w:rPr>
          <w:rFonts w:eastAsia="Calibri" w:hint="cs"/>
          <w:rtl/>
        </w:rPr>
        <w:t>2.</w:t>
      </w:r>
      <w:r>
        <w:rPr>
          <w:rFonts w:eastAsia="Calibri" w:hint="cs"/>
          <w:rtl/>
        </w:rPr>
        <w:t>2</w:t>
      </w:r>
      <w:r>
        <w:rPr>
          <w:rFonts w:eastAsia="Calibri"/>
          <w:rtl/>
        </w:rPr>
        <w:t xml:space="preserve">% </w:t>
      </w:r>
      <w:r w:rsidRPr="00FE6161">
        <w:rPr>
          <w:rFonts w:eastAsia="Calibri"/>
          <w:rtl/>
        </w:rPr>
        <w:t>באותן שנים (</w:t>
      </w:r>
      <w:r>
        <w:rPr>
          <w:rFonts w:eastAsia="Calibri" w:hint="cs"/>
          <w:rtl/>
        </w:rPr>
        <w:t xml:space="preserve">ללא שינוי </w:t>
      </w:r>
      <w:r w:rsidRPr="00FE6161">
        <w:rPr>
          <w:rFonts w:eastAsia="Calibri"/>
          <w:rtl/>
        </w:rPr>
        <w:lastRenderedPageBreak/>
        <w:t>לעומת</w:t>
      </w:r>
      <w:r>
        <w:rPr>
          <w:rFonts w:eastAsia="Calibri" w:hint="cs"/>
          <w:rtl/>
        </w:rPr>
        <w:t xml:space="preserve"> </w:t>
      </w:r>
      <w:r w:rsidRPr="00FE6161">
        <w:rPr>
          <w:rFonts w:eastAsia="Calibri"/>
          <w:rtl/>
        </w:rPr>
        <w:t xml:space="preserve">תחזית </w:t>
      </w:r>
      <w:r w:rsidR="00373DA1">
        <w:rPr>
          <w:rFonts w:eastAsia="Calibri" w:hint="cs"/>
          <w:rtl/>
        </w:rPr>
        <w:t>ספטמבר</w:t>
      </w:r>
      <w:r w:rsidRPr="00FE6161">
        <w:rPr>
          <w:rFonts w:eastAsia="Calibri"/>
          <w:rtl/>
        </w:rPr>
        <w:t xml:space="preserve">), והריבית תעמוד על </w:t>
      </w:r>
      <w:r w:rsidR="00B11989">
        <w:rPr>
          <w:rFonts w:eastAsia="Calibri" w:hint="cs"/>
          <w:rtl/>
        </w:rPr>
        <w:t>2.6</w:t>
      </w:r>
      <w:r w:rsidRPr="00FE6161">
        <w:rPr>
          <w:rFonts w:eastAsia="Calibri"/>
          <w:rtl/>
        </w:rPr>
        <w:t xml:space="preserve">% בשנים אלו </w:t>
      </w:r>
      <w:r w:rsidR="00373DA1" w:rsidRPr="00FE6161">
        <w:rPr>
          <w:rFonts w:eastAsia="Calibri"/>
          <w:rtl/>
        </w:rPr>
        <w:t>(</w:t>
      </w:r>
      <w:r w:rsidR="00373DA1">
        <w:rPr>
          <w:rFonts w:eastAsia="Calibri" w:hint="cs"/>
          <w:rtl/>
        </w:rPr>
        <w:t xml:space="preserve">ללא שינוי </w:t>
      </w:r>
      <w:r w:rsidR="00373DA1" w:rsidRPr="00FE6161">
        <w:rPr>
          <w:rFonts w:eastAsia="Calibri"/>
          <w:rtl/>
        </w:rPr>
        <w:t>לעומת</w:t>
      </w:r>
      <w:r w:rsidR="00373DA1">
        <w:rPr>
          <w:rFonts w:eastAsia="Calibri" w:hint="cs"/>
          <w:rtl/>
        </w:rPr>
        <w:t xml:space="preserve"> </w:t>
      </w:r>
      <w:r w:rsidR="00373DA1" w:rsidRPr="00FE6161">
        <w:rPr>
          <w:rFonts w:eastAsia="Calibri"/>
          <w:rtl/>
        </w:rPr>
        <w:t xml:space="preserve">תחזית </w:t>
      </w:r>
      <w:r w:rsidR="00373DA1">
        <w:rPr>
          <w:rFonts w:eastAsia="Calibri" w:hint="cs"/>
          <w:rtl/>
        </w:rPr>
        <w:t>ספטמבר</w:t>
      </w:r>
      <w:r w:rsidR="00373DA1" w:rsidRPr="00FE6161">
        <w:rPr>
          <w:rFonts w:eastAsia="Calibri"/>
          <w:rtl/>
        </w:rPr>
        <w:t>)</w:t>
      </w:r>
      <w:r w:rsidRPr="00FE6161">
        <w:rPr>
          <w:rFonts w:eastAsia="Calibri"/>
          <w:color w:val="000000" w:themeColor="text1"/>
          <w:rtl/>
        </w:rPr>
        <w:t xml:space="preserve">. אשר ליבוא המדינות המפותחות, אנו מניחים כי הוא יצמח </w:t>
      </w:r>
      <w:r w:rsidRPr="00FE6161">
        <w:rPr>
          <w:rFonts w:eastAsia="Calibri" w:hint="cs"/>
          <w:color w:val="000000" w:themeColor="text1"/>
          <w:rtl/>
        </w:rPr>
        <w:t>ב-</w:t>
      </w:r>
      <w:r>
        <w:rPr>
          <w:rFonts w:eastAsia="Calibri" w:hint="cs"/>
          <w:color w:val="000000" w:themeColor="text1"/>
          <w:rtl/>
        </w:rPr>
        <w:t>1.</w:t>
      </w:r>
      <w:r w:rsidR="002749A7">
        <w:rPr>
          <w:rFonts w:eastAsia="Calibri" w:hint="cs"/>
          <w:color w:val="000000" w:themeColor="text1"/>
          <w:rtl/>
        </w:rPr>
        <w:t>3</w:t>
      </w:r>
      <w:r w:rsidRPr="00FE6161">
        <w:rPr>
          <w:rFonts w:eastAsia="Calibri" w:hint="cs"/>
          <w:color w:val="000000" w:themeColor="text1"/>
          <w:rtl/>
        </w:rPr>
        <w:t xml:space="preserve">% בשנת </w:t>
      </w:r>
      <w:r w:rsidRPr="00FE6161">
        <w:rPr>
          <w:rFonts w:eastAsia="Calibri"/>
          <w:color w:val="000000" w:themeColor="text1"/>
          <w:rtl/>
        </w:rPr>
        <w:t>2026</w:t>
      </w:r>
      <w:r w:rsidRPr="00FE6161">
        <w:rPr>
          <w:rFonts w:eastAsia="Calibri" w:hint="cs"/>
          <w:color w:val="000000" w:themeColor="text1"/>
          <w:rtl/>
        </w:rPr>
        <w:t xml:space="preserve"> (לעומת </w:t>
      </w:r>
      <w:r>
        <w:rPr>
          <w:rFonts w:eastAsia="Calibri" w:hint="cs"/>
          <w:color w:val="000000" w:themeColor="text1"/>
          <w:rtl/>
        </w:rPr>
        <w:t>1.</w:t>
      </w:r>
      <w:r w:rsidR="002749A7">
        <w:rPr>
          <w:rFonts w:eastAsia="Calibri" w:hint="cs"/>
          <w:color w:val="000000" w:themeColor="text1"/>
          <w:rtl/>
        </w:rPr>
        <w:t>2</w:t>
      </w:r>
      <w:r w:rsidRPr="00FE6161">
        <w:rPr>
          <w:rFonts w:eastAsia="Calibri" w:hint="cs"/>
          <w:color w:val="000000" w:themeColor="text1"/>
          <w:rtl/>
        </w:rPr>
        <w:t xml:space="preserve">% בתחזית </w:t>
      </w:r>
      <w:r w:rsidR="002749A7">
        <w:rPr>
          <w:rFonts w:eastAsia="Calibri" w:hint="cs"/>
          <w:color w:val="000000" w:themeColor="text1"/>
          <w:rtl/>
        </w:rPr>
        <w:t>ספטמבר</w:t>
      </w:r>
      <w:r w:rsidRPr="00FE6161">
        <w:rPr>
          <w:rFonts w:eastAsia="Calibri" w:hint="cs"/>
          <w:color w:val="000000" w:themeColor="text1"/>
          <w:rtl/>
        </w:rPr>
        <w:t xml:space="preserve">). </w:t>
      </w:r>
      <w:r w:rsidRPr="00DD5028">
        <w:rPr>
          <w:rFonts w:eastAsia="Calibri"/>
          <w:color w:val="000000" w:themeColor="text1"/>
          <w:rtl/>
        </w:rPr>
        <w:t>מחירה של חבית נפט מסוג "ברנט" עומד כעת על כ-</w:t>
      </w:r>
      <w:r w:rsidRPr="00DD5028">
        <w:rPr>
          <w:rFonts w:eastAsia="Calibri" w:hint="cs"/>
          <w:color w:val="000000" w:themeColor="text1"/>
          <w:rtl/>
        </w:rPr>
        <w:t>6</w:t>
      </w:r>
      <w:r w:rsidR="00382A08">
        <w:rPr>
          <w:rFonts w:eastAsia="Calibri" w:hint="cs"/>
          <w:color w:val="000000" w:themeColor="text1"/>
          <w:rtl/>
        </w:rPr>
        <w:t>1</w:t>
      </w:r>
      <w:r w:rsidRPr="00DD5028">
        <w:rPr>
          <w:rFonts w:eastAsia="Calibri" w:hint="cs"/>
          <w:color w:val="000000" w:themeColor="text1"/>
          <w:rtl/>
        </w:rPr>
        <w:t>$</w:t>
      </w:r>
      <w:r w:rsidRPr="00DD5028">
        <w:rPr>
          <w:rFonts w:eastAsia="Calibri"/>
          <w:color w:val="000000" w:themeColor="text1"/>
          <w:rtl/>
        </w:rPr>
        <w:t xml:space="preserve">, </w:t>
      </w:r>
      <w:r w:rsidR="002749A7">
        <w:rPr>
          <w:rFonts w:eastAsia="Calibri" w:hint="cs"/>
          <w:color w:val="000000" w:themeColor="text1"/>
          <w:rtl/>
        </w:rPr>
        <w:t>לעומת 68$ בתחזית ספטמבר</w:t>
      </w:r>
      <w:r w:rsidRPr="00DD5028">
        <w:rPr>
          <w:rFonts w:eastAsia="Calibri"/>
          <w:color w:val="000000" w:themeColor="text1"/>
          <w:rtl/>
        </w:rPr>
        <w:t>.</w:t>
      </w:r>
      <w:r w:rsidR="005A6E73" w:rsidRPr="00373DA1">
        <w:rPr>
          <w:rFonts w:eastAsia="Calibri"/>
          <w:color w:val="000000" w:themeColor="text1"/>
          <w:rtl/>
        </w:rPr>
        <w:t xml:space="preserve"> </w:t>
      </w:r>
    </w:p>
    <w:bookmarkEnd w:id="1"/>
    <w:tbl>
      <w:tblPr>
        <w:bidiVisual/>
        <w:tblW w:w="5069" w:type="pct"/>
        <w:jc w:val="center"/>
        <w:shd w:val="clear" w:color="auto" w:fill="FFFFFF" w:themeFill="background1"/>
        <w:tblLook w:val="04A0" w:firstRow="1" w:lastRow="0" w:firstColumn="1" w:lastColumn="0" w:noHBand="0" w:noVBand="1"/>
      </w:tblPr>
      <w:tblGrid>
        <w:gridCol w:w="397"/>
        <w:gridCol w:w="3565"/>
        <w:gridCol w:w="743"/>
        <w:gridCol w:w="956"/>
        <w:gridCol w:w="984"/>
        <w:gridCol w:w="852"/>
        <w:gridCol w:w="919"/>
        <w:gridCol w:w="972"/>
        <w:gridCol w:w="492"/>
      </w:tblGrid>
      <w:tr w:rsidR="007C5EE7" w14:paraId="781D627F" w14:textId="77777777" w:rsidTr="00DE7759">
        <w:trPr>
          <w:trHeight w:val="375"/>
          <w:jc w:val="center"/>
        </w:trPr>
        <w:tc>
          <w:tcPr>
            <w:tcW w:w="201" w:type="pct"/>
            <w:tcBorders>
              <w:top w:val="nil"/>
              <w:left w:val="nil"/>
              <w:bottom w:val="nil"/>
              <w:right w:val="nil"/>
            </w:tcBorders>
            <w:shd w:val="clear" w:color="auto" w:fill="FFFFFF" w:themeFill="background1"/>
          </w:tcPr>
          <w:p w14:paraId="5FD534A4" w14:textId="77777777" w:rsidR="00792210" w:rsidRDefault="00792210" w:rsidP="0096452E">
            <w:pPr>
              <w:spacing w:after="0"/>
              <w:rPr>
                <w:rtl/>
              </w:rPr>
            </w:pPr>
          </w:p>
        </w:tc>
        <w:tc>
          <w:tcPr>
            <w:tcW w:w="4799" w:type="pct"/>
            <w:gridSpan w:val="8"/>
            <w:tcBorders>
              <w:top w:val="nil"/>
              <w:left w:val="nil"/>
              <w:bottom w:val="nil"/>
              <w:right w:val="nil"/>
            </w:tcBorders>
            <w:shd w:val="clear" w:color="auto" w:fill="FFFFFF" w:themeFill="background1"/>
            <w:noWrap/>
            <w:vAlign w:val="bottom"/>
            <w:hideMark/>
          </w:tcPr>
          <w:p w14:paraId="11515458" w14:textId="77777777" w:rsidR="00792210" w:rsidRPr="00C94167" w:rsidRDefault="001C161C" w:rsidP="00792210">
            <w:pPr>
              <w:spacing w:after="0"/>
              <w:jc w:val="center"/>
              <w:rPr>
                <w:rFonts w:eastAsia="Times New Roman"/>
                <w:b/>
                <w:bCs/>
                <w:color w:val="000000"/>
                <w:sz w:val="24"/>
                <w:szCs w:val="24"/>
              </w:rPr>
            </w:pPr>
            <w:r w:rsidRPr="00B0372F">
              <w:rPr>
                <w:rFonts w:eastAsia="Times New Roman"/>
                <w:b/>
                <w:bCs/>
                <w:color w:val="000000"/>
                <w:sz w:val="24"/>
                <w:szCs w:val="24"/>
                <w:rtl/>
              </w:rPr>
              <w:br w:type="page"/>
            </w:r>
            <w:r w:rsidRPr="00C94167">
              <w:rPr>
                <w:rFonts w:eastAsia="Times New Roman"/>
                <w:b/>
                <w:bCs/>
                <w:color w:val="000000"/>
                <w:sz w:val="24"/>
                <w:szCs w:val="24"/>
                <w:rtl/>
              </w:rPr>
              <w:t xml:space="preserve">לוח  1 </w:t>
            </w:r>
            <w:r w:rsidRPr="00B0372F">
              <w:rPr>
                <w:rFonts w:eastAsia="Times New Roman"/>
                <w:b/>
                <w:bCs/>
                <w:color w:val="000000"/>
                <w:sz w:val="24"/>
                <w:szCs w:val="24"/>
                <w:rtl/>
              </w:rPr>
              <w:t>|</w:t>
            </w:r>
            <w:r w:rsidRPr="00C94167">
              <w:rPr>
                <w:rFonts w:eastAsia="Times New Roman"/>
                <w:b/>
                <w:bCs/>
                <w:color w:val="000000"/>
                <w:sz w:val="24"/>
                <w:szCs w:val="24"/>
                <w:rtl/>
              </w:rPr>
              <w:t xml:space="preserve"> תחזית חטיבת המחקר לשנים 2025—202</w:t>
            </w:r>
            <w:r>
              <w:rPr>
                <w:rFonts w:eastAsia="Times New Roman" w:hint="cs"/>
                <w:b/>
                <w:bCs/>
                <w:color w:val="000000"/>
                <w:sz w:val="24"/>
                <w:szCs w:val="24"/>
                <w:rtl/>
              </w:rPr>
              <w:t xml:space="preserve">7 </w:t>
            </w:r>
          </w:p>
        </w:tc>
      </w:tr>
      <w:tr w:rsidR="007C5EE7" w14:paraId="68DAA371" w14:textId="77777777" w:rsidTr="00DE7759">
        <w:trPr>
          <w:trHeight w:val="360"/>
          <w:jc w:val="center"/>
        </w:trPr>
        <w:tc>
          <w:tcPr>
            <w:tcW w:w="201" w:type="pct"/>
            <w:tcBorders>
              <w:top w:val="nil"/>
              <w:left w:val="nil"/>
              <w:bottom w:val="nil"/>
              <w:right w:val="nil"/>
            </w:tcBorders>
            <w:shd w:val="clear" w:color="auto" w:fill="FFFFFF" w:themeFill="background1"/>
          </w:tcPr>
          <w:p w14:paraId="1A589AA0" w14:textId="77777777" w:rsidR="00792210" w:rsidRPr="00C94167" w:rsidRDefault="00792210" w:rsidP="0096452E">
            <w:pPr>
              <w:spacing w:after="0"/>
              <w:rPr>
                <w:rFonts w:eastAsia="Times New Roman"/>
                <w:color w:val="000000"/>
                <w:rtl/>
              </w:rPr>
            </w:pPr>
          </w:p>
        </w:tc>
        <w:tc>
          <w:tcPr>
            <w:tcW w:w="4799" w:type="pct"/>
            <w:gridSpan w:val="8"/>
            <w:tcBorders>
              <w:top w:val="nil"/>
              <w:left w:val="nil"/>
              <w:bottom w:val="nil"/>
              <w:right w:val="nil"/>
            </w:tcBorders>
            <w:shd w:val="clear" w:color="auto" w:fill="FFFFFF" w:themeFill="background1"/>
            <w:noWrap/>
            <w:vAlign w:val="bottom"/>
            <w:hideMark/>
          </w:tcPr>
          <w:p w14:paraId="5430A299" w14:textId="77777777" w:rsidR="00792210" w:rsidRPr="00C94167" w:rsidRDefault="001C161C" w:rsidP="0096452E">
            <w:pPr>
              <w:spacing w:after="0"/>
              <w:jc w:val="center"/>
              <w:rPr>
                <w:rFonts w:eastAsia="Times New Roman"/>
                <w:color w:val="000000"/>
                <w:sz w:val="24"/>
                <w:szCs w:val="24"/>
                <w:rtl/>
              </w:rPr>
            </w:pPr>
            <w:r w:rsidRPr="00C94167">
              <w:rPr>
                <w:rFonts w:eastAsia="Times New Roman"/>
                <w:color w:val="000000"/>
                <w:rtl/>
              </w:rPr>
              <w:t>(שיעורי השינוי השנתיים באחוזים</w:t>
            </w:r>
            <w:r w:rsidRPr="00C94167">
              <w:rPr>
                <w:rFonts w:eastAsia="Times New Roman"/>
                <w:color w:val="000000"/>
                <w:vertAlign w:val="superscript"/>
                <w:rtl/>
              </w:rPr>
              <w:t>1</w:t>
            </w:r>
            <w:r w:rsidRPr="00C94167">
              <w:rPr>
                <w:rFonts w:eastAsia="Times New Roman"/>
                <w:color w:val="000000"/>
                <w:rtl/>
              </w:rPr>
              <w:t>, אלא אם צוין אחרת)</w:t>
            </w:r>
          </w:p>
        </w:tc>
      </w:tr>
      <w:tr w:rsidR="007C5EE7" w14:paraId="74A0CFF6" w14:textId="77777777" w:rsidTr="00DE7759">
        <w:trPr>
          <w:gridAfter w:val="1"/>
          <w:wAfter w:w="249" w:type="pct"/>
          <w:trHeight w:val="315"/>
          <w:jc w:val="center"/>
        </w:trPr>
        <w:tc>
          <w:tcPr>
            <w:tcW w:w="2005" w:type="pct"/>
            <w:gridSpan w:val="2"/>
            <w:tcBorders>
              <w:top w:val="single" w:sz="4" w:space="0" w:color="1F497D"/>
              <w:left w:val="nil"/>
              <w:bottom w:val="nil"/>
              <w:right w:val="nil"/>
            </w:tcBorders>
            <w:shd w:val="clear" w:color="auto" w:fill="FFFFFF" w:themeFill="background1"/>
            <w:noWrap/>
            <w:vAlign w:val="bottom"/>
            <w:hideMark/>
          </w:tcPr>
          <w:p w14:paraId="26BD1A6B" w14:textId="77777777" w:rsidR="00C3149B" w:rsidRPr="00C94167" w:rsidRDefault="001C161C" w:rsidP="0096452E">
            <w:pPr>
              <w:spacing w:after="0"/>
              <w:rPr>
                <w:rFonts w:eastAsia="Times New Roman"/>
                <w:color w:val="000000"/>
                <w:sz w:val="24"/>
                <w:szCs w:val="24"/>
                <w:rtl/>
              </w:rPr>
            </w:pPr>
            <w:bookmarkStart w:id="2" w:name="_Hlk202427682"/>
            <w:r w:rsidRPr="00C94167">
              <w:rPr>
                <w:rFonts w:eastAsia="Times New Roman"/>
                <w:color w:val="000000"/>
                <w:sz w:val="24"/>
                <w:szCs w:val="24"/>
                <w:rtl/>
              </w:rPr>
              <w:t> </w:t>
            </w:r>
          </w:p>
        </w:tc>
        <w:tc>
          <w:tcPr>
            <w:tcW w:w="376" w:type="pct"/>
            <w:tcBorders>
              <w:top w:val="single" w:sz="4" w:space="0" w:color="1F497D"/>
              <w:left w:val="nil"/>
              <w:bottom w:val="nil"/>
              <w:right w:val="nil"/>
            </w:tcBorders>
            <w:shd w:val="clear" w:color="auto" w:fill="FFFFFF" w:themeFill="background1"/>
          </w:tcPr>
          <w:p w14:paraId="3FAB31B8" w14:textId="77777777" w:rsidR="00C3149B" w:rsidRPr="00C94167" w:rsidRDefault="001C161C" w:rsidP="0096452E">
            <w:pPr>
              <w:spacing w:after="0"/>
              <w:rPr>
                <w:rFonts w:eastAsia="Times New Roman"/>
                <w:b/>
                <w:bCs/>
                <w:color w:val="1F497D"/>
                <w:sz w:val="24"/>
                <w:szCs w:val="24"/>
                <w:rtl/>
              </w:rPr>
            </w:pPr>
            <w:r>
              <w:rPr>
                <w:rFonts w:eastAsia="Times New Roman" w:hint="cs"/>
                <w:b/>
                <w:bCs/>
                <w:color w:val="1F497D"/>
                <w:sz w:val="24"/>
                <w:szCs w:val="24"/>
                <w:rtl/>
              </w:rPr>
              <w:t>2024</w:t>
            </w:r>
          </w:p>
        </w:tc>
        <w:tc>
          <w:tcPr>
            <w:tcW w:w="982" w:type="pct"/>
            <w:gridSpan w:val="2"/>
            <w:tcBorders>
              <w:top w:val="single" w:sz="4" w:space="0" w:color="1F497D"/>
              <w:left w:val="nil"/>
              <w:bottom w:val="nil"/>
              <w:right w:val="nil"/>
            </w:tcBorders>
            <w:shd w:val="clear" w:color="auto" w:fill="FFFFFF" w:themeFill="background1"/>
            <w:noWrap/>
            <w:vAlign w:val="bottom"/>
            <w:hideMark/>
          </w:tcPr>
          <w:p w14:paraId="259F3830" w14:textId="77777777" w:rsidR="00C3149B" w:rsidRPr="00C94167" w:rsidRDefault="001C161C" w:rsidP="0096452E">
            <w:pPr>
              <w:spacing w:after="0"/>
              <w:rPr>
                <w:rFonts w:eastAsia="Times New Roman"/>
                <w:b/>
                <w:bCs/>
                <w:color w:val="1F497D"/>
                <w:sz w:val="24"/>
                <w:szCs w:val="24"/>
                <w:rtl/>
              </w:rPr>
            </w:pPr>
            <w:r w:rsidRPr="00C94167">
              <w:rPr>
                <w:rFonts w:eastAsia="Times New Roman"/>
                <w:b/>
                <w:bCs/>
                <w:color w:val="1F497D"/>
                <w:sz w:val="24"/>
                <w:szCs w:val="24"/>
                <w:rtl/>
              </w:rPr>
              <w:t>2025</w:t>
            </w:r>
          </w:p>
        </w:tc>
        <w:tc>
          <w:tcPr>
            <w:tcW w:w="896" w:type="pct"/>
            <w:gridSpan w:val="2"/>
            <w:tcBorders>
              <w:top w:val="single" w:sz="4" w:space="0" w:color="1F497D"/>
              <w:left w:val="nil"/>
              <w:bottom w:val="nil"/>
              <w:right w:val="nil"/>
            </w:tcBorders>
            <w:shd w:val="clear" w:color="auto" w:fill="FFFFFF" w:themeFill="background1"/>
            <w:noWrap/>
            <w:vAlign w:val="bottom"/>
            <w:hideMark/>
          </w:tcPr>
          <w:p w14:paraId="683B42D5" w14:textId="77777777" w:rsidR="00C3149B" w:rsidRPr="00C94167" w:rsidRDefault="001C161C" w:rsidP="0096452E">
            <w:pPr>
              <w:spacing w:after="0"/>
              <w:rPr>
                <w:rFonts w:eastAsia="Times New Roman"/>
                <w:b/>
                <w:bCs/>
                <w:color w:val="1F497D"/>
                <w:sz w:val="24"/>
                <w:szCs w:val="24"/>
                <w:rtl/>
              </w:rPr>
            </w:pPr>
            <w:r w:rsidRPr="00C94167">
              <w:rPr>
                <w:rFonts w:eastAsia="Times New Roman"/>
                <w:b/>
                <w:bCs/>
                <w:color w:val="1F497D"/>
                <w:sz w:val="24"/>
                <w:szCs w:val="24"/>
                <w:rtl/>
              </w:rPr>
              <w:t>2026</w:t>
            </w:r>
          </w:p>
        </w:tc>
        <w:tc>
          <w:tcPr>
            <w:tcW w:w="492" w:type="pct"/>
            <w:tcBorders>
              <w:top w:val="single" w:sz="4" w:space="0" w:color="1F497D"/>
              <w:left w:val="nil"/>
              <w:bottom w:val="nil"/>
              <w:right w:val="nil"/>
            </w:tcBorders>
            <w:shd w:val="clear" w:color="auto" w:fill="FFFFFF" w:themeFill="background1"/>
          </w:tcPr>
          <w:p w14:paraId="447FC477" w14:textId="77777777" w:rsidR="00C3149B" w:rsidRPr="00C94167" w:rsidRDefault="001C161C" w:rsidP="0096452E">
            <w:pPr>
              <w:spacing w:after="0"/>
              <w:rPr>
                <w:rFonts w:eastAsia="Times New Roman"/>
                <w:b/>
                <w:bCs/>
                <w:color w:val="1F497D"/>
                <w:sz w:val="24"/>
                <w:szCs w:val="24"/>
                <w:rtl/>
              </w:rPr>
            </w:pPr>
            <w:r>
              <w:rPr>
                <w:rFonts w:eastAsia="Times New Roman" w:hint="cs"/>
                <w:b/>
                <w:bCs/>
                <w:color w:val="1F497D"/>
                <w:sz w:val="24"/>
                <w:szCs w:val="24"/>
                <w:rtl/>
              </w:rPr>
              <w:t>2027</w:t>
            </w:r>
          </w:p>
        </w:tc>
      </w:tr>
      <w:bookmarkEnd w:id="2"/>
      <w:tr w:rsidR="007C5EE7" w14:paraId="601114C0" w14:textId="77777777" w:rsidTr="00DE7759">
        <w:trPr>
          <w:gridAfter w:val="1"/>
          <w:wAfter w:w="249" w:type="pct"/>
          <w:trHeight w:val="494"/>
          <w:jc w:val="center"/>
        </w:trPr>
        <w:tc>
          <w:tcPr>
            <w:tcW w:w="2005" w:type="pct"/>
            <w:gridSpan w:val="2"/>
            <w:tcBorders>
              <w:top w:val="nil"/>
              <w:left w:val="nil"/>
              <w:bottom w:val="single" w:sz="4" w:space="0" w:color="1F497D"/>
              <w:right w:val="nil"/>
            </w:tcBorders>
            <w:shd w:val="clear" w:color="auto" w:fill="FFFFFF" w:themeFill="background1"/>
            <w:noWrap/>
            <w:vAlign w:val="bottom"/>
            <w:hideMark/>
          </w:tcPr>
          <w:p w14:paraId="5856FC30" w14:textId="77777777" w:rsidR="00C3149B" w:rsidRPr="00C94167" w:rsidRDefault="001C161C" w:rsidP="002F6599">
            <w:pPr>
              <w:spacing w:after="0"/>
              <w:rPr>
                <w:rFonts w:eastAsia="Times New Roman"/>
                <w:color w:val="000000"/>
                <w:sz w:val="20"/>
                <w:szCs w:val="20"/>
              </w:rPr>
            </w:pPr>
            <w:r w:rsidRPr="00C94167">
              <w:rPr>
                <w:rFonts w:eastAsia="Times New Roman"/>
                <w:color w:val="000000"/>
                <w:sz w:val="20"/>
                <w:szCs w:val="20"/>
              </w:rPr>
              <w:t> </w:t>
            </w:r>
          </w:p>
        </w:tc>
        <w:tc>
          <w:tcPr>
            <w:tcW w:w="376" w:type="pct"/>
            <w:tcBorders>
              <w:top w:val="nil"/>
              <w:left w:val="nil"/>
              <w:bottom w:val="single" w:sz="4" w:space="0" w:color="1F497D"/>
              <w:right w:val="nil"/>
            </w:tcBorders>
            <w:shd w:val="clear" w:color="auto" w:fill="FFFFFF" w:themeFill="background1"/>
          </w:tcPr>
          <w:p w14:paraId="1C15A5F7" w14:textId="77777777" w:rsidR="00C3149B" w:rsidRPr="00C94167" w:rsidRDefault="001C161C" w:rsidP="002F6599">
            <w:pPr>
              <w:spacing w:after="0"/>
              <w:rPr>
                <w:rFonts w:eastAsia="Times New Roman"/>
                <w:color w:val="1F497D"/>
                <w:rtl/>
              </w:rPr>
            </w:pPr>
            <w:r>
              <w:rPr>
                <w:rFonts w:eastAsia="Times New Roman" w:hint="cs"/>
                <w:color w:val="1F497D"/>
                <w:rtl/>
              </w:rPr>
              <w:t>נתונים בפועל</w:t>
            </w:r>
          </w:p>
        </w:tc>
        <w:tc>
          <w:tcPr>
            <w:tcW w:w="484" w:type="pct"/>
            <w:tcBorders>
              <w:top w:val="nil"/>
              <w:left w:val="nil"/>
              <w:bottom w:val="single" w:sz="4" w:space="0" w:color="1F497D"/>
              <w:right w:val="nil"/>
            </w:tcBorders>
            <w:shd w:val="clear" w:color="auto" w:fill="FFFFFF" w:themeFill="background1"/>
            <w:hideMark/>
          </w:tcPr>
          <w:p w14:paraId="058CB71F" w14:textId="77777777" w:rsidR="00C3149B" w:rsidRPr="00C94167" w:rsidRDefault="001C161C" w:rsidP="002F6599">
            <w:pPr>
              <w:spacing w:after="0"/>
              <w:rPr>
                <w:rFonts w:eastAsia="Times New Roman"/>
                <w:color w:val="1F497D"/>
                <w:rtl/>
              </w:rPr>
            </w:pPr>
            <w:r w:rsidRPr="00C94167">
              <w:rPr>
                <w:rFonts w:eastAsia="Times New Roman"/>
                <w:color w:val="1F497D"/>
                <w:rtl/>
              </w:rPr>
              <w:t>התחזית ל-2025</w:t>
            </w:r>
          </w:p>
        </w:tc>
        <w:tc>
          <w:tcPr>
            <w:tcW w:w="498" w:type="pct"/>
            <w:tcBorders>
              <w:top w:val="nil"/>
              <w:left w:val="nil"/>
              <w:bottom w:val="single" w:sz="4" w:space="0" w:color="1F497D"/>
              <w:right w:val="nil"/>
            </w:tcBorders>
            <w:shd w:val="clear" w:color="auto" w:fill="FFFFFF" w:themeFill="background1"/>
            <w:hideMark/>
          </w:tcPr>
          <w:p w14:paraId="0259D132" w14:textId="77777777" w:rsidR="00C3149B" w:rsidRPr="00C94167" w:rsidRDefault="001C161C" w:rsidP="002F6599">
            <w:pPr>
              <w:spacing w:after="0"/>
              <w:rPr>
                <w:rFonts w:eastAsia="Times New Roman"/>
                <w:color w:val="1F497D"/>
                <w:rtl/>
              </w:rPr>
            </w:pPr>
            <w:r>
              <w:rPr>
                <w:rFonts w:eastAsia="Times New Roman"/>
                <w:color w:val="1F497D"/>
                <w:rtl/>
              </w:rPr>
              <w:t>השינוי מתחזית</w:t>
            </w:r>
            <w:r>
              <w:rPr>
                <w:rFonts w:eastAsia="Times New Roman" w:hint="cs"/>
                <w:color w:val="1F497D"/>
                <w:rtl/>
              </w:rPr>
              <w:t xml:space="preserve"> ספטמבר</w:t>
            </w:r>
          </w:p>
        </w:tc>
        <w:tc>
          <w:tcPr>
            <w:tcW w:w="431" w:type="pct"/>
            <w:tcBorders>
              <w:top w:val="nil"/>
              <w:left w:val="nil"/>
              <w:bottom w:val="single" w:sz="4" w:space="0" w:color="1F497D"/>
              <w:right w:val="nil"/>
            </w:tcBorders>
            <w:shd w:val="clear" w:color="auto" w:fill="FFFFFF" w:themeFill="background1"/>
            <w:hideMark/>
          </w:tcPr>
          <w:p w14:paraId="4ABB0FBB" w14:textId="77777777" w:rsidR="00C3149B" w:rsidRPr="00C94167" w:rsidRDefault="001C161C" w:rsidP="002F6599">
            <w:pPr>
              <w:spacing w:after="0"/>
              <w:rPr>
                <w:rFonts w:eastAsia="Times New Roman"/>
                <w:color w:val="1F497D"/>
                <w:rtl/>
              </w:rPr>
            </w:pPr>
            <w:r w:rsidRPr="00C94167">
              <w:rPr>
                <w:rFonts w:eastAsia="Times New Roman"/>
                <w:color w:val="1F497D"/>
                <w:rtl/>
              </w:rPr>
              <w:t>התחזית ל-2026</w:t>
            </w:r>
          </w:p>
        </w:tc>
        <w:tc>
          <w:tcPr>
            <w:tcW w:w="465" w:type="pct"/>
            <w:tcBorders>
              <w:top w:val="nil"/>
              <w:left w:val="nil"/>
              <w:bottom w:val="single" w:sz="4" w:space="0" w:color="1F497D"/>
              <w:right w:val="nil"/>
            </w:tcBorders>
            <w:shd w:val="clear" w:color="auto" w:fill="FFFFFF" w:themeFill="background1"/>
            <w:hideMark/>
          </w:tcPr>
          <w:p w14:paraId="055744FE" w14:textId="77777777" w:rsidR="00C3149B" w:rsidRPr="00C94167" w:rsidRDefault="001C161C" w:rsidP="002F6599">
            <w:pPr>
              <w:spacing w:after="0"/>
              <w:rPr>
                <w:rFonts w:eastAsia="Times New Roman"/>
                <w:color w:val="1F497D"/>
                <w:rtl/>
              </w:rPr>
            </w:pPr>
            <w:r w:rsidRPr="00C94167">
              <w:rPr>
                <w:rFonts w:eastAsia="Times New Roman"/>
                <w:color w:val="1F497D"/>
                <w:rtl/>
              </w:rPr>
              <w:t xml:space="preserve">השינוי מתחזית </w:t>
            </w:r>
            <w:r>
              <w:rPr>
                <w:rFonts w:eastAsia="Times New Roman" w:hint="cs"/>
                <w:color w:val="1F497D"/>
                <w:rtl/>
              </w:rPr>
              <w:t>ספטמבר</w:t>
            </w:r>
          </w:p>
        </w:tc>
        <w:tc>
          <w:tcPr>
            <w:tcW w:w="492" w:type="pct"/>
            <w:tcBorders>
              <w:top w:val="nil"/>
              <w:left w:val="nil"/>
              <w:bottom w:val="single" w:sz="4" w:space="0" w:color="1F497D"/>
              <w:right w:val="nil"/>
            </w:tcBorders>
            <w:shd w:val="clear" w:color="auto" w:fill="FFFFFF" w:themeFill="background1"/>
          </w:tcPr>
          <w:p w14:paraId="7FFE7666" w14:textId="77777777" w:rsidR="00C3149B" w:rsidRPr="00C94167" w:rsidRDefault="001C161C" w:rsidP="002F6599">
            <w:pPr>
              <w:spacing w:after="0"/>
              <w:rPr>
                <w:rFonts w:eastAsia="Times New Roman"/>
                <w:color w:val="1F497D"/>
                <w:rtl/>
              </w:rPr>
            </w:pPr>
            <w:r w:rsidRPr="00C94167">
              <w:rPr>
                <w:rFonts w:eastAsia="Times New Roman"/>
                <w:color w:val="1F497D"/>
                <w:rtl/>
              </w:rPr>
              <w:t>התחזית ל-202</w:t>
            </w:r>
            <w:r>
              <w:rPr>
                <w:rFonts w:eastAsia="Times New Roman" w:hint="cs"/>
                <w:color w:val="1F497D"/>
                <w:rtl/>
              </w:rPr>
              <w:t>7</w:t>
            </w:r>
          </w:p>
        </w:tc>
      </w:tr>
      <w:tr w:rsidR="007C5EE7" w14:paraId="744A2C9B"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0A55E098" w14:textId="77777777" w:rsidR="00DE7759" w:rsidRPr="00C94167" w:rsidRDefault="001C161C" w:rsidP="00DE7759">
            <w:pPr>
              <w:spacing w:after="0"/>
              <w:rPr>
                <w:rFonts w:eastAsia="Times New Roman"/>
                <w:rtl/>
              </w:rPr>
            </w:pPr>
            <w:r w:rsidRPr="00C94167">
              <w:rPr>
                <w:rFonts w:eastAsia="Times New Roman"/>
                <w:rtl/>
              </w:rPr>
              <w:t>תוצר מקומי גולמי</w:t>
            </w:r>
          </w:p>
        </w:tc>
        <w:tc>
          <w:tcPr>
            <w:tcW w:w="376" w:type="pct"/>
            <w:tcBorders>
              <w:top w:val="nil"/>
              <w:left w:val="nil"/>
              <w:bottom w:val="nil"/>
              <w:right w:val="nil"/>
            </w:tcBorders>
            <w:shd w:val="clear" w:color="auto" w:fill="FFFFFF" w:themeFill="background1"/>
          </w:tcPr>
          <w:p w14:paraId="1B95EEB4" w14:textId="77777777" w:rsidR="00DE7759" w:rsidRDefault="001C161C" w:rsidP="00DE7759">
            <w:pPr>
              <w:spacing w:after="0"/>
              <w:rPr>
                <w:rFonts w:eastAsia="Times New Roman"/>
                <w:b/>
                <w:bCs/>
                <w:color w:val="000000"/>
                <w:rtl/>
              </w:rPr>
            </w:pPr>
            <w:r>
              <w:rPr>
                <w:rFonts w:eastAsia="Times New Roman" w:hint="cs"/>
                <w:b/>
                <w:bCs/>
                <w:color w:val="000000"/>
                <w:rtl/>
              </w:rPr>
              <w:t>1.0</w:t>
            </w:r>
          </w:p>
        </w:tc>
        <w:tc>
          <w:tcPr>
            <w:tcW w:w="484" w:type="pct"/>
            <w:tcBorders>
              <w:top w:val="nil"/>
              <w:left w:val="nil"/>
              <w:bottom w:val="nil"/>
              <w:right w:val="nil"/>
            </w:tcBorders>
            <w:shd w:val="clear" w:color="auto" w:fill="FFFFFF" w:themeFill="background1"/>
            <w:noWrap/>
            <w:vAlign w:val="bottom"/>
            <w:hideMark/>
          </w:tcPr>
          <w:p w14:paraId="61F32DC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Pr>
            </w:pPr>
            <w:r w:rsidRPr="00DE7759">
              <w:rPr>
                <w:rFonts w:ascii="Calibri" w:hAnsi="Calibri" w:cs="Calibri"/>
                <w:b/>
                <w:bCs/>
                <w:color w:val="000000"/>
                <w:kern w:val="24"/>
                <w:sz w:val="22"/>
                <w:szCs w:val="22"/>
              </w:rPr>
              <w:t>2.8</w:t>
            </w:r>
          </w:p>
        </w:tc>
        <w:tc>
          <w:tcPr>
            <w:tcW w:w="498" w:type="pct"/>
            <w:tcBorders>
              <w:top w:val="nil"/>
              <w:left w:val="nil"/>
              <w:bottom w:val="nil"/>
              <w:right w:val="nil"/>
            </w:tcBorders>
            <w:shd w:val="clear" w:color="auto" w:fill="FFFFFF" w:themeFill="background1"/>
            <w:noWrap/>
            <w:vAlign w:val="bottom"/>
            <w:hideMark/>
          </w:tcPr>
          <w:p w14:paraId="49311D70"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Pr>
              <w:t>0.3</w:t>
            </w:r>
          </w:p>
        </w:tc>
        <w:tc>
          <w:tcPr>
            <w:tcW w:w="431" w:type="pct"/>
            <w:tcBorders>
              <w:top w:val="nil"/>
              <w:left w:val="nil"/>
              <w:bottom w:val="nil"/>
              <w:right w:val="nil"/>
            </w:tcBorders>
            <w:shd w:val="clear" w:color="auto" w:fill="FFFFFF" w:themeFill="background1"/>
            <w:noWrap/>
            <w:vAlign w:val="bottom"/>
            <w:hideMark/>
          </w:tcPr>
          <w:p w14:paraId="7C433736"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Pr>
              <w:t>5.2</w:t>
            </w:r>
          </w:p>
        </w:tc>
        <w:tc>
          <w:tcPr>
            <w:tcW w:w="465" w:type="pct"/>
            <w:tcBorders>
              <w:top w:val="nil"/>
              <w:left w:val="nil"/>
              <w:bottom w:val="nil"/>
              <w:right w:val="nil"/>
            </w:tcBorders>
            <w:shd w:val="clear" w:color="auto" w:fill="FFFFFF" w:themeFill="background1"/>
            <w:noWrap/>
            <w:vAlign w:val="bottom"/>
            <w:hideMark/>
          </w:tcPr>
          <w:p w14:paraId="39AA178A" w14:textId="0F8E9819" w:rsidR="00DE7759" w:rsidRPr="00DE7759" w:rsidRDefault="00AD4F64"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0.5</w:t>
            </w:r>
          </w:p>
        </w:tc>
        <w:tc>
          <w:tcPr>
            <w:tcW w:w="492" w:type="pct"/>
            <w:tcBorders>
              <w:top w:val="nil"/>
              <w:left w:val="nil"/>
              <w:bottom w:val="nil"/>
              <w:right w:val="nil"/>
            </w:tcBorders>
            <w:shd w:val="clear" w:color="auto" w:fill="FFFFFF" w:themeFill="background1"/>
            <w:vAlign w:val="bottom"/>
          </w:tcPr>
          <w:p w14:paraId="4D55EBF6" w14:textId="77777777" w:rsidR="00DE7759" w:rsidRPr="00DE7759" w:rsidRDefault="001C161C" w:rsidP="007C14EC">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4.</w:t>
            </w:r>
            <w:r w:rsidR="007C14EC">
              <w:rPr>
                <w:rFonts w:ascii="Calibri" w:hAnsi="Calibri" w:cs="Calibri" w:hint="cs"/>
                <w:b/>
                <w:bCs/>
                <w:color w:val="000000"/>
                <w:kern w:val="24"/>
                <w:sz w:val="22"/>
                <w:szCs w:val="22"/>
                <w:rtl/>
              </w:rPr>
              <w:t>3</w:t>
            </w:r>
          </w:p>
        </w:tc>
      </w:tr>
      <w:tr w:rsidR="007C5EE7" w14:paraId="26619977"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5C9E3A42" w14:textId="77777777" w:rsidR="00DE7759" w:rsidRPr="00C94167" w:rsidRDefault="001C161C" w:rsidP="00DE7759">
            <w:pPr>
              <w:spacing w:after="0"/>
              <w:rPr>
                <w:rFonts w:eastAsia="Times New Roman"/>
              </w:rPr>
            </w:pPr>
            <w:r w:rsidRPr="00C94167">
              <w:rPr>
                <w:rFonts w:eastAsia="Times New Roman"/>
                <w:rtl/>
              </w:rPr>
              <w:t>צריכה פרטית</w:t>
            </w:r>
          </w:p>
        </w:tc>
        <w:tc>
          <w:tcPr>
            <w:tcW w:w="376" w:type="pct"/>
            <w:tcBorders>
              <w:top w:val="nil"/>
              <w:left w:val="nil"/>
              <w:bottom w:val="nil"/>
              <w:right w:val="nil"/>
            </w:tcBorders>
            <w:shd w:val="clear" w:color="auto" w:fill="FFFFFF" w:themeFill="background1"/>
          </w:tcPr>
          <w:p w14:paraId="3D2DCADF" w14:textId="77777777" w:rsidR="00DE7759" w:rsidRDefault="001C161C" w:rsidP="00DE7759">
            <w:pPr>
              <w:spacing w:after="0"/>
              <w:rPr>
                <w:rFonts w:eastAsia="Times New Roman"/>
                <w:b/>
                <w:bCs/>
                <w:color w:val="000000"/>
                <w:rtl/>
              </w:rPr>
            </w:pPr>
            <w:r>
              <w:rPr>
                <w:rFonts w:eastAsia="Times New Roman" w:hint="cs"/>
                <w:b/>
                <w:bCs/>
                <w:color w:val="000000"/>
                <w:rtl/>
              </w:rPr>
              <w:t>3.3</w:t>
            </w:r>
          </w:p>
        </w:tc>
        <w:tc>
          <w:tcPr>
            <w:tcW w:w="484" w:type="pct"/>
            <w:tcBorders>
              <w:top w:val="nil"/>
              <w:left w:val="nil"/>
              <w:bottom w:val="nil"/>
              <w:right w:val="nil"/>
            </w:tcBorders>
            <w:shd w:val="clear" w:color="auto" w:fill="FFFFFF" w:themeFill="background1"/>
            <w:noWrap/>
            <w:vAlign w:val="bottom"/>
            <w:hideMark/>
          </w:tcPr>
          <w:p w14:paraId="20CC9F23"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Pr>
              <w:t>4.0</w:t>
            </w:r>
          </w:p>
        </w:tc>
        <w:tc>
          <w:tcPr>
            <w:tcW w:w="498" w:type="pct"/>
            <w:tcBorders>
              <w:top w:val="nil"/>
              <w:left w:val="nil"/>
              <w:bottom w:val="nil"/>
              <w:right w:val="nil"/>
            </w:tcBorders>
            <w:shd w:val="clear" w:color="auto" w:fill="FFFFFF" w:themeFill="background1"/>
            <w:noWrap/>
            <w:vAlign w:val="bottom"/>
            <w:hideMark/>
          </w:tcPr>
          <w:p w14:paraId="6501B830"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eastAsia="Calibri" w:hAnsi="Calibri" w:cs="Calibri"/>
                <w:color w:val="1F497D"/>
                <w:kern w:val="24"/>
                <w:sz w:val="22"/>
                <w:szCs w:val="22"/>
              </w:rPr>
              <w:t>1.0</w:t>
            </w:r>
          </w:p>
        </w:tc>
        <w:tc>
          <w:tcPr>
            <w:tcW w:w="431" w:type="pct"/>
            <w:tcBorders>
              <w:top w:val="nil"/>
              <w:left w:val="nil"/>
              <w:bottom w:val="nil"/>
              <w:right w:val="nil"/>
            </w:tcBorders>
            <w:shd w:val="clear" w:color="auto" w:fill="FFFFFF" w:themeFill="background1"/>
            <w:noWrap/>
            <w:vAlign w:val="bottom"/>
            <w:hideMark/>
          </w:tcPr>
          <w:p w14:paraId="0E03E54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7.5</w:t>
            </w:r>
          </w:p>
        </w:tc>
        <w:tc>
          <w:tcPr>
            <w:tcW w:w="465" w:type="pct"/>
            <w:tcBorders>
              <w:top w:val="nil"/>
              <w:left w:val="nil"/>
              <w:bottom w:val="nil"/>
              <w:right w:val="nil"/>
            </w:tcBorders>
            <w:shd w:val="clear" w:color="auto" w:fill="FFFFFF" w:themeFill="background1"/>
            <w:noWrap/>
            <w:vAlign w:val="bottom"/>
            <w:hideMark/>
          </w:tcPr>
          <w:p w14:paraId="468088F9"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eastAsia="Calibri" w:hAnsi="Calibri" w:cs="Calibri"/>
                <w:color w:val="1F497D"/>
                <w:kern w:val="24"/>
                <w:sz w:val="22"/>
                <w:szCs w:val="22"/>
                <w:rtl/>
              </w:rPr>
              <w:t>0.5</w:t>
            </w:r>
          </w:p>
        </w:tc>
        <w:tc>
          <w:tcPr>
            <w:tcW w:w="492" w:type="pct"/>
            <w:tcBorders>
              <w:top w:val="nil"/>
              <w:left w:val="nil"/>
              <w:bottom w:val="nil"/>
              <w:right w:val="nil"/>
            </w:tcBorders>
            <w:shd w:val="clear" w:color="auto" w:fill="FFFFFF" w:themeFill="background1"/>
            <w:vAlign w:val="bottom"/>
          </w:tcPr>
          <w:p w14:paraId="4C1395AB"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5.0</w:t>
            </w:r>
          </w:p>
        </w:tc>
      </w:tr>
      <w:tr w:rsidR="007C5EE7" w14:paraId="2E70D52E"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094923A1" w14:textId="77777777" w:rsidR="00DE7759" w:rsidRPr="00C94167" w:rsidRDefault="001C161C" w:rsidP="00DE7759">
            <w:pPr>
              <w:spacing w:after="0"/>
              <w:rPr>
                <w:rFonts w:eastAsia="Times New Roman"/>
              </w:rPr>
            </w:pPr>
            <w:r w:rsidRPr="00C94167">
              <w:rPr>
                <w:rFonts w:eastAsia="Times New Roman"/>
                <w:rtl/>
              </w:rPr>
              <w:t>השקעה בנכסים קבועים (ללא אוניות ומטוסים)</w:t>
            </w:r>
          </w:p>
        </w:tc>
        <w:tc>
          <w:tcPr>
            <w:tcW w:w="376" w:type="pct"/>
            <w:tcBorders>
              <w:top w:val="nil"/>
              <w:left w:val="nil"/>
              <w:bottom w:val="nil"/>
              <w:right w:val="nil"/>
            </w:tcBorders>
            <w:shd w:val="clear" w:color="auto" w:fill="FFFFFF" w:themeFill="background1"/>
          </w:tcPr>
          <w:p w14:paraId="55E89035" w14:textId="77777777" w:rsidR="00DE7759" w:rsidRDefault="001C161C" w:rsidP="00DE7759">
            <w:pPr>
              <w:spacing w:after="0"/>
              <w:rPr>
                <w:rFonts w:eastAsia="Times New Roman"/>
                <w:b/>
                <w:bCs/>
                <w:color w:val="000000"/>
                <w:rtl/>
              </w:rPr>
            </w:pPr>
            <w:r>
              <w:rPr>
                <w:rFonts w:eastAsia="Times New Roman" w:hint="cs"/>
                <w:b/>
                <w:bCs/>
                <w:color w:val="000000"/>
                <w:rtl/>
              </w:rPr>
              <w:t>5.5-</w:t>
            </w:r>
          </w:p>
        </w:tc>
        <w:tc>
          <w:tcPr>
            <w:tcW w:w="484" w:type="pct"/>
            <w:tcBorders>
              <w:top w:val="nil"/>
              <w:left w:val="nil"/>
              <w:bottom w:val="nil"/>
              <w:right w:val="nil"/>
            </w:tcBorders>
            <w:shd w:val="clear" w:color="auto" w:fill="FFFFFF" w:themeFill="background1"/>
            <w:noWrap/>
            <w:vAlign w:val="bottom"/>
            <w:hideMark/>
          </w:tcPr>
          <w:p w14:paraId="55F12E59"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10.0</w:t>
            </w:r>
          </w:p>
        </w:tc>
        <w:tc>
          <w:tcPr>
            <w:tcW w:w="498" w:type="pct"/>
            <w:tcBorders>
              <w:top w:val="nil"/>
              <w:left w:val="nil"/>
              <w:bottom w:val="nil"/>
              <w:right w:val="nil"/>
            </w:tcBorders>
            <w:shd w:val="clear" w:color="auto" w:fill="FFFFFF" w:themeFill="background1"/>
            <w:noWrap/>
            <w:vAlign w:val="bottom"/>
            <w:hideMark/>
          </w:tcPr>
          <w:p w14:paraId="208BF828"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2.5</w:t>
            </w:r>
          </w:p>
        </w:tc>
        <w:tc>
          <w:tcPr>
            <w:tcW w:w="431" w:type="pct"/>
            <w:tcBorders>
              <w:top w:val="nil"/>
              <w:left w:val="nil"/>
              <w:bottom w:val="nil"/>
              <w:right w:val="nil"/>
            </w:tcBorders>
            <w:shd w:val="clear" w:color="auto" w:fill="FFFFFF" w:themeFill="background1"/>
            <w:noWrap/>
            <w:vAlign w:val="bottom"/>
            <w:hideMark/>
          </w:tcPr>
          <w:p w14:paraId="34BBD89E" w14:textId="77777777" w:rsidR="00DE7759" w:rsidRPr="00DE7759" w:rsidRDefault="001C161C" w:rsidP="003D05C0">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1</w:t>
            </w:r>
            <w:r w:rsidR="003D05C0">
              <w:rPr>
                <w:rFonts w:ascii="Calibri" w:hAnsi="Calibri" w:cs="Calibri" w:hint="cs"/>
                <w:b/>
                <w:bCs/>
                <w:color w:val="000000"/>
                <w:kern w:val="24"/>
                <w:sz w:val="22"/>
                <w:szCs w:val="22"/>
                <w:rtl/>
              </w:rPr>
              <w:t>3</w:t>
            </w:r>
            <w:r w:rsidRPr="00DE7759">
              <w:rPr>
                <w:rFonts w:ascii="Calibri" w:hAnsi="Calibri" w:cs="Calibri"/>
                <w:b/>
                <w:bCs/>
                <w:color w:val="000000"/>
                <w:kern w:val="24"/>
                <w:sz w:val="22"/>
                <w:szCs w:val="22"/>
                <w:rtl/>
              </w:rPr>
              <w:t>.0</w:t>
            </w:r>
          </w:p>
        </w:tc>
        <w:tc>
          <w:tcPr>
            <w:tcW w:w="465" w:type="pct"/>
            <w:tcBorders>
              <w:top w:val="nil"/>
              <w:left w:val="nil"/>
              <w:bottom w:val="nil"/>
              <w:right w:val="nil"/>
            </w:tcBorders>
            <w:shd w:val="clear" w:color="auto" w:fill="FFFFFF" w:themeFill="background1"/>
            <w:noWrap/>
            <w:vAlign w:val="bottom"/>
            <w:hideMark/>
          </w:tcPr>
          <w:p w14:paraId="2572072F"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Pr>
            </w:pPr>
            <w:r>
              <w:rPr>
                <w:rFonts w:ascii="Calibri" w:hAnsi="Calibri" w:cs="Calibri"/>
                <w:color w:val="1F497D"/>
                <w:kern w:val="24"/>
                <w:sz w:val="22"/>
                <w:szCs w:val="22"/>
              </w:rPr>
              <w:t>-</w:t>
            </w:r>
            <w:r w:rsidR="001C161C" w:rsidRPr="00DE7759">
              <w:rPr>
                <w:rFonts w:ascii="Calibri" w:hAnsi="Calibri" w:cs="Calibri"/>
                <w:color w:val="1F497D"/>
                <w:kern w:val="24"/>
                <w:sz w:val="22"/>
                <w:szCs w:val="22"/>
                <w:rtl/>
              </w:rPr>
              <w:t>1.0</w:t>
            </w:r>
          </w:p>
        </w:tc>
        <w:tc>
          <w:tcPr>
            <w:tcW w:w="492" w:type="pct"/>
            <w:tcBorders>
              <w:top w:val="nil"/>
              <w:left w:val="nil"/>
              <w:bottom w:val="nil"/>
              <w:right w:val="nil"/>
            </w:tcBorders>
            <w:shd w:val="clear" w:color="auto" w:fill="FFFFFF" w:themeFill="background1"/>
            <w:vAlign w:val="bottom"/>
          </w:tcPr>
          <w:p w14:paraId="228A4B20"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kern w:val="24"/>
                <w:sz w:val="22"/>
                <w:szCs w:val="22"/>
                <w:rtl/>
              </w:rPr>
              <w:t>8.0</w:t>
            </w:r>
          </w:p>
        </w:tc>
      </w:tr>
      <w:tr w:rsidR="007C5EE7" w14:paraId="5026BC82"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39AF1549" w14:textId="77777777" w:rsidR="00DE7759" w:rsidRPr="00C94167" w:rsidRDefault="001C161C" w:rsidP="00DE7759">
            <w:pPr>
              <w:spacing w:after="0"/>
              <w:rPr>
                <w:rFonts w:eastAsia="Times New Roman"/>
              </w:rPr>
            </w:pPr>
            <w:r w:rsidRPr="00C94167">
              <w:rPr>
                <w:rFonts w:eastAsia="Times New Roman"/>
                <w:rtl/>
              </w:rPr>
              <w:t>צריכה ציבורית (ללא יבוא ביטחוני)</w:t>
            </w:r>
          </w:p>
        </w:tc>
        <w:tc>
          <w:tcPr>
            <w:tcW w:w="376" w:type="pct"/>
            <w:tcBorders>
              <w:top w:val="nil"/>
              <w:left w:val="nil"/>
              <w:bottom w:val="nil"/>
              <w:right w:val="nil"/>
            </w:tcBorders>
            <w:shd w:val="clear" w:color="auto" w:fill="FFFFFF" w:themeFill="background1"/>
          </w:tcPr>
          <w:p w14:paraId="0CD0679E" w14:textId="77777777" w:rsidR="00DE7759" w:rsidRDefault="001C161C" w:rsidP="00DE7759">
            <w:pPr>
              <w:spacing w:after="0"/>
              <w:rPr>
                <w:rFonts w:eastAsia="Times New Roman"/>
                <w:b/>
                <w:bCs/>
                <w:color w:val="000000"/>
                <w:rtl/>
              </w:rPr>
            </w:pPr>
            <w:r>
              <w:rPr>
                <w:rFonts w:eastAsia="Times New Roman" w:hint="cs"/>
                <w:b/>
                <w:bCs/>
                <w:color w:val="000000"/>
                <w:rtl/>
              </w:rPr>
              <w:t>9.4</w:t>
            </w:r>
          </w:p>
        </w:tc>
        <w:tc>
          <w:tcPr>
            <w:tcW w:w="484" w:type="pct"/>
            <w:tcBorders>
              <w:top w:val="nil"/>
              <w:left w:val="nil"/>
              <w:bottom w:val="nil"/>
              <w:right w:val="nil"/>
            </w:tcBorders>
            <w:shd w:val="clear" w:color="auto" w:fill="FFFFFF" w:themeFill="background1"/>
            <w:noWrap/>
            <w:vAlign w:val="bottom"/>
            <w:hideMark/>
          </w:tcPr>
          <w:p w14:paraId="3223C090"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2.0</w:t>
            </w:r>
          </w:p>
        </w:tc>
        <w:tc>
          <w:tcPr>
            <w:tcW w:w="498" w:type="pct"/>
            <w:tcBorders>
              <w:top w:val="nil"/>
              <w:left w:val="nil"/>
              <w:bottom w:val="nil"/>
              <w:right w:val="nil"/>
            </w:tcBorders>
            <w:shd w:val="clear" w:color="auto" w:fill="FFFFFF" w:themeFill="background1"/>
            <w:noWrap/>
            <w:vAlign w:val="bottom"/>
            <w:hideMark/>
          </w:tcPr>
          <w:p w14:paraId="209F1594"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2.5</w:t>
            </w:r>
          </w:p>
        </w:tc>
        <w:tc>
          <w:tcPr>
            <w:tcW w:w="431" w:type="pct"/>
            <w:tcBorders>
              <w:top w:val="nil"/>
              <w:left w:val="nil"/>
              <w:bottom w:val="nil"/>
              <w:right w:val="nil"/>
            </w:tcBorders>
            <w:shd w:val="clear" w:color="auto" w:fill="FFFFFF" w:themeFill="background1"/>
            <w:noWrap/>
            <w:vAlign w:val="bottom"/>
            <w:hideMark/>
          </w:tcPr>
          <w:p w14:paraId="120B8A43"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eastAsia="Calibri" w:hAnsi="Calibri" w:cs="Calibri"/>
                <w:b/>
                <w:bCs/>
                <w:color w:val="000000"/>
                <w:kern w:val="24"/>
                <w:sz w:val="22"/>
                <w:szCs w:val="22"/>
                <w:rtl/>
              </w:rPr>
              <w:t>1.0</w:t>
            </w:r>
          </w:p>
        </w:tc>
        <w:tc>
          <w:tcPr>
            <w:tcW w:w="465" w:type="pct"/>
            <w:tcBorders>
              <w:top w:val="nil"/>
              <w:left w:val="nil"/>
              <w:bottom w:val="nil"/>
              <w:right w:val="nil"/>
            </w:tcBorders>
            <w:shd w:val="clear" w:color="auto" w:fill="FFFFFF" w:themeFill="background1"/>
            <w:noWrap/>
            <w:vAlign w:val="bottom"/>
            <w:hideMark/>
          </w:tcPr>
          <w:p w14:paraId="5FC3E85B"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2.0</w:t>
            </w:r>
          </w:p>
        </w:tc>
        <w:tc>
          <w:tcPr>
            <w:tcW w:w="492" w:type="pct"/>
            <w:tcBorders>
              <w:top w:val="nil"/>
              <w:left w:val="nil"/>
              <w:bottom w:val="nil"/>
              <w:right w:val="nil"/>
            </w:tcBorders>
            <w:shd w:val="clear" w:color="auto" w:fill="FFFFFF" w:themeFill="background1"/>
            <w:vAlign w:val="bottom"/>
          </w:tcPr>
          <w:p w14:paraId="79B5D7DA"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3.5</w:t>
            </w:r>
          </w:p>
        </w:tc>
      </w:tr>
      <w:tr w:rsidR="007C5EE7" w14:paraId="2D3F4FFF"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791A99DF" w14:textId="77777777" w:rsidR="00DE7759" w:rsidRPr="00C94167" w:rsidRDefault="001C161C" w:rsidP="00DE7759">
            <w:pPr>
              <w:spacing w:after="0"/>
              <w:rPr>
                <w:rFonts w:eastAsia="Times New Roman"/>
              </w:rPr>
            </w:pPr>
            <w:r w:rsidRPr="00C94167">
              <w:rPr>
                <w:rFonts w:eastAsia="Times New Roman"/>
                <w:rtl/>
              </w:rPr>
              <w:t>יצוא (ללא יהלומים והזנק)</w:t>
            </w:r>
          </w:p>
        </w:tc>
        <w:tc>
          <w:tcPr>
            <w:tcW w:w="376" w:type="pct"/>
            <w:tcBorders>
              <w:top w:val="nil"/>
              <w:left w:val="nil"/>
              <w:bottom w:val="nil"/>
              <w:right w:val="nil"/>
            </w:tcBorders>
            <w:shd w:val="clear" w:color="auto" w:fill="FFFFFF" w:themeFill="background1"/>
          </w:tcPr>
          <w:p w14:paraId="0C8DE744" w14:textId="77777777" w:rsidR="00DE7759" w:rsidRDefault="001C161C" w:rsidP="00DE7759">
            <w:pPr>
              <w:spacing w:after="0"/>
              <w:rPr>
                <w:rFonts w:eastAsia="Times New Roman"/>
                <w:b/>
                <w:bCs/>
                <w:color w:val="000000"/>
                <w:rtl/>
              </w:rPr>
            </w:pPr>
            <w:r>
              <w:rPr>
                <w:rFonts w:eastAsia="Times New Roman" w:hint="cs"/>
                <w:b/>
                <w:bCs/>
                <w:color w:val="000000"/>
                <w:rtl/>
              </w:rPr>
              <w:t>4.4-</w:t>
            </w:r>
          </w:p>
        </w:tc>
        <w:tc>
          <w:tcPr>
            <w:tcW w:w="484" w:type="pct"/>
            <w:tcBorders>
              <w:top w:val="nil"/>
              <w:left w:val="nil"/>
              <w:bottom w:val="nil"/>
              <w:right w:val="nil"/>
            </w:tcBorders>
            <w:shd w:val="clear" w:color="auto" w:fill="FFFFFF" w:themeFill="background1"/>
            <w:noWrap/>
            <w:vAlign w:val="bottom"/>
            <w:hideMark/>
          </w:tcPr>
          <w:p w14:paraId="3AEDDAD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4.5</w:t>
            </w:r>
          </w:p>
        </w:tc>
        <w:tc>
          <w:tcPr>
            <w:tcW w:w="498" w:type="pct"/>
            <w:tcBorders>
              <w:top w:val="nil"/>
              <w:left w:val="nil"/>
              <w:bottom w:val="nil"/>
              <w:right w:val="nil"/>
            </w:tcBorders>
            <w:shd w:val="clear" w:color="auto" w:fill="FFFFFF" w:themeFill="background1"/>
            <w:noWrap/>
            <w:vAlign w:val="bottom"/>
            <w:hideMark/>
          </w:tcPr>
          <w:p w14:paraId="51F25535" w14:textId="77777777" w:rsidR="00DE7759" w:rsidRPr="00DE7759" w:rsidRDefault="001C161C" w:rsidP="00DE7759">
            <w:pPr>
              <w:pStyle w:val="NormalWeb"/>
              <w:bidi/>
              <w:spacing w:before="0" w:beforeAutospacing="0" w:after="0" w:afterAutospacing="0" w:line="276" w:lineRule="auto"/>
              <w:rPr>
                <w:rFonts w:ascii="Arial" w:hAnsi="Arial" w:cs="Arial"/>
                <w:sz w:val="22"/>
                <w:szCs w:val="22"/>
                <w:rtl/>
              </w:rPr>
            </w:pPr>
            <w:r w:rsidRPr="00DE7759">
              <w:rPr>
                <w:rFonts w:ascii="Calibri" w:hAnsi="Calibri" w:cs="Calibri"/>
                <w:color w:val="1F497D"/>
                <w:kern w:val="24"/>
                <w:sz w:val="22"/>
                <w:szCs w:val="22"/>
                <w:rtl/>
              </w:rPr>
              <w:t>1.0</w:t>
            </w:r>
          </w:p>
        </w:tc>
        <w:tc>
          <w:tcPr>
            <w:tcW w:w="431" w:type="pct"/>
            <w:tcBorders>
              <w:top w:val="nil"/>
              <w:left w:val="nil"/>
              <w:bottom w:val="nil"/>
              <w:right w:val="nil"/>
            </w:tcBorders>
            <w:shd w:val="clear" w:color="auto" w:fill="FFFFFF" w:themeFill="background1"/>
            <w:noWrap/>
            <w:vAlign w:val="bottom"/>
            <w:hideMark/>
          </w:tcPr>
          <w:p w14:paraId="58BBB4EF" w14:textId="77777777" w:rsidR="00DE7759" w:rsidRPr="00DE7759" w:rsidRDefault="001C161C" w:rsidP="00DE7759">
            <w:pPr>
              <w:pStyle w:val="NormalWeb"/>
              <w:bidi/>
              <w:spacing w:before="0" w:beforeAutospacing="0" w:after="0" w:afterAutospacing="0" w:line="276" w:lineRule="auto"/>
              <w:rPr>
                <w:rFonts w:ascii="Arial" w:hAnsi="Arial" w:cs="Arial"/>
                <w:sz w:val="22"/>
                <w:szCs w:val="22"/>
                <w:rtl/>
              </w:rPr>
            </w:pPr>
            <w:r w:rsidRPr="00DE7759">
              <w:rPr>
                <w:rFonts w:ascii="Calibri" w:eastAsia="Calibri" w:hAnsi="Calibri" w:cs="Calibri"/>
                <w:b/>
                <w:bCs/>
                <w:color w:val="000000"/>
                <w:kern w:val="24"/>
                <w:sz w:val="22"/>
                <w:szCs w:val="22"/>
                <w:rtl/>
              </w:rPr>
              <w:t>4.5</w:t>
            </w:r>
          </w:p>
        </w:tc>
        <w:tc>
          <w:tcPr>
            <w:tcW w:w="465" w:type="pct"/>
            <w:tcBorders>
              <w:top w:val="nil"/>
              <w:left w:val="nil"/>
              <w:bottom w:val="nil"/>
              <w:right w:val="nil"/>
            </w:tcBorders>
            <w:shd w:val="clear" w:color="auto" w:fill="FFFFFF" w:themeFill="background1"/>
            <w:noWrap/>
            <w:vAlign w:val="bottom"/>
            <w:hideMark/>
          </w:tcPr>
          <w:p w14:paraId="34191722" w14:textId="77777777" w:rsidR="00DE7759" w:rsidRPr="00DE7759" w:rsidRDefault="001C161C" w:rsidP="00DE7759">
            <w:pPr>
              <w:pStyle w:val="NormalWeb"/>
              <w:bidi/>
              <w:spacing w:before="0" w:beforeAutospacing="0" w:after="0" w:afterAutospacing="0" w:line="276" w:lineRule="auto"/>
              <w:rPr>
                <w:rFonts w:ascii="Arial" w:hAnsi="Arial" w:cs="Arial"/>
                <w:sz w:val="22"/>
                <w:szCs w:val="22"/>
                <w:rtl/>
              </w:rPr>
            </w:pPr>
            <w:r w:rsidRPr="00DE7759">
              <w:rPr>
                <w:rFonts w:ascii="Calibri" w:hAnsi="Calibri" w:cs="Calibri"/>
                <w:color w:val="1F497D"/>
                <w:kern w:val="24"/>
                <w:sz w:val="22"/>
                <w:szCs w:val="22"/>
                <w:rtl/>
              </w:rPr>
              <w:t>1.0</w:t>
            </w:r>
          </w:p>
        </w:tc>
        <w:tc>
          <w:tcPr>
            <w:tcW w:w="492" w:type="pct"/>
            <w:tcBorders>
              <w:top w:val="nil"/>
              <w:left w:val="nil"/>
              <w:bottom w:val="nil"/>
              <w:right w:val="nil"/>
            </w:tcBorders>
            <w:shd w:val="clear" w:color="auto" w:fill="FFFFFF" w:themeFill="background1"/>
            <w:vAlign w:val="bottom"/>
          </w:tcPr>
          <w:p w14:paraId="419932D1" w14:textId="77777777" w:rsidR="00DE7759" w:rsidRPr="00DE7759" w:rsidRDefault="001C161C" w:rsidP="00DE7759">
            <w:pPr>
              <w:pStyle w:val="NormalWeb"/>
              <w:bidi/>
              <w:spacing w:before="0" w:beforeAutospacing="0" w:after="0" w:afterAutospacing="0" w:line="276" w:lineRule="auto"/>
              <w:rPr>
                <w:rFonts w:ascii="Arial" w:hAnsi="Arial" w:cs="Arial"/>
                <w:sz w:val="22"/>
                <w:szCs w:val="22"/>
                <w:rtl/>
              </w:rPr>
            </w:pPr>
            <w:r w:rsidRPr="00DE7759">
              <w:rPr>
                <w:rFonts w:ascii="Calibri" w:hAnsi="Calibri" w:cs="Calibri"/>
                <w:b/>
                <w:bCs/>
                <w:color w:val="000000"/>
                <w:kern w:val="24"/>
                <w:sz w:val="22"/>
                <w:szCs w:val="22"/>
                <w:rtl/>
              </w:rPr>
              <w:t>5.0</w:t>
            </w:r>
          </w:p>
        </w:tc>
      </w:tr>
      <w:tr w:rsidR="007C5EE7" w14:paraId="0C6FF643" w14:textId="77777777" w:rsidTr="00DE775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14:paraId="70ECBBD5" w14:textId="77777777" w:rsidR="00DE7759" w:rsidRPr="00C94167" w:rsidRDefault="001C161C" w:rsidP="00DE7759">
            <w:pPr>
              <w:spacing w:after="0"/>
              <w:rPr>
                <w:rFonts w:eastAsia="Times New Roman"/>
              </w:rPr>
            </w:pPr>
            <w:r w:rsidRPr="00C94167">
              <w:rPr>
                <w:rFonts w:eastAsia="Times New Roman"/>
                <w:rtl/>
              </w:rPr>
              <w:t>יבוא אזרחי (ללא יהלומים, אוניות ומטוסים)</w:t>
            </w:r>
          </w:p>
        </w:tc>
        <w:tc>
          <w:tcPr>
            <w:tcW w:w="376" w:type="pct"/>
            <w:tcBorders>
              <w:top w:val="nil"/>
              <w:left w:val="nil"/>
              <w:bottom w:val="single" w:sz="4" w:space="0" w:color="1F497D"/>
              <w:right w:val="nil"/>
            </w:tcBorders>
            <w:shd w:val="clear" w:color="auto" w:fill="FFFFFF" w:themeFill="background1"/>
          </w:tcPr>
          <w:p w14:paraId="44EEBE2F" w14:textId="77777777" w:rsidR="00DE7759" w:rsidRDefault="001C161C" w:rsidP="00DE7759">
            <w:pPr>
              <w:spacing w:after="0"/>
              <w:rPr>
                <w:rFonts w:eastAsia="Times New Roman"/>
                <w:b/>
                <w:bCs/>
                <w:color w:val="000000"/>
                <w:rtl/>
              </w:rPr>
            </w:pPr>
            <w:r>
              <w:rPr>
                <w:rFonts w:eastAsia="Times New Roman" w:hint="cs"/>
                <w:b/>
                <w:bCs/>
                <w:color w:val="000000"/>
                <w:rtl/>
              </w:rPr>
              <w:t>6.9-</w:t>
            </w:r>
          </w:p>
        </w:tc>
        <w:tc>
          <w:tcPr>
            <w:tcW w:w="484" w:type="pct"/>
            <w:tcBorders>
              <w:top w:val="nil"/>
              <w:left w:val="nil"/>
              <w:bottom w:val="single" w:sz="4" w:space="0" w:color="1F497D"/>
              <w:right w:val="nil"/>
            </w:tcBorders>
            <w:shd w:val="clear" w:color="auto" w:fill="FFFFFF" w:themeFill="background1"/>
            <w:noWrap/>
            <w:vAlign w:val="bottom"/>
            <w:hideMark/>
          </w:tcPr>
          <w:p w14:paraId="1602E8D1"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tl/>
              </w:rPr>
              <w:t>10.0</w:t>
            </w:r>
          </w:p>
        </w:tc>
        <w:tc>
          <w:tcPr>
            <w:tcW w:w="498" w:type="pct"/>
            <w:tcBorders>
              <w:top w:val="nil"/>
              <w:left w:val="nil"/>
              <w:bottom w:val="single" w:sz="4" w:space="0" w:color="1F497D"/>
              <w:right w:val="nil"/>
            </w:tcBorders>
            <w:shd w:val="clear" w:color="auto" w:fill="FFFFFF" w:themeFill="background1"/>
            <w:noWrap/>
            <w:vAlign w:val="bottom"/>
            <w:hideMark/>
          </w:tcPr>
          <w:p w14:paraId="08AA684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1.5</w:t>
            </w:r>
          </w:p>
        </w:tc>
        <w:tc>
          <w:tcPr>
            <w:tcW w:w="431" w:type="pct"/>
            <w:tcBorders>
              <w:top w:val="nil"/>
              <w:left w:val="nil"/>
              <w:bottom w:val="single" w:sz="4" w:space="0" w:color="1F497D"/>
              <w:right w:val="nil"/>
            </w:tcBorders>
            <w:shd w:val="clear" w:color="auto" w:fill="FFFFFF" w:themeFill="background1"/>
            <w:noWrap/>
            <w:vAlign w:val="bottom"/>
            <w:hideMark/>
          </w:tcPr>
          <w:p w14:paraId="0C702BAA"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kern w:val="24"/>
                <w:sz w:val="22"/>
                <w:szCs w:val="22"/>
                <w:rtl/>
              </w:rPr>
              <w:t>8.0</w:t>
            </w:r>
          </w:p>
        </w:tc>
        <w:tc>
          <w:tcPr>
            <w:tcW w:w="465" w:type="pct"/>
            <w:tcBorders>
              <w:top w:val="nil"/>
              <w:left w:val="nil"/>
              <w:bottom w:val="single" w:sz="4" w:space="0" w:color="1F497D"/>
              <w:right w:val="nil"/>
            </w:tcBorders>
            <w:shd w:val="clear" w:color="auto" w:fill="FFFFFF" w:themeFill="background1"/>
            <w:noWrap/>
            <w:vAlign w:val="bottom"/>
            <w:hideMark/>
          </w:tcPr>
          <w:p w14:paraId="4647DC7E"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0.5-</w:t>
            </w:r>
          </w:p>
        </w:tc>
        <w:tc>
          <w:tcPr>
            <w:tcW w:w="492" w:type="pct"/>
            <w:tcBorders>
              <w:top w:val="nil"/>
              <w:left w:val="nil"/>
              <w:bottom w:val="single" w:sz="4" w:space="0" w:color="1F497D"/>
              <w:right w:val="nil"/>
            </w:tcBorders>
            <w:shd w:val="clear" w:color="auto" w:fill="FFFFFF" w:themeFill="background1"/>
            <w:vAlign w:val="bottom"/>
          </w:tcPr>
          <w:p w14:paraId="4DE2AF68" w14:textId="77777777" w:rsidR="00DE7759" w:rsidRPr="00DE7759" w:rsidRDefault="003D05C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kern w:val="24"/>
                <w:sz w:val="22"/>
                <w:szCs w:val="22"/>
                <w:rtl/>
              </w:rPr>
              <w:t>7.0</w:t>
            </w:r>
          </w:p>
        </w:tc>
      </w:tr>
      <w:tr w:rsidR="007C5EE7" w14:paraId="391975C8" w14:textId="77777777" w:rsidTr="00DE775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3E4714C6" w14:textId="77777777" w:rsidR="00DE7759" w:rsidRPr="00C94167" w:rsidRDefault="001C161C" w:rsidP="00DE7759">
            <w:pPr>
              <w:spacing w:after="0"/>
              <w:rPr>
                <w:rFonts w:eastAsia="Times New Roman"/>
              </w:rPr>
            </w:pPr>
            <w:r w:rsidRPr="00C94167">
              <w:rPr>
                <w:rFonts w:eastAsia="Times New Roman" w:hint="cs"/>
                <w:rtl/>
              </w:rPr>
              <w:t>שיעור האבטלה הרחב</w:t>
            </w:r>
            <w:r>
              <w:rPr>
                <w:rFonts w:eastAsia="Times New Roman" w:hint="cs"/>
                <w:rtl/>
              </w:rPr>
              <w:t>ה</w:t>
            </w:r>
            <w:r w:rsidRPr="00C94167">
              <w:rPr>
                <w:rFonts w:eastAsia="Times New Roman" w:hint="cs"/>
                <w:rtl/>
              </w:rPr>
              <w:t xml:space="preserve"> (גיל</w:t>
            </w:r>
            <w:r>
              <w:rPr>
                <w:rFonts w:eastAsia="Times New Roman" w:hint="cs"/>
                <w:rtl/>
              </w:rPr>
              <w:t>א</w:t>
            </w:r>
            <w:r w:rsidRPr="00C94167">
              <w:rPr>
                <w:rFonts w:eastAsia="Times New Roman" w:hint="cs"/>
                <w:rtl/>
              </w:rPr>
              <w:t>י 25–64)</w:t>
            </w:r>
            <w:r w:rsidRPr="00C94167">
              <w:rPr>
                <w:rFonts w:eastAsia="Times New Roman"/>
                <w:vertAlign w:val="superscript"/>
                <w:rtl/>
              </w:rPr>
              <w:t>2</w:t>
            </w:r>
          </w:p>
        </w:tc>
        <w:tc>
          <w:tcPr>
            <w:tcW w:w="376" w:type="pct"/>
            <w:tcBorders>
              <w:top w:val="nil"/>
              <w:left w:val="nil"/>
              <w:bottom w:val="nil"/>
              <w:right w:val="nil"/>
            </w:tcBorders>
            <w:shd w:val="clear" w:color="auto" w:fill="FFFFFF" w:themeFill="background1"/>
          </w:tcPr>
          <w:p w14:paraId="47F4BEC1" w14:textId="77777777" w:rsidR="00DE7759" w:rsidRDefault="001C161C" w:rsidP="00DE7759">
            <w:pPr>
              <w:spacing w:after="0"/>
              <w:rPr>
                <w:rFonts w:eastAsia="Times New Roman"/>
                <w:b/>
                <w:bCs/>
                <w:color w:val="000000"/>
                <w:rtl/>
              </w:rPr>
            </w:pPr>
            <w:r>
              <w:rPr>
                <w:rFonts w:eastAsia="Times New Roman" w:hint="cs"/>
                <w:b/>
                <w:bCs/>
                <w:color w:val="000000"/>
                <w:rtl/>
              </w:rPr>
              <w:t>3.5</w:t>
            </w:r>
          </w:p>
        </w:tc>
        <w:tc>
          <w:tcPr>
            <w:tcW w:w="484" w:type="pct"/>
            <w:tcBorders>
              <w:top w:val="nil"/>
              <w:left w:val="nil"/>
              <w:bottom w:val="nil"/>
              <w:right w:val="nil"/>
            </w:tcBorders>
            <w:shd w:val="clear" w:color="auto" w:fill="FFFFFF" w:themeFill="background1"/>
            <w:vAlign w:val="center"/>
            <w:hideMark/>
          </w:tcPr>
          <w:p w14:paraId="1346CF41"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Pr>
              <w:t>3.4</w:t>
            </w:r>
          </w:p>
        </w:tc>
        <w:tc>
          <w:tcPr>
            <w:tcW w:w="498" w:type="pct"/>
            <w:tcBorders>
              <w:top w:val="nil"/>
              <w:left w:val="nil"/>
              <w:bottom w:val="nil"/>
              <w:right w:val="nil"/>
            </w:tcBorders>
            <w:shd w:val="clear" w:color="auto" w:fill="FFFFFF" w:themeFill="background1"/>
            <w:vAlign w:val="center"/>
            <w:hideMark/>
          </w:tcPr>
          <w:p w14:paraId="1E899BA0" w14:textId="03E34E4A" w:rsidR="00DE7759" w:rsidRPr="00DE7759" w:rsidRDefault="00AD4F64"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0.0</w:t>
            </w:r>
          </w:p>
        </w:tc>
        <w:tc>
          <w:tcPr>
            <w:tcW w:w="431" w:type="pct"/>
            <w:tcBorders>
              <w:top w:val="nil"/>
              <w:left w:val="nil"/>
              <w:bottom w:val="nil"/>
              <w:right w:val="nil"/>
            </w:tcBorders>
            <w:shd w:val="clear" w:color="auto" w:fill="FFFFFF" w:themeFill="background1"/>
            <w:vAlign w:val="center"/>
            <w:hideMark/>
          </w:tcPr>
          <w:p w14:paraId="202406A5" w14:textId="77777777" w:rsidR="00DE7759" w:rsidRPr="00DE7759" w:rsidRDefault="00C5698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kern w:val="24"/>
                <w:sz w:val="22"/>
                <w:szCs w:val="22"/>
                <w:rtl/>
              </w:rPr>
              <w:t>3.3</w:t>
            </w:r>
          </w:p>
        </w:tc>
        <w:tc>
          <w:tcPr>
            <w:tcW w:w="465" w:type="pct"/>
            <w:tcBorders>
              <w:top w:val="nil"/>
              <w:left w:val="nil"/>
              <w:bottom w:val="nil"/>
              <w:right w:val="nil"/>
            </w:tcBorders>
            <w:shd w:val="clear" w:color="auto" w:fill="FFFFFF" w:themeFill="background1"/>
            <w:vAlign w:val="center"/>
            <w:hideMark/>
          </w:tcPr>
          <w:p w14:paraId="211FA04A" w14:textId="09AAFB28" w:rsidR="00DE7759" w:rsidRPr="00DE7759" w:rsidRDefault="00AD4F64" w:rsidP="00495403">
            <w:pPr>
              <w:pStyle w:val="NormalWeb"/>
              <w:bidi/>
              <w:spacing w:before="0" w:beforeAutospacing="0" w:after="0" w:afterAutospacing="0" w:line="276" w:lineRule="auto"/>
              <w:rPr>
                <w:rFonts w:ascii="Arial" w:hAnsi="Arial" w:cs="Arial"/>
                <w:sz w:val="22"/>
                <w:szCs w:val="22"/>
                <w:rtl/>
              </w:rPr>
            </w:pPr>
            <w:r>
              <w:rPr>
                <w:rFonts w:ascii="Calibri" w:hAnsi="Calibri" w:cs="Calibri" w:hint="cs"/>
                <w:color w:val="1F497D"/>
                <w:kern w:val="24"/>
                <w:sz w:val="22"/>
                <w:szCs w:val="22"/>
                <w:rtl/>
              </w:rPr>
              <w:t>0.1</w:t>
            </w:r>
            <w:r w:rsidR="00495403">
              <w:rPr>
                <w:rFonts w:ascii="Calibri" w:hAnsi="Calibri" w:cs="Calibri" w:hint="cs"/>
                <w:color w:val="1F497D"/>
                <w:kern w:val="24"/>
                <w:sz w:val="22"/>
                <w:szCs w:val="22"/>
                <w:rtl/>
              </w:rPr>
              <w:t>-</w:t>
            </w:r>
          </w:p>
        </w:tc>
        <w:tc>
          <w:tcPr>
            <w:tcW w:w="492" w:type="pct"/>
            <w:tcBorders>
              <w:top w:val="nil"/>
              <w:left w:val="nil"/>
              <w:bottom w:val="nil"/>
              <w:right w:val="nil"/>
            </w:tcBorders>
            <w:shd w:val="clear" w:color="auto" w:fill="FFFFFF" w:themeFill="background1"/>
            <w:vAlign w:val="center"/>
          </w:tcPr>
          <w:p w14:paraId="55550123" w14:textId="77777777" w:rsidR="00DE7759" w:rsidRPr="00DE7759" w:rsidRDefault="00C56980" w:rsidP="00C56980">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themeColor="text1"/>
                <w:kern w:val="24"/>
                <w:sz w:val="22"/>
                <w:szCs w:val="22"/>
                <w:rtl/>
              </w:rPr>
              <w:t>3.5</w:t>
            </w:r>
          </w:p>
        </w:tc>
      </w:tr>
      <w:tr w:rsidR="007C5EE7" w14:paraId="324AD487" w14:textId="77777777" w:rsidTr="00DE775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14:paraId="20C839DF" w14:textId="77777777" w:rsidR="00DE7759" w:rsidRPr="00C94167" w:rsidRDefault="001C161C" w:rsidP="00DE7759">
            <w:pPr>
              <w:spacing w:after="0"/>
              <w:rPr>
                <w:rFonts w:eastAsia="Times New Roman"/>
              </w:rPr>
            </w:pPr>
            <w:r w:rsidRPr="00C94167">
              <w:rPr>
                <w:rFonts w:eastAsia="Times New Roman" w:hint="cs"/>
                <w:rtl/>
              </w:rPr>
              <w:t>שיעור התעסוקה המותאם (גיל</w:t>
            </w:r>
            <w:r>
              <w:rPr>
                <w:rFonts w:eastAsia="Times New Roman" w:hint="cs"/>
                <w:rtl/>
              </w:rPr>
              <w:t>א</w:t>
            </w:r>
            <w:r w:rsidRPr="00C94167">
              <w:rPr>
                <w:rFonts w:eastAsia="Times New Roman" w:hint="cs"/>
                <w:rtl/>
              </w:rPr>
              <w:t>י 25–64)</w:t>
            </w:r>
            <w:r w:rsidRPr="00C94167">
              <w:rPr>
                <w:rFonts w:eastAsia="Times New Roman"/>
                <w:vertAlign w:val="superscript"/>
                <w:rtl/>
              </w:rPr>
              <w:t>2</w:t>
            </w:r>
          </w:p>
        </w:tc>
        <w:tc>
          <w:tcPr>
            <w:tcW w:w="376" w:type="pct"/>
            <w:tcBorders>
              <w:top w:val="nil"/>
              <w:left w:val="nil"/>
              <w:bottom w:val="single" w:sz="4" w:space="0" w:color="1F497D"/>
              <w:right w:val="nil"/>
            </w:tcBorders>
            <w:shd w:val="clear" w:color="auto" w:fill="FFFFFF" w:themeFill="background1"/>
          </w:tcPr>
          <w:p w14:paraId="3C60ED0A" w14:textId="77777777" w:rsidR="00DE7759" w:rsidRDefault="001C161C" w:rsidP="00DE7759">
            <w:pPr>
              <w:spacing w:after="0"/>
              <w:rPr>
                <w:rFonts w:eastAsia="Times New Roman"/>
                <w:b/>
                <w:bCs/>
                <w:color w:val="000000"/>
              </w:rPr>
            </w:pPr>
            <w:r>
              <w:rPr>
                <w:rFonts w:eastAsia="Times New Roman" w:hint="cs"/>
                <w:b/>
                <w:bCs/>
                <w:color w:val="000000"/>
                <w:rtl/>
              </w:rPr>
              <w:t>77.8</w:t>
            </w:r>
          </w:p>
        </w:tc>
        <w:tc>
          <w:tcPr>
            <w:tcW w:w="484" w:type="pct"/>
            <w:tcBorders>
              <w:top w:val="nil"/>
              <w:left w:val="nil"/>
              <w:bottom w:val="single" w:sz="4" w:space="0" w:color="1F497D"/>
              <w:right w:val="nil"/>
            </w:tcBorders>
            <w:shd w:val="clear" w:color="auto" w:fill="FFFFFF" w:themeFill="background1"/>
            <w:noWrap/>
            <w:vAlign w:val="bottom"/>
            <w:hideMark/>
          </w:tcPr>
          <w:p w14:paraId="6D7267FB"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kern w:val="24"/>
                <w:sz w:val="22"/>
                <w:szCs w:val="22"/>
              </w:rPr>
              <w:t>78.2</w:t>
            </w:r>
          </w:p>
        </w:tc>
        <w:tc>
          <w:tcPr>
            <w:tcW w:w="498" w:type="pct"/>
            <w:tcBorders>
              <w:top w:val="nil"/>
              <w:left w:val="nil"/>
              <w:bottom w:val="single" w:sz="4" w:space="0" w:color="1F497D"/>
              <w:right w:val="nil"/>
            </w:tcBorders>
            <w:shd w:val="clear" w:color="auto" w:fill="FFFFFF" w:themeFill="background1"/>
            <w:noWrap/>
            <w:vAlign w:val="bottom"/>
            <w:hideMark/>
          </w:tcPr>
          <w:p w14:paraId="590BEFBC"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Pr>
              <w:t>-0.2</w:t>
            </w:r>
          </w:p>
        </w:tc>
        <w:tc>
          <w:tcPr>
            <w:tcW w:w="431" w:type="pct"/>
            <w:tcBorders>
              <w:top w:val="nil"/>
              <w:left w:val="nil"/>
              <w:bottom w:val="single" w:sz="4" w:space="0" w:color="1F497D"/>
              <w:right w:val="nil"/>
            </w:tcBorders>
            <w:shd w:val="clear" w:color="auto" w:fill="FFFFFF" w:themeFill="background1"/>
            <w:noWrap/>
            <w:vAlign w:val="bottom"/>
            <w:hideMark/>
          </w:tcPr>
          <w:p w14:paraId="39F8DA56" w14:textId="77777777" w:rsidR="00DE7759" w:rsidRPr="00DE7759" w:rsidRDefault="00C5698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themeColor="text1"/>
                <w:kern w:val="24"/>
                <w:sz w:val="22"/>
                <w:szCs w:val="22"/>
                <w:rtl/>
              </w:rPr>
              <w:t>80.1</w:t>
            </w:r>
          </w:p>
        </w:tc>
        <w:tc>
          <w:tcPr>
            <w:tcW w:w="465" w:type="pct"/>
            <w:tcBorders>
              <w:top w:val="nil"/>
              <w:left w:val="nil"/>
              <w:bottom w:val="single" w:sz="4" w:space="0" w:color="1F497D"/>
              <w:right w:val="nil"/>
            </w:tcBorders>
            <w:shd w:val="clear" w:color="auto" w:fill="FFFFFF" w:themeFill="background1"/>
            <w:noWrap/>
            <w:vAlign w:val="bottom"/>
            <w:hideMark/>
          </w:tcPr>
          <w:p w14:paraId="1ADCE352" w14:textId="77777777" w:rsidR="00DE7759" w:rsidRPr="00DE7759" w:rsidRDefault="00C5698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color w:val="1F497D"/>
                <w:kern w:val="24"/>
                <w:sz w:val="22"/>
                <w:szCs w:val="22"/>
              </w:rPr>
              <w:t>1.1</w:t>
            </w:r>
          </w:p>
        </w:tc>
        <w:tc>
          <w:tcPr>
            <w:tcW w:w="492" w:type="pct"/>
            <w:tcBorders>
              <w:top w:val="nil"/>
              <w:left w:val="nil"/>
              <w:bottom w:val="single" w:sz="4" w:space="0" w:color="1F497D"/>
              <w:right w:val="nil"/>
            </w:tcBorders>
            <w:shd w:val="clear" w:color="auto" w:fill="FFFFFF" w:themeFill="background1"/>
            <w:vAlign w:val="bottom"/>
          </w:tcPr>
          <w:p w14:paraId="27097E9B" w14:textId="77777777" w:rsidR="00DE7759" w:rsidRPr="00DE7759" w:rsidRDefault="00C56980"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b/>
                <w:bCs/>
                <w:color w:val="000000" w:themeColor="text1"/>
                <w:kern w:val="24"/>
                <w:sz w:val="22"/>
                <w:szCs w:val="22"/>
              </w:rPr>
              <w:t>81.1</w:t>
            </w:r>
          </w:p>
        </w:tc>
      </w:tr>
      <w:tr w:rsidR="007C5EE7" w14:paraId="15F93960" w14:textId="77777777" w:rsidTr="0050598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14:paraId="7BC81F2C" w14:textId="77777777" w:rsidR="00DE7759" w:rsidRPr="00564538" w:rsidRDefault="001C161C" w:rsidP="00DE7759">
            <w:pPr>
              <w:spacing w:after="0"/>
              <w:rPr>
                <w:rFonts w:eastAsia="Times New Roman"/>
              </w:rPr>
            </w:pPr>
            <w:r w:rsidRPr="00564538">
              <w:rPr>
                <w:rFonts w:eastAsia="Times New Roman" w:hint="eastAsia"/>
                <w:rtl/>
              </w:rPr>
              <w:t>גירעון</w:t>
            </w:r>
            <w:r w:rsidRPr="00564538">
              <w:rPr>
                <w:rFonts w:eastAsia="Times New Roman"/>
                <w:rtl/>
              </w:rPr>
              <w:t xml:space="preserve"> </w:t>
            </w:r>
            <w:r w:rsidRPr="00564538">
              <w:rPr>
                <w:rFonts w:eastAsia="Times New Roman" w:hint="eastAsia"/>
                <w:rtl/>
              </w:rPr>
              <w:t>הממשלה</w:t>
            </w:r>
            <w:r w:rsidRPr="00564538">
              <w:rPr>
                <w:rFonts w:eastAsia="Times New Roman"/>
                <w:rtl/>
              </w:rPr>
              <w:t xml:space="preserve"> (אחוזי </w:t>
            </w:r>
            <w:r w:rsidRPr="00564538">
              <w:rPr>
                <w:rFonts w:eastAsia="Times New Roman" w:hint="eastAsia"/>
                <w:rtl/>
              </w:rPr>
              <w:t>תוצר</w:t>
            </w:r>
            <w:r w:rsidRPr="00564538">
              <w:rPr>
                <w:rFonts w:eastAsia="Times New Roman"/>
                <w:rtl/>
              </w:rPr>
              <w:t>)</w:t>
            </w:r>
          </w:p>
        </w:tc>
        <w:tc>
          <w:tcPr>
            <w:tcW w:w="376" w:type="pct"/>
            <w:tcBorders>
              <w:top w:val="nil"/>
              <w:left w:val="nil"/>
              <w:bottom w:val="nil"/>
              <w:right w:val="nil"/>
            </w:tcBorders>
            <w:shd w:val="clear" w:color="auto" w:fill="FFFFFF" w:themeFill="background1"/>
          </w:tcPr>
          <w:p w14:paraId="4760DCE9" w14:textId="77777777" w:rsidR="00DE7759" w:rsidRPr="00D82C11" w:rsidRDefault="00382A08" w:rsidP="00DE7759">
            <w:pPr>
              <w:spacing w:after="0"/>
              <w:rPr>
                <w:rFonts w:eastAsia="Times New Roman"/>
                <w:b/>
                <w:bCs/>
                <w:color w:val="000000" w:themeColor="text1"/>
                <w:rtl/>
              </w:rPr>
            </w:pPr>
            <w:r>
              <w:rPr>
                <w:rFonts w:eastAsia="Times New Roman" w:hint="cs"/>
                <w:b/>
                <w:bCs/>
                <w:color w:val="000000" w:themeColor="text1"/>
                <w:rtl/>
              </w:rPr>
              <w:t>6.8</w:t>
            </w:r>
          </w:p>
        </w:tc>
        <w:tc>
          <w:tcPr>
            <w:tcW w:w="484" w:type="pct"/>
            <w:tcBorders>
              <w:top w:val="nil"/>
              <w:left w:val="nil"/>
              <w:bottom w:val="nil"/>
              <w:right w:val="nil"/>
            </w:tcBorders>
            <w:shd w:val="clear" w:color="auto" w:fill="FFFFFF" w:themeFill="background1"/>
            <w:noWrap/>
            <w:vAlign w:val="bottom"/>
            <w:hideMark/>
          </w:tcPr>
          <w:p w14:paraId="6A07AF48"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tl/>
              </w:rPr>
              <w:t>4.8</w:t>
            </w:r>
          </w:p>
        </w:tc>
        <w:tc>
          <w:tcPr>
            <w:tcW w:w="498" w:type="pct"/>
            <w:tcBorders>
              <w:top w:val="nil"/>
              <w:left w:val="nil"/>
              <w:bottom w:val="nil"/>
              <w:right w:val="nil"/>
            </w:tcBorders>
            <w:shd w:val="clear" w:color="auto" w:fill="FFFFFF" w:themeFill="background1"/>
            <w:noWrap/>
            <w:vAlign w:val="center"/>
            <w:hideMark/>
          </w:tcPr>
          <w:p w14:paraId="43DC58CA"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0.3-</w:t>
            </w:r>
          </w:p>
        </w:tc>
        <w:tc>
          <w:tcPr>
            <w:tcW w:w="431" w:type="pct"/>
            <w:tcBorders>
              <w:top w:val="nil"/>
              <w:left w:val="nil"/>
              <w:bottom w:val="nil"/>
              <w:right w:val="nil"/>
            </w:tcBorders>
            <w:shd w:val="clear" w:color="auto" w:fill="FFFFFF" w:themeFill="background1"/>
            <w:noWrap/>
            <w:vAlign w:val="bottom"/>
            <w:hideMark/>
          </w:tcPr>
          <w:p w14:paraId="77470BFB" w14:textId="77777777" w:rsidR="00DE7759" w:rsidRPr="00DE7759" w:rsidRDefault="001C161C" w:rsidP="00EB346F">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tl/>
              </w:rPr>
              <w:t>3.</w:t>
            </w:r>
            <w:r w:rsidR="00EB346F">
              <w:rPr>
                <w:rFonts w:ascii="Calibri" w:hAnsi="Calibri" w:cs="Calibri" w:hint="cs"/>
                <w:b/>
                <w:bCs/>
                <w:color w:val="000000" w:themeColor="text1"/>
                <w:kern w:val="24"/>
                <w:sz w:val="22"/>
                <w:szCs w:val="22"/>
                <w:rtl/>
              </w:rPr>
              <w:t>9</w:t>
            </w:r>
          </w:p>
        </w:tc>
        <w:tc>
          <w:tcPr>
            <w:tcW w:w="465" w:type="pct"/>
            <w:tcBorders>
              <w:top w:val="nil"/>
              <w:left w:val="nil"/>
              <w:bottom w:val="nil"/>
              <w:right w:val="nil"/>
            </w:tcBorders>
            <w:shd w:val="clear" w:color="auto" w:fill="FFFFFF" w:themeFill="background1"/>
            <w:noWrap/>
            <w:vAlign w:val="center"/>
            <w:hideMark/>
          </w:tcPr>
          <w:p w14:paraId="7BA38AC6" w14:textId="77777777" w:rsidR="00DE7759" w:rsidRPr="00DE7759" w:rsidRDefault="001C161C" w:rsidP="00EB346F">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color w:val="1F497D"/>
                <w:kern w:val="24"/>
                <w:sz w:val="22"/>
                <w:szCs w:val="22"/>
                <w:rtl/>
              </w:rPr>
              <w:t>0.</w:t>
            </w:r>
            <w:r w:rsidR="00EB346F">
              <w:rPr>
                <w:rFonts w:ascii="Calibri" w:hAnsi="Calibri" w:cs="Calibri" w:hint="cs"/>
                <w:color w:val="1F497D"/>
                <w:kern w:val="24"/>
                <w:sz w:val="22"/>
                <w:szCs w:val="22"/>
                <w:rtl/>
              </w:rPr>
              <w:t>4</w:t>
            </w:r>
            <w:r w:rsidRPr="00DE7759">
              <w:rPr>
                <w:rFonts w:ascii="Calibri" w:hAnsi="Calibri" w:cs="Calibri"/>
                <w:color w:val="1F497D"/>
                <w:kern w:val="24"/>
                <w:sz w:val="22"/>
                <w:szCs w:val="22"/>
                <w:rtl/>
              </w:rPr>
              <w:t>-</w:t>
            </w:r>
          </w:p>
        </w:tc>
        <w:tc>
          <w:tcPr>
            <w:tcW w:w="492" w:type="pct"/>
            <w:tcBorders>
              <w:top w:val="nil"/>
              <w:left w:val="nil"/>
              <w:bottom w:val="nil"/>
              <w:right w:val="nil"/>
            </w:tcBorders>
            <w:shd w:val="clear" w:color="auto" w:fill="FFFFFF" w:themeFill="background1"/>
            <w:vAlign w:val="bottom"/>
          </w:tcPr>
          <w:p w14:paraId="4C0FD207" w14:textId="77777777" w:rsidR="00DE7759" w:rsidRPr="00DE7759" w:rsidRDefault="001C161C" w:rsidP="00EB346F">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tl/>
              </w:rPr>
              <w:t>3.</w:t>
            </w:r>
            <w:r w:rsidR="00EB346F">
              <w:rPr>
                <w:rFonts w:ascii="Calibri" w:hAnsi="Calibri" w:cs="Calibri" w:hint="cs"/>
                <w:b/>
                <w:bCs/>
                <w:color w:val="000000" w:themeColor="text1"/>
                <w:kern w:val="24"/>
                <w:sz w:val="22"/>
                <w:szCs w:val="22"/>
                <w:rtl/>
              </w:rPr>
              <w:t>6</w:t>
            </w:r>
          </w:p>
        </w:tc>
      </w:tr>
      <w:tr w:rsidR="007C5EE7" w14:paraId="1F7EEA00" w14:textId="77777777" w:rsidTr="00DE775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14:paraId="151AE1C2" w14:textId="77777777" w:rsidR="00DE7759" w:rsidRPr="00C94167" w:rsidRDefault="001C161C" w:rsidP="00DE7759">
            <w:pPr>
              <w:spacing w:after="0"/>
              <w:rPr>
                <w:rFonts w:eastAsia="Times New Roman"/>
              </w:rPr>
            </w:pPr>
            <w:r w:rsidRPr="00C94167">
              <w:rPr>
                <w:rFonts w:eastAsia="Times New Roman" w:hint="cs"/>
                <w:rtl/>
              </w:rPr>
              <w:t>יחס החוב לתוצר</w:t>
            </w:r>
            <w:r>
              <w:rPr>
                <w:rFonts w:eastAsia="Times New Roman" w:hint="cs"/>
                <w:rtl/>
              </w:rPr>
              <w:t xml:space="preserve"> </w:t>
            </w:r>
            <w:r w:rsidRPr="00C94167">
              <w:rPr>
                <w:rFonts w:eastAsia="Times New Roman" w:hint="cs"/>
                <w:rtl/>
              </w:rPr>
              <w:t>(אחוזי תוצר)</w:t>
            </w:r>
          </w:p>
        </w:tc>
        <w:tc>
          <w:tcPr>
            <w:tcW w:w="376" w:type="pct"/>
            <w:tcBorders>
              <w:top w:val="nil"/>
              <w:left w:val="nil"/>
              <w:bottom w:val="single" w:sz="4" w:space="0" w:color="1F497D"/>
              <w:right w:val="nil"/>
            </w:tcBorders>
            <w:shd w:val="clear" w:color="auto" w:fill="FFFFFF" w:themeFill="background1"/>
          </w:tcPr>
          <w:p w14:paraId="435386B3" w14:textId="77777777" w:rsidR="00DE7759" w:rsidRPr="00D82C11" w:rsidRDefault="00382A08" w:rsidP="00DE7759">
            <w:pPr>
              <w:spacing w:after="0"/>
              <w:rPr>
                <w:rFonts w:eastAsia="Times New Roman"/>
                <w:b/>
                <w:bCs/>
                <w:color w:val="000000" w:themeColor="text1"/>
                <w:rtl/>
              </w:rPr>
            </w:pPr>
            <w:r>
              <w:rPr>
                <w:rFonts w:eastAsia="Times New Roman" w:hint="cs"/>
                <w:b/>
                <w:bCs/>
                <w:color w:val="000000" w:themeColor="text1"/>
                <w:rtl/>
              </w:rPr>
              <w:t>67.6</w:t>
            </w:r>
          </w:p>
        </w:tc>
        <w:tc>
          <w:tcPr>
            <w:tcW w:w="484" w:type="pct"/>
            <w:tcBorders>
              <w:top w:val="nil"/>
              <w:left w:val="nil"/>
              <w:bottom w:val="single" w:sz="4" w:space="0" w:color="1F497D"/>
              <w:right w:val="nil"/>
            </w:tcBorders>
            <w:shd w:val="clear" w:color="auto" w:fill="FFFFFF" w:themeFill="background1"/>
            <w:noWrap/>
            <w:vAlign w:val="bottom"/>
            <w:hideMark/>
          </w:tcPr>
          <w:p w14:paraId="766355D8" w14:textId="77777777" w:rsidR="00DE7759" w:rsidRPr="00DE7759" w:rsidRDefault="002E588C"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themeColor="text1"/>
                <w:kern w:val="24"/>
                <w:sz w:val="22"/>
                <w:szCs w:val="22"/>
                <w:rtl/>
              </w:rPr>
              <w:t>68.5</w:t>
            </w:r>
          </w:p>
        </w:tc>
        <w:tc>
          <w:tcPr>
            <w:tcW w:w="498" w:type="pct"/>
            <w:tcBorders>
              <w:top w:val="nil"/>
              <w:left w:val="nil"/>
              <w:bottom w:val="single" w:sz="4" w:space="0" w:color="1F497D"/>
              <w:right w:val="nil"/>
            </w:tcBorders>
            <w:shd w:val="clear" w:color="auto" w:fill="FFFFFF" w:themeFill="background1"/>
            <w:noWrap/>
            <w:vAlign w:val="bottom"/>
            <w:hideMark/>
          </w:tcPr>
          <w:p w14:paraId="5BE130FC" w14:textId="77777777" w:rsidR="00DE7759" w:rsidRPr="00DE7759" w:rsidRDefault="002E588C" w:rsidP="002E588C">
            <w:pPr>
              <w:pStyle w:val="NormalWeb"/>
              <w:spacing w:before="0" w:beforeAutospacing="0" w:after="0" w:afterAutospacing="0" w:line="276" w:lineRule="auto"/>
              <w:jc w:val="right"/>
              <w:rPr>
                <w:rFonts w:ascii="Arial" w:hAnsi="Arial" w:cs="Arial"/>
                <w:sz w:val="22"/>
                <w:szCs w:val="22"/>
              </w:rPr>
            </w:pPr>
            <w:r>
              <w:rPr>
                <w:rFonts w:ascii="Calibri" w:hAnsi="Calibri" w:cs="Calibri" w:hint="cs"/>
                <w:color w:val="1F497D"/>
                <w:kern w:val="24"/>
                <w:sz w:val="22"/>
                <w:szCs w:val="22"/>
                <w:rtl/>
              </w:rPr>
              <w:t>2.5</w:t>
            </w:r>
            <w:r w:rsidR="001C161C">
              <w:rPr>
                <w:rFonts w:ascii="Calibri" w:hAnsi="Calibri" w:cs="Calibri" w:hint="cs"/>
                <w:color w:val="1F497D"/>
                <w:kern w:val="24"/>
                <w:sz w:val="22"/>
                <w:szCs w:val="22"/>
                <w:rtl/>
              </w:rPr>
              <w:t>-</w:t>
            </w:r>
          </w:p>
        </w:tc>
        <w:tc>
          <w:tcPr>
            <w:tcW w:w="431" w:type="pct"/>
            <w:tcBorders>
              <w:top w:val="nil"/>
              <w:left w:val="nil"/>
              <w:bottom w:val="single" w:sz="4" w:space="0" w:color="1F497D"/>
              <w:right w:val="nil"/>
            </w:tcBorders>
            <w:shd w:val="clear" w:color="auto" w:fill="FFFFFF" w:themeFill="background1"/>
            <w:noWrap/>
            <w:vAlign w:val="bottom"/>
            <w:hideMark/>
          </w:tcPr>
          <w:p w14:paraId="69211494" w14:textId="77777777" w:rsidR="00DE7759" w:rsidRPr="00DE7759" w:rsidRDefault="002E588C" w:rsidP="00DE7759">
            <w:pPr>
              <w:pStyle w:val="NormalWeb"/>
              <w:spacing w:before="0" w:beforeAutospacing="0" w:after="0" w:afterAutospacing="0" w:line="276" w:lineRule="auto"/>
              <w:jc w:val="right"/>
              <w:rPr>
                <w:rFonts w:ascii="Arial" w:hAnsi="Arial" w:cs="Arial"/>
                <w:sz w:val="22"/>
                <w:szCs w:val="22"/>
                <w:rtl/>
              </w:rPr>
            </w:pPr>
            <w:r>
              <w:rPr>
                <w:rFonts w:ascii="Calibri" w:hAnsi="Calibri" w:cs="Calibri" w:hint="cs"/>
                <w:b/>
                <w:bCs/>
                <w:color w:val="000000" w:themeColor="text1"/>
                <w:kern w:val="24"/>
                <w:sz w:val="22"/>
                <w:szCs w:val="22"/>
                <w:rtl/>
              </w:rPr>
              <w:t>68.5</w:t>
            </w:r>
          </w:p>
        </w:tc>
        <w:tc>
          <w:tcPr>
            <w:tcW w:w="465" w:type="pct"/>
            <w:tcBorders>
              <w:top w:val="nil"/>
              <w:left w:val="nil"/>
              <w:bottom w:val="single" w:sz="4" w:space="0" w:color="1F497D"/>
              <w:right w:val="nil"/>
            </w:tcBorders>
            <w:shd w:val="clear" w:color="auto" w:fill="FFFFFF" w:themeFill="background1"/>
            <w:noWrap/>
            <w:vAlign w:val="bottom"/>
            <w:hideMark/>
          </w:tcPr>
          <w:p w14:paraId="351F5439" w14:textId="77777777" w:rsidR="00DE7759" w:rsidRPr="00DE7759" w:rsidRDefault="002E588C" w:rsidP="002E588C">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2.5</w:t>
            </w:r>
            <w:r w:rsidR="001C161C" w:rsidRPr="00DE7759">
              <w:rPr>
                <w:rFonts w:ascii="Calibri" w:hAnsi="Calibri" w:cs="Calibri"/>
                <w:color w:val="1F497D"/>
                <w:kern w:val="24"/>
                <w:sz w:val="22"/>
                <w:szCs w:val="22"/>
                <w:rtl/>
              </w:rPr>
              <w:t>-</w:t>
            </w:r>
          </w:p>
        </w:tc>
        <w:tc>
          <w:tcPr>
            <w:tcW w:w="492" w:type="pct"/>
            <w:tcBorders>
              <w:top w:val="nil"/>
              <w:left w:val="nil"/>
              <w:bottom w:val="single" w:sz="4" w:space="0" w:color="1F497D"/>
              <w:right w:val="nil"/>
            </w:tcBorders>
            <w:shd w:val="clear" w:color="auto" w:fill="FFFFFF" w:themeFill="background1"/>
            <w:vAlign w:val="bottom"/>
          </w:tcPr>
          <w:p w14:paraId="0DEEDC1D" w14:textId="77777777" w:rsidR="00DE7759" w:rsidRPr="00DE7759" w:rsidRDefault="002E588C" w:rsidP="00DE7759">
            <w:pPr>
              <w:pStyle w:val="NormalWeb"/>
              <w:spacing w:before="0" w:beforeAutospacing="0" w:after="0" w:afterAutospacing="0" w:line="276" w:lineRule="auto"/>
              <w:jc w:val="right"/>
              <w:rPr>
                <w:rFonts w:ascii="Arial" w:hAnsi="Arial" w:cs="Arial"/>
                <w:sz w:val="22"/>
                <w:szCs w:val="22"/>
              </w:rPr>
            </w:pPr>
            <w:r>
              <w:rPr>
                <w:rFonts w:ascii="Calibri" w:hAnsi="Calibri" w:cs="Calibri" w:hint="cs"/>
                <w:b/>
                <w:bCs/>
                <w:color w:val="000000" w:themeColor="text1"/>
                <w:kern w:val="24"/>
                <w:sz w:val="22"/>
                <w:szCs w:val="22"/>
                <w:rtl/>
              </w:rPr>
              <w:t>68.5</w:t>
            </w:r>
          </w:p>
        </w:tc>
      </w:tr>
      <w:tr w:rsidR="007C5EE7" w14:paraId="28566A1E" w14:textId="77777777" w:rsidTr="00DE775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14:paraId="62E3D4F2" w14:textId="77777777" w:rsidR="00DE7759" w:rsidRPr="00C94167" w:rsidRDefault="001C161C" w:rsidP="00DE7759">
            <w:pPr>
              <w:spacing w:after="0"/>
              <w:rPr>
                <w:rFonts w:eastAsia="Times New Roman"/>
                <w:color w:val="000000"/>
              </w:rPr>
            </w:pPr>
            <w:r w:rsidRPr="00C94167">
              <w:rPr>
                <w:rFonts w:eastAsia="Times New Roman"/>
                <w:color w:val="000000"/>
                <w:rtl/>
              </w:rPr>
              <w:t>אינפלציה</w:t>
            </w:r>
            <w:r w:rsidRPr="00C94167">
              <w:rPr>
                <w:rFonts w:eastAsia="Times New Roman"/>
                <w:color w:val="000000"/>
                <w:vertAlign w:val="superscript"/>
                <w:rtl/>
              </w:rPr>
              <w:t>3</w:t>
            </w:r>
          </w:p>
        </w:tc>
        <w:tc>
          <w:tcPr>
            <w:tcW w:w="376" w:type="pct"/>
            <w:tcBorders>
              <w:top w:val="nil"/>
              <w:left w:val="nil"/>
              <w:bottom w:val="single" w:sz="4" w:space="0" w:color="1F497D"/>
              <w:right w:val="nil"/>
            </w:tcBorders>
            <w:shd w:val="clear" w:color="auto" w:fill="FFFFFF" w:themeFill="background1"/>
          </w:tcPr>
          <w:p w14:paraId="596D24AD" w14:textId="77777777" w:rsidR="00DE7759" w:rsidRDefault="001C161C" w:rsidP="00DE7759">
            <w:pPr>
              <w:spacing w:after="0"/>
              <w:rPr>
                <w:rFonts w:eastAsia="Times New Roman"/>
                <w:b/>
                <w:bCs/>
                <w:color w:val="000000"/>
                <w:rtl/>
              </w:rPr>
            </w:pPr>
            <w:r>
              <w:rPr>
                <w:rFonts w:eastAsia="Times New Roman" w:hint="cs"/>
                <w:b/>
                <w:bCs/>
                <w:color w:val="000000"/>
                <w:rtl/>
              </w:rPr>
              <w:t>3.3</w:t>
            </w:r>
          </w:p>
        </w:tc>
        <w:tc>
          <w:tcPr>
            <w:tcW w:w="484" w:type="pct"/>
            <w:tcBorders>
              <w:top w:val="nil"/>
              <w:left w:val="nil"/>
              <w:bottom w:val="single" w:sz="4" w:space="0" w:color="1F497D"/>
              <w:right w:val="nil"/>
            </w:tcBorders>
            <w:shd w:val="clear" w:color="auto" w:fill="FFFFFF" w:themeFill="background1"/>
            <w:noWrap/>
            <w:vAlign w:val="bottom"/>
            <w:hideMark/>
          </w:tcPr>
          <w:p w14:paraId="4B24D5BE"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Pr>
              <w:t>2.5</w:t>
            </w:r>
          </w:p>
        </w:tc>
        <w:tc>
          <w:tcPr>
            <w:tcW w:w="498" w:type="pct"/>
            <w:tcBorders>
              <w:top w:val="nil"/>
              <w:left w:val="nil"/>
              <w:bottom w:val="single" w:sz="4" w:space="0" w:color="1F497D"/>
              <w:right w:val="nil"/>
            </w:tcBorders>
            <w:shd w:val="clear" w:color="auto" w:fill="FFFFFF" w:themeFill="background1"/>
            <w:noWrap/>
            <w:vAlign w:val="bottom"/>
            <w:hideMark/>
          </w:tcPr>
          <w:p w14:paraId="5F28AC25" w14:textId="06FCE0A3" w:rsidR="00DE7759" w:rsidRPr="00DE7759" w:rsidRDefault="00AD4F64" w:rsidP="00DE7759">
            <w:pPr>
              <w:pStyle w:val="NormalWeb"/>
              <w:spacing w:before="0" w:beforeAutospacing="0" w:after="0" w:afterAutospacing="0" w:line="276" w:lineRule="auto"/>
              <w:jc w:val="right"/>
              <w:rPr>
                <w:rFonts w:ascii="Arial" w:hAnsi="Arial" w:cs="Arial"/>
                <w:sz w:val="22"/>
                <w:szCs w:val="22"/>
                <w:rtl/>
              </w:rPr>
            </w:pPr>
            <w:r>
              <w:rPr>
                <w:rFonts w:ascii="Calibri" w:eastAsia="Calibri" w:hAnsi="Calibri" w:cs="Calibri" w:hint="cs"/>
                <w:color w:val="1F497D"/>
                <w:kern w:val="24"/>
                <w:sz w:val="22"/>
                <w:szCs w:val="22"/>
                <w:rtl/>
              </w:rPr>
              <w:t xml:space="preserve">0.5- </w:t>
            </w:r>
          </w:p>
        </w:tc>
        <w:tc>
          <w:tcPr>
            <w:tcW w:w="431" w:type="pct"/>
            <w:tcBorders>
              <w:top w:val="nil"/>
              <w:left w:val="nil"/>
              <w:bottom w:val="single" w:sz="4" w:space="0" w:color="1F497D"/>
              <w:right w:val="nil"/>
            </w:tcBorders>
            <w:shd w:val="clear" w:color="auto" w:fill="FFFFFF" w:themeFill="background1"/>
            <w:noWrap/>
            <w:vAlign w:val="bottom"/>
            <w:hideMark/>
          </w:tcPr>
          <w:p w14:paraId="3660E447" w14:textId="77777777" w:rsidR="00DE7759" w:rsidRPr="00DE7759" w:rsidRDefault="001C161C" w:rsidP="00F70615">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Pr>
              <w:t>1.</w:t>
            </w:r>
            <w:r w:rsidR="00F70615">
              <w:rPr>
                <w:rFonts w:ascii="Calibri" w:hAnsi="Calibri" w:cs="Calibri" w:hint="cs"/>
                <w:b/>
                <w:bCs/>
                <w:color w:val="000000" w:themeColor="text1"/>
                <w:kern w:val="24"/>
                <w:sz w:val="22"/>
                <w:szCs w:val="22"/>
                <w:rtl/>
              </w:rPr>
              <w:t>7</w:t>
            </w:r>
          </w:p>
        </w:tc>
        <w:tc>
          <w:tcPr>
            <w:tcW w:w="465" w:type="pct"/>
            <w:tcBorders>
              <w:top w:val="nil"/>
              <w:left w:val="nil"/>
              <w:bottom w:val="single" w:sz="4" w:space="0" w:color="1F497D"/>
              <w:right w:val="nil"/>
            </w:tcBorders>
            <w:shd w:val="clear" w:color="auto" w:fill="FFFFFF" w:themeFill="background1"/>
            <w:noWrap/>
            <w:vAlign w:val="bottom"/>
            <w:hideMark/>
          </w:tcPr>
          <w:p w14:paraId="3E2253A8" w14:textId="244B7CD5" w:rsidR="00DE7759" w:rsidRPr="00DE7759" w:rsidRDefault="00495403" w:rsidP="00F70615">
            <w:pPr>
              <w:pStyle w:val="NormalWeb"/>
              <w:spacing w:before="0" w:beforeAutospacing="0" w:after="0" w:afterAutospacing="0" w:line="276" w:lineRule="auto"/>
              <w:jc w:val="right"/>
              <w:rPr>
                <w:rFonts w:ascii="Arial" w:hAnsi="Arial" w:cs="Arial"/>
                <w:sz w:val="22"/>
                <w:szCs w:val="22"/>
                <w:rtl/>
              </w:rPr>
            </w:pPr>
            <w:r>
              <w:rPr>
                <w:rFonts w:ascii="Calibri" w:hAnsi="Calibri" w:cs="Calibri" w:hint="cs"/>
                <w:color w:val="1F497D"/>
                <w:kern w:val="24"/>
                <w:sz w:val="22"/>
                <w:szCs w:val="22"/>
                <w:rtl/>
              </w:rPr>
              <w:t>0.5-</w:t>
            </w:r>
          </w:p>
        </w:tc>
        <w:tc>
          <w:tcPr>
            <w:tcW w:w="492" w:type="pct"/>
            <w:tcBorders>
              <w:top w:val="nil"/>
              <w:left w:val="nil"/>
              <w:bottom w:val="single" w:sz="4" w:space="0" w:color="1F497D"/>
              <w:right w:val="nil"/>
            </w:tcBorders>
            <w:shd w:val="clear" w:color="auto" w:fill="FFFFFF" w:themeFill="background1"/>
            <w:vAlign w:val="bottom"/>
          </w:tcPr>
          <w:p w14:paraId="45F02208" w14:textId="77777777" w:rsidR="00DE7759" w:rsidRPr="00DE7759" w:rsidRDefault="001C161C" w:rsidP="00DE7759">
            <w:pPr>
              <w:pStyle w:val="NormalWeb"/>
              <w:spacing w:before="0" w:beforeAutospacing="0" w:after="0" w:afterAutospacing="0" w:line="276" w:lineRule="auto"/>
              <w:jc w:val="right"/>
              <w:rPr>
                <w:rFonts w:ascii="Arial" w:hAnsi="Arial" w:cs="Arial"/>
                <w:sz w:val="22"/>
                <w:szCs w:val="22"/>
                <w:rtl/>
              </w:rPr>
            </w:pPr>
            <w:r w:rsidRPr="00DE7759">
              <w:rPr>
                <w:rFonts w:ascii="Calibri" w:hAnsi="Calibri" w:cs="Calibri"/>
                <w:b/>
                <w:bCs/>
                <w:color w:val="000000" w:themeColor="text1"/>
                <w:kern w:val="24"/>
                <w:sz w:val="22"/>
                <w:szCs w:val="22"/>
                <w:rtl/>
              </w:rPr>
              <w:t>2.0</w:t>
            </w:r>
          </w:p>
        </w:tc>
      </w:tr>
      <w:tr w:rsidR="007C5EE7" w14:paraId="57F98E74" w14:textId="77777777" w:rsidTr="00DE7759">
        <w:trPr>
          <w:trHeight w:val="300"/>
          <w:jc w:val="center"/>
        </w:trPr>
        <w:tc>
          <w:tcPr>
            <w:tcW w:w="201" w:type="pct"/>
            <w:tcBorders>
              <w:top w:val="single" w:sz="4" w:space="0" w:color="1F497D"/>
              <w:left w:val="nil"/>
              <w:bottom w:val="nil"/>
              <w:right w:val="nil"/>
            </w:tcBorders>
            <w:shd w:val="clear" w:color="auto" w:fill="FFFFFF" w:themeFill="background1"/>
          </w:tcPr>
          <w:p w14:paraId="1631D93E" w14:textId="77777777" w:rsidR="00792210" w:rsidRPr="00C94167" w:rsidRDefault="00792210" w:rsidP="002F6599">
            <w:pPr>
              <w:spacing w:after="0"/>
              <w:rPr>
                <w:rFonts w:eastAsia="Times New Roman"/>
                <w:color w:val="000000"/>
                <w:sz w:val="20"/>
                <w:szCs w:val="20"/>
                <w:vertAlign w:val="superscript"/>
                <w:rtl/>
              </w:rPr>
            </w:pPr>
          </w:p>
        </w:tc>
        <w:tc>
          <w:tcPr>
            <w:tcW w:w="4799" w:type="pct"/>
            <w:gridSpan w:val="8"/>
            <w:tcBorders>
              <w:top w:val="single" w:sz="4" w:space="0" w:color="1F497D"/>
              <w:left w:val="nil"/>
              <w:bottom w:val="nil"/>
              <w:right w:val="nil"/>
            </w:tcBorders>
            <w:shd w:val="clear" w:color="auto" w:fill="FFFFFF" w:themeFill="background1"/>
            <w:noWrap/>
            <w:vAlign w:val="center"/>
            <w:hideMark/>
          </w:tcPr>
          <w:p w14:paraId="1167D8EC" w14:textId="77777777" w:rsidR="00792210" w:rsidRPr="00C94167" w:rsidRDefault="001C161C" w:rsidP="002E588C">
            <w:pPr>
              <w:spacing w:after="0"/>
              <w:rPr>
                <w:rFonts w:eastAsia="Times New Roman"/>
                <w:color w:val="000000"/>
                <w:sz w:val="20"/>
                <w:szCs w:val="20"/>
                <w:rtl/>
              </w:rPr>
            </w:pPr>
            <w:r w:rsidRPr="00C94167">
              <w:rPr>
                <w:rFonts w:eastAsia="Times New Roman"/>
                <w:color w:val="000000"/>
                <w:sz w:val="20"/>
                <w:szCs w:val="20"/>
                <w:vertAlign w:val="superscript"/>
                <w:rtl/>
              </w:rPr>
              <w:t>1</w:t>
            </w:r>
            <w:r w:rsidRPr="00C94167">
              <w:rPr>
                <w:rFonts w:eastAsia="Times New Roman"/>
                <w:color w:val="000000"/>
                <w:sz w:val="20"/>
                <w:szCs w:val="20"/>
                <w:rtl/>
              </w:rPr>
              <w:t xml:space="preserve"> </w:t>
            </w:r>
            <w:r w:rsidRPr="002C7CC8">
              <w:rPr>
                <w:rFonts w:eastAsia="Times New Roman"/>
                <w:color w:val="000000"/>
                <w:sz w:val="20"/>
                <w:szCs w:val="20"/>
                <w:rtl/>
              </w:rPr>
              <w:t xml:space="preserve">התחזית לרכיבי החשבונאות הלאומית </w:t>
            </w:r>
            <w:r w:rsidR="002E588C">
              <w:rPr>
                <w:rFonts w:eastAsia="Times New Roman" w:hint="cs"/>
                <w:color w:val="000000"/>
                <w:sz w:val="20"/>
                <w:szCs w:val="20"/>
                <w:rtl/>
              </w:rPr>
              <w:t xml:space="preserve">ולחוב הציבורי </w:t>
            </w:r>
            <w:r w:rsidRPr="002C7CC8">
              <w:rPr>
                <w:rFonts w:eastAsia="Times New Roman"/>
                <w:color w:val="000000"/>
                <w:sz w:val="20"/>
                <w:szCs w:val="20"/>
                <w:rtl/>
              </w:rPr>
              <w:t>מעוגלת לחצי נקודת אחוז.</w:t>
            </w:r>
          </w:p>
        </w:tc>
      </w:tr>
      <w:tr w:rsidR="007C5EE7" w14:paraId="079F07DA" w14:textId="77777777" w:rsidTr="00DE7759">
        <w:trPr>
          <w:trHeight w:val="765"/>
          <w:jc w:val="center"/>
        </w:trPr>
        <w:tc>
          <w:tcPr>
            <w:tcW w:w="201" w:type="pct"/>
            <w:tcBorders>
              <w:top w:val="nil"/>
              <w:left w:val="nil"/>
              <w:bottom w:val="nil"/>
              <w:right w:val="nil"/>
            </w:tcBorders>
            <w:shd w:val="clear" w:color="auto" w:fill="FFFFFF" w:themeFill="background1"/>
          </w:tcPr>
          <w:p w14:paraId="1BDAE53D" w14:textId="77777777" w:rsidR="00792210" w:rsidRPr="00C94167" w:rsidRDefault="00792210" w:rsidP="002F6599">
            <w:pPr>
              <w:spacing w:after="0"/>
              <w:rPr>
                <w:rFonts w:eastAsia="Times New Roman"/>
                <w:color w:val="000000"/>
                <w:sz w:val="20"/>
                <w:szCs w:val="20"/>
                <w:vertAlign w:val="superscript"/>
                <w:rtl/>
              </w:rPr>
            </w:pPr>
          </w:p>
        </w:tc>
        <w:tc>
          <w:tcPr>
            <w:tcW w:w="4799" w:type="pct"/>
            <w:gridSpan w:val="8"/>
            <w:tcBorders>
              <w:top w:val="nil"/>
              <w:left w:val="nil"/>
              <w:bottom w:val="nil"/>
              <w:right w:val="nil"/>
            </w:tcBorders>
            <w:shd w:val="clear" w:color="auto" w:fill="FFFFFF" w:themeFill="background1"/>
            <w:vAlign w:val="bottom"/>
            <w:hideMark/>
          </w:tcPr>
          <w:p w14:paraId="37991A9F" w14:textId="050E56CE" w:rsidR="00792210" w:rsidRPr="00C94167" w:rsidRDefault="001C161C" w:rsidP="00540AC8">
            <w:pPr>
              <w:spacing w:after="0"/>
              <w:rPr>
                <w:rFonts w:eastAsia="Times New Roman"/>
                <w:color w:val="000000"/>
                <w:sz w:val="20"/>
                <w:szCs w:val="20"/>
                <w:rtl/>
              </w:rPr>
            </w:pPr>
            <w:r w:rsidRPr="00C94167">
              <w:rPr>
                <w:rFonts w:eastAsia="Times New Roman"/>
                <w:color w:val="000000"/>
                <w:sz w:val="20"/>
                <w:szCs w:val="20"/>
                <w:vertAlign w:val="superscript"/>
                <w:rtl/>
              </w:rPr>
              <w:t>2</w:t>
            </w:r>
            <w:r w:rsidRPr="00C94167">
              <w:rPr>
                <w:rFonts w:eastAsia="Times New Roman"/>
                <w:color w:val="000000"/>
                <w:sz w:val="20"/>
                <w:szCs w:val="20"/>
                <w:rtl/>
              </w:rPr>
              <w:t xml:space="preserve"> ממוצע שנתי. בהתאם להגדרה של הלמ"ס, שיעור האבטלה הרחב</w:t>
            </w:r>
            <w:r>
              <w:rPr>
                <w:rFonts w:eastAsia="Times New Roman" w:hint="cs"/>
                <w:color w:val="000000"/>
                <w:sz w:val="20"/>
                <w:szCs w:val="20"/>
                <w:rtl/>
              </w:rPr>
              <w:t>ה</w:t>
            </w:r>
            <w:r w:rsidRPr="00C94167">
              <w:rPr>
                <w:rFonts w:eastAsia="Times New Roman"/>
                <w:color w:val="000000"/>
                <w:sz w:val="20"/>
                <w:szCs w:val="20"/>
                <w:rtl/>
              </w:rPr>
              <w:t xml:space="preserve"> כולל את המובטלים בהגדרתם הרגילה (מי שלא עבדו, רצו לעבוד, היו פנויים לעבודה, וחיפשו עבודה) ואת המועסקים שנעדרים זמנית מעבודתם מסיבות כלכליות (כולל עובדים בחל"ת). בהתאם, שיעור התעסוקה המותאם אינו כולל את הנעדרים זמנית מסיבות כלכליות.</w:t>
            </w:r>
            <w:r>
              <w:rPr>
                <w:rFonts w:eastAsia="Times New Roman" w:hint="cs"/>
                <w:color w:val="000000"/>
                <w:sz w:val="20"/>
                <w:szCs w:val="20"/>
                <w:rtl/>
              </w:rPr>
              <w:t xml:space="preserve"> </w:t>
            </w:r>
            <w:r w:rsidR="006C05CA">
              <w:rPr>
                <w:rFonts w:eastAsia="Times New Roman" w:hint="cs"/>
                <w:color w:val="000000"/>
                <w:sz w:val="20"/>
                <w:szCs w:val="20"/>
                <w:rtl/>
              </w:rPr>
              <w:t xml:space="preserve">שיעור האבטלה הרחבה בשנת 2025 משקף עלייה </w:t>
            </w:r>
            <w:r w:rsidR="00540AC8">
              <w:rPr>
                <w:rFonts w:eastAsia="Times New Roman" w:hint="cs"/>
                <w:color w:val="000000"/>
                <w:sz w:val="20"/>
                <w:szCs w:val="20"/>
                <w:rtl/>
              </w:rPr>
              <w:t xml:space="preserve">ניכרת אך </w:t>
            </w:r>
            <w:r w:rsidR="006C05CA">
              <w:rPr>
                <w:rFonts w:eastAsia="Times New Roman" w:hint="cs"/>
                <w:color w:val="000000"/>
                <w:sz w:val="20"/>
                <w:szCs w:val="20"/>
                <w:rtl/>
              </w:rPr>
              <w:t xml:space="preserve">זמנית באבטלה במהלך ימי "עם כלביא". </w:t>
            </w:r>
            <w:r w:rsidR="00456BFD" w:rsidRPr="00540AC8">
              <w:rPr>
                <w:rFonts w:eastAsia="Times New Roman" w:hint="eastAsia"/>
                <w:color w:val="000000"/>
                <w:sz w:val="20"/>
                <w:szCs w:val="20"/>
                <w:rtl/>
              </w:rPr>
              <w:t>בהשוואה</w:t>
            </w:r>
            <w:r w:rsidR="00456BFD" w:rsidRPr="00540AC8">
              <w:rPr>
                <w:rFonts w:eastAsia="Times New Roman"/>
                <w:color w:val="000000"/>
                <w:sz w:val="20"/>
                <w:szCs w:val="20"/>
                <w:rtl/>
              </w:rPr>
              <w:t xml:space="preserve"> לאבטלה שאפיינה את 2025 </w:t>
            </w:r>
            <w:r w:rsidR="006C05CA" w:rsidRPr="00771B00">
              <w:rPr>
                <w:rFonts w:eastAsia="Times New Roman" w:hint="cs"/>
                <w:color w:val="000000"/>
                <w:sz w:val="20"/>
                <w:szCs w:val="20"/>
                <w:rtl/>
              </w:rPr>
              <w:t xml:space="preserve">בניכוי </w:t>
            </w:r>
            <w:r w:rsidR="00540AC8">
              <w:rPr>
                <w:rFonts w:eastAsia="Times New Roman" w:hint="cs"/>
                <w:color w:val="000000"/>
                <w:sz w:val="20"/>
                <w:szCs w:val="20"/>
                <w:rtl/>
              </w:rPr>
              <w:t xml:space="preserve">ימי </w:t>
            </w:r>
            <w:r w:rsidR="006C05CA" w:rsidRPr="00771B00">
              <w:rPr>
                <w:rFonts w:eastAsia="Times New Roman" w:hint="cs"/>
                <w:color w:val="000000"/>
                <w:sz w:val="20"/>
                <w:szCs w:val="20"/>
                <w:rtl/>
              </w:rPr>
              <w:t>"עם כלביא"</w:t>
            </w:r>
            <w:r w:rsidR="00456BFD">
              <w:rPr>
                <w:rFonts w:eastAsia="Times New Roman" w:hint="cs"/>
                <w:color w:val="000000"/>
                <w:sz w:val="20"/>
                <w:szCs w:val="20"/>
                <w:rtl/>
              </w:rPr>
              <w:t>,</w:t>
            </w:r>
            <w:r w:rsidR="006C05CA" w:rsidRPr="00771B00">
              <w:rPr>
                <w:rFonts w:eastAsia="Times New Roman" w:hint="cs"/>
                <w:color w:val="000000"/>
                <w:sz w:val="20"/>
                <w:szCs w:val="20"/>
                <w:rtl/>
              </w:rPr>
              <w:t xml:space="preserve"> אנו צו</w:t>
            </w:r>
            <w:r w:rsidR="006C05CA">
              <w:rPr>
                <w:rFonts w:eastAsia="Times New Roman" w:hint="cs"/>
                <w:color w:val="000000"/>
                <w:sz w:val="20"/>
                <w:szCs w:val="20"/>
                <w:rtl/>
              </w:rPr>
              <w:t>פים עליה מסוימת בשיעור האבטלה באופק התחזית.</w:t>
            </w:r>
          </w:p>
        </w:tc>
      </w:tr>
      <w:tr w:rsidR="007C5EE7" w14:paraId="7B67D954" w14:textId="77777777" w:rsidTr="00DE7759">
        <w:trPr>
          <w:trHeight w:val="300"/>
          <w:jc w:val="center"/>
        </w:trPr>
        <w:tc>
          <w:tcPr>
            <w:tcW w:w="201" w:type="pct"/>
            <w:tcBorders>
              <w:top w:val="nil"/>
              <w:left w:val="nil"/>
              <w:bottom w:val="nil"/>
              <w:right w:val="nil"/>
            </w:tcBorders>
            <w:shd w:val="clear" w:color="auto" w:fill="FFFFFF" w:themeFill="background1"/>
          </w:tcPr>
          <w:p w14:paraId="7AFCF19C" w14:textId="77777777" w:rsidR="00792210" w:rsidRPr="00C94167" w:rsidRDefault="00792210" w:rsidP="002F6599">
            <w:pPr>
              <w:spacing w:after="0"/>
              <w:rPr>
                <w:rFonts w:eastAsia="Times New Roman"/>
                <w:color w:val="000000"/>
                <w:sz w:val="20"/>
                <w:szCs w:val="20"/>
                <w:vertAlign w:val="superscript"/>
                <w:rtl/>
              </w:rPr>
            </w:pPr>
          </w:p>
        </w:tc>
        <w:tc>
          <w:tcPr>
            <w:tcW w:w="4799" w:type="pct"/>
            <w:gridSpan w:val="8"/>
            <w:tcBorders>
              <w:top w:val="nil"/>
              <w:left w:val="nil"/>
              <w:bottom w:val="nil"/>
              <w:right w:val="nil"/>
            </w:tcBorders>
            <w:shd w:val="clear" w:color="auto" w:fill="FFFFFF" w:themeFill="background1"/>
            <w:noWrap/>
            <w:vAlign w:val="bottom"/>
            <w:hideMark/>
          </w:tcPr>
          <w:p w14:paraId="54CDEF72" w14:textId="77777777" w:rsidR="00792210" w:rsidRPr="00C94167" w:rsidRDefault="001C161C" w:rsidP="002F6599">
            <w:pPr>
              <w:spacing w:after="0"/>
              <w:rPr>
                <w:rFonts w:eastAsia="Times New Roman"/>
                <w:color w:val="000000"/>
                <w:sz w:val="20"/>
                <w:szCs w:val="20"/>
                <w:rtl/>
              </w:rPr>
            </w:pPr>
            <w:r w:rsidRPr="00C94167">
              <w:rPr>
                <w:rFonts w:eastAsia="Times New Roman"/>
                <w:color w:val="000000"/>
                <w:sz w:val="20"/>
                <w:szCs w:val="20"/>
                <w:vertAlign w:val="superscript"/>
                <w:rtl/>
              </w:rPr>
              <w:t>3</w:t>
            </w:r>
            <w:r w:rsidRPr="00C94167">
              <w:rPr>
                <w:rFonts w:eastAsia="Times New Roman"/>
                <w:color w:val="000000"/>
                <w:sz w:val="20"/>
                <w:szCs w:val="20"/>
                <w:rtl/>
              </w:rPr>
              <w:t xml:space="preserve"> הממוצע של מדד המחירים לצרכן ברבעון האחרון בשנה לעומת הממוצע ברבעון האחרון בשנה הקודמת.</w:t>
            </w:r>
          </w:p>
        </w:tc>
      </w:tr>
    </w:tbl>
    <w:p w14:paraId="5A096174" w14:textId="77777777" w:rsidR="0096452E" w:rsidRPr="00202530" w:rsidRDefault="001C161C" w:rsidP="0096452E">
      <w:pPr>
        <w:pStyle w:val="a"/>
        <w:spacing w:line="276" w:lineRule="auto"/>
        <w:rPr>
          <w:rFonts w:ascii="Calibri" w:hAnsi="Calibri" w:cs="Calibri"/>
          <w:sz w:val="24"/>
          <w:rtl/>
        </w:rPr>
      </w:pPr>
      <w:r w:rsidRPr="00202530">
        <w:rPr>
          <w:rFonts w:ascii="Calibri" w:hAnsi="Calibri" w:cs="Calibri"/>
          <w:sz w:val="24"/>
          <w:rtl/>
        </w:rPr>
        <w:t>הפעילות הריאלית בישראל</w:t>
      </w:r>
    </w:p>
    <w:p w14:paraId="34EC7562" w14:textId="2624060B" w:rsidR="00AC67E2" w:rsidRDefault="001C161C" w:rsidP="00540AC8">
      <w:pPr>
        <w:tabs>
          <w:tab w:val="num" w:pos="720"/>
        </w:tabs>
        <w:spacing w:after="360"/>
        <w:jc w:val="both"/>
      </w:pPr>
      <w:r w:rsidRPr="00202530">
        <w:rPr>
          <w:b/>
          <w:bCs/>
          <w:rtl/>
        </w:rPr>
        <w:t>התוצר צמח להערכתנו ב-</w:t>
      </w:r>
      <w:r>
        <w:rPr>
          <w:rFonts w:hint="cs"/>
          <w:b/>
          <w:bCs/>
          <w:rtl/>
        </w:rPr>
        <w:t>2.8</w:t>
      </w:r>
      <w:r w:rsidRPr="00202530">
        <w:rPr>
          <w:b/>
          <w:bCs/>
          <w:rtl/>
        </w:rPr>
        <w:t xml:space="preserve">% בשנת </w:t>
      </w:r>
      <w:r w:rsidR="00CC4043">
        <w:rPr>
          <w:rFonts w:hint="cs"/>
          <w:b/>
          <w:bCs/>
          <w:rtl/>
        </w:rPr>
        <w:t>2025</w:t>
      </w:r>
      <w:r w:rsidR="00CC4043" w:rsidRPr="00202530">
        <w:rPr>
          <w:b/>
          <w:bCs/>
          <w:rtl/>
        </w:rPr>
        <w:t xml:space="preserve"> </w:t>
      </w:r>
      <w:r w:rsidRPr="00202530">
        <w:rPr>
          <w:b/>
          <w:bCs/>
          <w:rtl/>
        </w:rPr>
        <w:t>והוא צפוי לצמוח ב-</w:t>
      </w:r>
      <w:r>
        <w:rPr>
          <w:rFonts w:hint="cs"/>
          <w:b/>
          <w:bCs/>
          <w:rtl/>
        </w:rPr>
        <w:t>5.2</w:t>
      </w:r>
      <w:r w:rsidRPr="00202530">
        <w:rPr>
          <w:b/>
          <w:bCs/>
          <w:rtl/>
        </w:rPr>
        <w:t>% בשנת 202</w:t>
      </w:r>
      <w:r>
        <w:rPr>
          <w:rFonts w:hint="cs"/>
          <w:b/>
          <w:bCs/>
          <w:rtl/>
        </w:rPr>
        <w:t>6 וב-4.</w:t>
      </w:r>
      <w:r w:rsidR="00CB7EE6">
        <w:rPr>
          <w:rFonts w:hint="cs"/>
          <w:b/>
          <w:bCs/>
          <w:rtl/>
        </w:rPr>
        <w:t>3</w:t>
      </w:r>
      <w:r>
        <w:rPr>
          <w:rFonts w:hint="cs"/>
          <w:b/>
          <w:bCs/>
          <w:rtl/>
        </w:rPr>
        <w:t xml:space="preserve"> בשנת 2027</w:t>
      </w:r>
      <w:r w:rsidR="0096452E" w:rsidRPr="00202530">
        <w:rPr>
          <w:rtl/>
        </w:rPr>
        <w:t xml:space="preserve"> (לוח 1)</w:t>
      </w:r>
      <w:r w:rsidR="0096452E" w:rsidRPr="002C7CC8">
        <w:rPr>
          <w:rFonts w:hint="cs"/>
          <w:rtl/>
        </w:rPr>
        <w:t>.</w:t>
      </w:r>
      <w:r w:rsidR="0096452E" w:rsidRPr="004F7307">
        <w:rPr>
          <w:rtl/>
        </w:rPr>
        <w:t xml:space="preserve"> </w:t>
      </w:r>
      <w:r w:rsidR="00375D26">
        <w:rPr>
          <w:rFonts w:hint="cs"/>
          <w:rtl/>
        </w:rPr>
        <w:t xml:space="preserve">הקדמת מועד </w:t>
      </w:r>
      <w:r w:rsidR="005605F7">
        <w:rPr>
          <w:rtl/>
        </w:rPr>
        <w:t>הפסקת האש</w:t>
      </w:r>
      <w:r w:rsidR="00375D26">
        <w:rPr>
          <w:rFonts w:hint="cs"/>
          <w:rtl/>
        </w:rPr>
        <w:t>,</w:t>
      </w:r>
      <w:r w:rsidR="005605F7">
        <w:rPr>
          <w:rtl/>
        </w:rPr>
        <w:t xml:space="preserve"> </w:t>
      </w:r>
      <w:r w:rsidR="00375D26">
        <w:rPr>
          <w:rFonts w:hint="cs"/>
          <w:rtl/>
        </w:rPr>
        <w:t xml:space="preserve">ביחס להנחה בתחזית הקודמת, </w:t>
      </w:r>
      <w:r w:rsidR="00E721F4">
        <w:rPr>
          <w:rFonts w:hint="cs"/>
          <w:rtl/>
        </w:rPr>
        <w:t>הקדימה את ההקלה</w:t>
      </w:r>
      <w:r w:rsidR="005605F7">
        <w:rPr>
          <w:rtl/>
        </w:rPr>
        <w:t xml:space="preserve"> </w:t>
      </w:r>
      <w:r w:rsidR="00E721F4">
        <w:rPr>
          <w:rFonts w:hint="cs"/>
          <w:rtl/>
        </w:rPr>
        <w:t>ב</w:t>
      </w:r>
      <w:r w:rsidR="005605F7">
        <w:rPr>
          <w:rtl/>
        </w:rPr>
        <w:t xml:space="preserve">מגבלות ההיצע, בעיקר הודות לשחרור אנשי מילואים וחזרתם לתעסוקה במגזר העסקי. </w:t>
      </w:r>
      <w:r w:rsidR="005605F7">
        <w:rPr>
          <w:rFonts w:hint="cs"/>
          <w:rtl/>
        </w:rPr>
        <w:t xml:space="preserve">אנו מעריכים כי תהיה </w:t>
      </w:r>
      <w:r w:rsidR="00074F7A">
        <w:rPr>
          <w:rtl/>
        </w:rPr>
        <w:t>התכנסות הדרגתי</w:t>
      </w:r>
      <w:r w:rsidR="00E721F4">
        <w:rPr>
          <w:rFonts w:hint="cs"/>
          <w:rtl/>
        </w:rPr>
        <w:t>ת</w:t>
      </w:r>
      <w:r w:rsidR="00074F7A">
        <w:rPr>
          <w:rtl/>
        </w:rPr>
        <w:t xml:space="preserve"> של התוצר ורכיביו לעבר מגמתם </w:t>
      </w:r>
      <w:r w:rsidR="00E721F4">
        <w:rPr>
          <w:rFonts w:hint="cs"/>
          <w:rtl/>
        </w:rPr>
        <w:t>ארוכת הטווח</w:t>
      </w:r>
      <w:r w:rsidR="005605F7">
        <w:rPr>
          <w:rFonts w:hint="cs"/>
          <w:b/>
          <w:bCs/>
          <w:rtl/>
        </w:rPr>
        <w:t xml:space="preserve">. </w:t>
      </w:r>
      <w:r w:rsidR="00074F7A" w:rsidRPr="005605F7">
        <w:rPr>
          <w:rtl/>
        </w:rPr>
        <w:t>הצריכה הפרטית</w:t>
      </w:r>
      <w:r w:rsidR="00074F7A">
        <w:rPr>
          <w:rtl/>
        </w:rPr>
        <w:t xml:space="preserve"> צפויה לשוב למסלול צמיחה מתון</w:t>
      </w:r>
      <w:r w:rsidR="005605F7">
        <w:rPr>
          <w:rFonts w:hint="cs"/>
          <w:rtl/>
        </w:rPr>
        <w:t xml:space="preserve"> (4.3% </w:t>
      </w:r>
      <w:r w:rsidR="00C079F5">
        <w:rPr>
          <w:rFonts w:hint="cs"/>
          <w:rtl/>
        </w:rPr>
        <w:t xml:space="preserve">בשנת 2026 </w:t>
      </w:r>
      <w:r w:rsidR="00074F7A">
        <w:rPr>
          <w:rtl/>
        </w:rPr>
        <w:t>במונח</w:t>
      </w:r>
      <w:r w:rsidR="005605F7">
        <w:rPr>
          <w:rFonts w:hint="cs"/>
          <w:rtl/>
        </w:rPr>
        <w:t xml:space="preserve">י </w:t>
      </w:r>
      <w:r w:rsidR="00074F7A">
        <w:t>Q4/Q4</w:t>
      </w:r>
      <w:r w:rsidR="005605F7">
        <w:rPr>
          <w:rFonts w:hint="cs"/>
          <w:rtl/>
        </w:rPr>
        <w:t xml:space="preserve">) </w:t>
      </w:r>
      <w:r w:rsidR="00074F7A">
        <w:rPr>
          <w:rtl/>
        </w:rPr>
        <w:t xml:space="preserve">בקצב דומה לצמיחת התוצר, לאחר פגיעה מתונה יחסית בתחילת </w:t>
      </w:r>
      <w:r w:rsidR="00375D26">
        <w:rPr>
          <w:rFonts w:hint="cs"/>
          <w:rtl/>
        </w:rPr>
        <w:t>המלחמה</w:t>
      </w:r>
      <w:r w:rsidR="00074F7A">
        <w:rPr>
          <w:rtl/>
        </w:rPr>
        <w:t>.</w:t>
      </w:r>
      <w:r w:rsidR="00DF4D70">
        <w:rPr>
          <w:rFonts w:hint="cs"/>
          <w:rtl/>
        </w:rPr>
        <w:t xml:space="preserve"> </w:t>
      </w:r>
      <w:r w:rsidR="00074F7A" w:rsidRPr="005605F7">
        <w:rPr>
          <w:rtl/>
        </w:rPr>
        <w:t>ההשקעות במשק</w:t>
      </w:r>
      <w:r w:rsidR="00074F7A">
        <w:rPr>
          <w:rtl/>
        </w:rPr>
        <w:t xml:space="preserve"> צפויות לצמוח במהירות ולחצות את רמת המגמה המקורית, במטרה להשלים את פערי מלאי ההון שנוצרו</w:t>
      </w:r>
      <w:r w:rsidR="002812C8">
        <w:rPr>
          <w:rFonts w:hint="cs"/>
          <w:rtl/>
        </w:rPr>
        <w:t>, במגזר העסקי ובשוק הדיור</w:t>
      </w:r>
      <w:r w:rsidR="00074F7A">
        <w:rPr>
          <w:rtl/>
        </w:rPr>
        <w:t xml:space="preserve">. תהליך זה </w:t>
      </w:r>
      <w:r w:rsidR="00C70A7F">
        <w:rPr>
          <w:rFonts w:hint="cs"/>
          <w:rtl/>
        </w:rPr>
        <w:t>נתמך ב</w:t>
      </w:r>
      <w:r w:rsidR="00074F7A">
        <w:rPr>
          <w:rtl/>
        </w:rPr>
        <w:t xml:space="preserve">התאוששות בענף הבנייה עם חזרת </w:t>
      </w:r>
      <w:r w:rsidR="000F71EE">
        <w:rPr>
          <w:rFonts w:hint="cs"/>
          <w:rtl/>
        </w:rPr>
        <w:t xml:space="preserve">מספר </w:t>
      </w:r>
      <w:r w:rsidR="00074F7A">
        <w:rPr>
          <w:rtl/>
        </w:rPr>
        <w:t>העובדים</w:t>
      </w:r>
      <w:r w:rsidR="000F71EE">
        <w:rPr>
          <w:rFonts w:hint="cs"/>
          <w:rtl/>
        </w:rPr>
        <w:t xml:space="preserve"> לרמתו ערב המלחמה </w:t>
      </w:r>
      <w:r w:rsidR="00074F7A">
        <w:rPr>
          <w:rtl/>
        </w:rPr>
        <w:t xml:space="preserve">, וכן </w:t>
      </w:r>
      <w:r w:rsidR="00375D26">
        <w:rPr>
          <w:rFonts w:hint="cs"/>
          <w:rtl/>
        </w:rPr>
        <w:t>באמצעות</w:t>
      </w:r>
      <w:r w:rsidR="00074F7A">
        <w:rPr>
          <w:rtl/>
        </w:rPr>
        <w:t xml:space="preserve"> השקעה מוגברת בציוד ובמכונות כתחליף למחסור בכוח אדם (על רקע פריון שולי גבוה של ההון</w:t>
      </w:r>
      <w:r w:rsidR="000F71EE">
        <w:rPr>
          <w:rFonts w:hint="cs"/>
          <w:rtl/>
        </w:rPr>
        <w:t>, בין היתר בשל המעבר לבניית מבנים גבוהים יותר</w:t>
      </w:r>
      <w:r w:rsidR="00074F7A">
        <w:rPr>
          <w:rtl/>
        </w:rPr>
        <w:t>). במקביל</w:t>
      </w:r>
      <w:r w:rsidR="005605F7">
        <w:rPr>
          <w:rFonts w:hint="cs"/>
          <w:rtl/>
        </w:rPr>
        <w:t xml:space="preserve">, </w:t>
      </w:r>
      <w:r w:rsidR="00074F7A" w:rsidRPr="005605F7">
        <w:rPr>
          <w:rtl/>
        </w:rPr>
        <w:t xml:space="preserve">היבוא </w:t>
      </w:r>
      <w:r w:rsidR="002812C8">
        <w:rPr>
          <w:rFonts w:hint="cs"/>
          <w:rtl/>
        </w:rPr>
        <w:t xml:space="preserve">והיצוא צפויים להגדיל את חלקם בפעילות, בדומה למגמה ארוכת הטווח של התגברות הפתיחות של המשק הישראלי, תוך </w:t>
      </w:r>
      <w:r w:rsidR="00456BFD">
        <w:rPr>
          <w:rFonts w:hint="cs"/>
          <w:rtl/>
        </w:rPr>
        <w:t>התמתנות</w:t>
      </w:r>
      <w:r w:rsidR="002812C8">
        <w:rPr>
          <w:rFonts w:hint="cs"/>
          <w:rtl/>
        </w:rPr>
        <w:t xml:space="preserve"> הירידה של עודף היצוא בזכות ההקלה במגבלות ההיצע</w:t>
      </w:r>
      <w:r w:rsidR="00074F7A">
        <w:rPr>
          <w:rtl/>
        </w:rPr>
        <w:t>. מנגד</w:t>
      </w:r>
      <w:r w:rsidR="005605F7">
        <w:rPr>
          <w:rFonts w:hint="cs"/>
          <w:rtl/>
        </w:rPr>
        <w:t xml:space="preserve">, </w:t>
      </w:r>
      <w:r w:rsidR="00074F7A" w:rsidRPr="005605F7">
        <w:rPr>
          <w:rtl/>
        </w:rPr>
        <w:t>הצריכה הציבורית</w:t>
      </w:r>
      <w:r w:rsidR="00074F7A">
        <w:rPr>
          <w:rtl/>
        </w:rPr>
        <w:t xml:space="preserve"> צפויה להתמתן לאחר שנתיים של הוצאות מלחמה </w:t>
      </w:r>
      <w:r w:rsidR="00293EE8">
        <w:rPr>
          <w:rFonts w:hint="cs"/>
          <w:rtl/>
        </w:rPr>
        <w:t>גבוהות</w:t>
      </w:r>
      <w:r w:rsidR="00074F7A">
        <w:rPr>
          <w:rtl/>
        </w:rPr>
        <w:t>, תוך שינוי בתמהיל לטובת הוצאות אזרחיות ו</w:t>
      </w:r>
      <w:r w:rsidR="00540AC8">
        <w:rPr>
          <w:rFonts w:hint="cs"/>
          <w:rtl/>
        </w:rPr>
        <w:t>התמתנות</w:t>
      </w:r>
      <w:r w:rsidR="00074F7A">
        <w:rPr>
          <w:rtl/>
        </w:rPr>
        <w:t xml:space="preserve"> במחירי הצריכה</w:t>
      </w:r>
      <w:r w:rsidR="00265FF3">
        <w:rPr>
          <w:rFonts w:hint="cs"/>
          <w:rtl/>
        </w:rPr>
        <w:t xml:space="preserve"> הציבורית</w:t>
      </w:r>
      <w:r w:rsidR="00074F7A">
        <w:rPr>
          <w:rtl/>
        </w:rPr>
        <w:t xml:space="preserve"> עקב הירידה בהיקפי</w:t>
      </w:r>
      <w:r w:rsidR="00375D26">
        <w:rPr>
          <w:rFonts w:hint="cs"/>
          <w:rtl/>
        </w:rPr>
        <w:t>ם</w:t>
      </w:r>
      <w:r w:rsidR="00074F7A">
        <w:rPr>
          <w:rtl/>
        </w:rPr>
        <w:t xml:space="preserve"> </w:t>
      </w:r>
      <w:r w:rsidR="00375D26">
        <w:rPr>
          <w:rFonts w:hint="cs"/>
          <w:rtl/>
        </w:rPr>
        <w:t xml:space="preserve">של </w:t>
      </w:r>
      <w:r w:rsidR="00074F7A">
        <w:rPr>
          <w:rtl/>
        </w:rPr>
        <w:t>תשלומי השכר למשרתי המילואים</w:t>
      </w:r>
      <w:r w:rsidR="00074F7A">
        <w:t>.</w:t>
      </w:r>
    </w:p>
    <w:p w14:paraId="6E600D10" w14:textId="4F089F00" w:rsidR="008052FC" w:rsidRDefault="001C161C" w:rsidP="002468BF">
      <w:pPr>
        <w:spacing w:after="360"/>
        <w:ind w:left="6"/>
        <w:jc w:val="both"/>
        <w:rPr>
          <w:rFonts w:ascii="Times New Roman" w:hAnsi="Times New Roman"/>
          <w:color w:val="FF0000"/>
          <w:sz w:val="24"/>
          <w:rtl/>
        </w:rPr>
      </w:pPr>
      <w:r w:rsidRPr="00D879D0">
        <w:rPr>
          <w:b/>
          <w:bCs/>
          <w:rtl/>
        </w:rPr>
        <w:lastRenderedPageBreak/>
        <w:t xml:space="preserve">הגרעון בתקציב המדינה צפוי </w:t>
      </w:r>
      <w:r w:rsidRPr="007D71C7">
        <w:rPr>
          <w:b/>
          <w:bCs/>
          <w:rtl/>
        </w:rPr>
        <w:t xml:space="preserve">לעמוד על </w:t>
      </w:r>
      <w:r w:rsidR="001214CE">
        <w:rPr>
          <w:rFonts w:hint="cs"/>
          <w:b/>
          <w:bCs/>
          <w:rtl/>
        </w:rPr>
        <w:t>3.</w:t>
      </w:r>
      <w:r w:rsidR="00C01EF3">
        <w:rPr>
          <w:rFonts w:hint="cs"/>
          <w:b/>
          <w:bCs/>
          <w:rtl/>
        </w:rPr>
        <w:t>9</w:t>
      </w:r>
      <w:r w:rsidRPr="007D71C7">
        <w:rPr>
          <w:b/>
          <w:bCs/>
          <w:rtl/>
        </w:rPr>
        <w:t xml:space="preserve"> </w:t>
      </w:r>
      <w:r w:rsidRPr="007D71C7">
        <w:rPr>
          <w:rFonts w:hint="eastAsia"/>
          <w:b/>
          <w:bCs/>
          <w:rtl/>
        </w:rPr>
        <w:t>ו</w:t>
      </w:r>
      <w:r w:rsidRPr="007D71C7">
        <w:rPr>
          <w:b/>
          <w:bCs/>
          <w:rtl/>
        </w:rPr>
        <w:t>-</w:t>
      </w:r>
      <w:r w:rsidR="001214CE">
        <w:rPr>
          <w:rFonts w:hint="cs"/>
          <w:b/>
          <w:bCs/>
          <w:rtl/>
        </w:rPr>
        <w:t>3.</w:t>
      </w:r>
      <w:r w:rsidR="00C01EF3">
        <w:rPr>
          <w:rFonts w:hint="cs"/>
          <w:b/>
          <w:bCs/>
          <w:rtl/>
        </w:rPr>
        <w:t>6</w:t>
      </w:r>
      <w:r w:rsidRPr="007D71C7">
        <w:rPr>
          <w:b/>
          <w:bCs/>
          <w:rtl/>
        </w:rPr>
        <w:t xml:space="preserve"> </w:t>
      </w:r>
      <w:r>
        <w:rPr>
          <w:rFonts w:hint="cs"/>
          <w:b/>
          <w:bCs/>
          <w:rtl/>
        </w:rPr>
        <w:t xml:space="preserve">אחוזי </w:t>
      </w:r>
      <w:r w:rsidRPr="007D71C7">
        <w:rPr>
          <w:rFonts w:hint="eastAsia"/>
          <w:b/>
          <w:bCs/>
          <w:rtl/>
        </w:rPr>
        <w:t>תוצר</w:t>
      </w:r>
      <w:r w:rsidRPr="007D71C7">
        <w:rPr>
          <w:b/>
          <w:bCs/>
          <w:rtl/>
        </w:rPr>
        <w:t xml:space="preserve"> </w:t>
      </w:r>
      <w:r w:rsidRPr="007D71C7">
        <w:rPr>
          <w:rFonts w:hint="eastAsia"/>
          <w:b/>
          <w:bCs/>
          <w:rtl/>
        </w:rPr>
        <w:t>בשנים</w:t>
      </w:r>
      <w:r w:rsidRPr="007D71C7">
        <w:rPr>
          <w:b/>
          <w:bCs/>
          <w:rtl/>
        </w:rPr>
        <w:t xml:space="preserve"> 202</w:t>
      </w:r>
      <w:r w:rsidR="001214CE">
        <w:rPr>
          <w:rFonts w:hint="cs"/>
          <w:b/>
          <w:bCs/>
          <w:rtl/>
        </w:rPr>
        <w:t>6</w:t>
      </w:r>
      <w:r w:rsidRPr="007D71C7">
        <w:rPr>
          <w:b/>
          <w:bCs/>
          <w:rtl/>
        </w:rPr>
        <w:t xml:space="preserve"> </w:t>
      </w:r>
      <w:r w:rsidRPr="007D71C7">
        <w:rPr>
          <w:rFonts w:hint="eastAsia"/>
          <w:b/>
          <w:bCs/>
          <w:rtl/>
        </w:rPr>
        <w:t>ו</w:t>
      </w:r>
      <w:r w:rsidRPr="007D71C7">
        <w:rPr>
          <w:b/>
          <w:bCs/>
          <w:rtl/>
        </w:rPr>
        <w:t>-202</w:t>
      </w:r>
      <w:r w:rsidR="001214CE">
        <w:rPr>
          <w:rFonts w:hint="cs"/>
          <w:b/>
          <w:bCs/>
          <w:rtl/>
        </w:rPr>
        <w:t>7</w:t>
      </w:r>
      <w:r w:rsidRPr="007D71C7">
        <w:rPr>
          <w:b/>
          <w:bCs/>
          <w:rtl/>
        </w:rPr>
        <w:t xml:space="preserve">, </w:t>
      </w:r>
      <w:r w:rsidRPr="007D71C7">
        <w:rPr>
          <w:rFonts w:hint="eastAsia"/>
          <w:b/>
          <w:bCs/>
          <w:rtl/>
        </w:rPr>
        <w:t>בהתאמה</w:t>
      </w:r>
      <w:r w:rsidRPr="007D71C7">
        <w:rPr>
          <w:b/>
          <w:bCs/>
          <w:rtl/>
        </w:rPr>
        <w:t xml:space="preserve">. </w:t>
      </w:r>
      <w:r w:rsidR="00BF4FDD">
        <w:rPr>
          <w:rFonts w:hint="cs"/>
          <w:b/>
          <w:bCs/>
          <w:rtl/>
        </w:rPr>
        <w:t xml:space="preserve">יחס </w:t>
      </w:r>
      <w:r w:rsidRPr="007D71C7">
        <w:rPr>
          <w:b/>
          <w:bCs/>
          <w:rtl/>
        </w:rPr>
        <w:t>החוב הציבורי</w:t>
      </w:r>
      <w:r w:rsidR="00BF4FDD">
        <w:rPr>
          <w:rFonts w:hint="cs"/>
          <w:b/>
          <w:bCs/>
          <w:rtl/>
        </w:rPr>
        <w:t xml:space="preserve"> לתוצר</w:t>
      </w:r>
      <w:r w:rsidRPr="007D71C7">
        <w:rPr>
          <w:b/>
          <w:bCs/>
          <w:rtl/>
        </w:rPr>
        <w:t xml:space="preserve"> צפוי לעמוד על </w:t>
      </w:r>
      <w:r w:rsidR="002E588C">
        <w:rPr>
          <w:rFonts w:hint="cs"/>
          <w:b/>
          <w:bCs/>
          <w:rtl/>
        </w:rPr>
        <w:t>68.5</w:t>
      </w:r>
      <w:r w:rsidR="00BF4FDD">
        <w:rPr>
          <w:rFonts w:hint="cs"/>
          <w:b/>
          <w:bCs/>
          <w:rtl/>
        </w:rPr>
        <w:t>%</w:t>
      </w:r>
      <w:r w:rsidR="00C01EF3">
        <w:rPr>
          <w:rFonts w:hint="cs"/>
          <w:b/>
          <w:bCs/>
          <w:rtl/>
        </w:rPr>
        <w:t xml:space="preserve"> בשנים אלו</w:t>
      </w:r>
      <w:r>
        <w:rPr>
          <w:rFonts w:hint="cs"/>
          <w:b/>
          <w:bCs/>
          <w:rtl/>
        </w:rPr>
        <w:t>.</w:t>
      </w:r>
      <w:r w:rsidRPr="00740D76">
        <w:rPr>
          <w:rFonts w:hint="cs"/>
          <w:rtl/>
        </w:rPr>
        <w:t xml:space="preserve"> </w:t>
      </w:r>
      <w:r w:rsidRPr="00273894">
        <w:rPr>
          <w:rFonts w:hint="eastAsia"/>
          <w:rtl/>
        </w:rPr>
        <w:t>שנת</w:t>
      </w:r>
      <w:r w:rsidRPr="00273894">
        <w:rPr>
          <w:rtl/>
        </w:rPr>
        <w:t xml:space="preserve"> 2026 </w:t>
      </w:r>
      <w:r w:rsidR="00E56595">
        <w:rPr>
          <w:rFonts w:hint="cs"/>
          <w:rtl/>
        </w:rPr>
        <w:t xml:space="preserve">התחילה </w:t>
      </w:r>
      <w:r w:rsidRPr="00273894">
        <w:rPr>
          <w:rtl/>
        </w:rPr>
        <w:t>עם תקציב המשכי</w:t>
      </w:r>
      <w:r w:rsidR="00E56595">
        <w:rPr>
          <w:rFonts w:hint="cs"/>
          <w:rtl/>
        </w:rPr>
        <w:t xml:space="preserve"> שצפוי להיות בתוקף עד חודש מארס</w:t>
      </w:r>
      <w:r w:rsidRPr="00273894">
        <w:rPr>
          <w:rtl/>
        </w:rPr>
        <w:t>,</w:t>
      </w:r>
      <w:r>
        <w:rPr>
          <w:rFonts w:hint="cs"/>
          <w:rtl/>
        </w:rPr>
        <w:t xml:space="preserve"> </w:t>
      </w:r>
      <w:r w:rsidR="00E56595">
        <w:rPr>
          <w:rFonts w:hint="cs"/>
          <w:rtl/>
        </w:rPr>
        <w:t>ו</w:t>
      </w:r>
      <w:r w:rsidR="00D1612C">
        <w:rPr>
          <w:rFonts w:hint="cs"/>
          <w:rtl/>
        </w:rPr>
        <w:t>הנחת העבודה בתחזית היא</w:t>
      </w:r>
      <w:r w:rsidRPr="00273894">
        <w:rPr>
          <w:rtl/>
        </w:rPr>
        <w:t xml:space="preserve"> </w:t>
      </w:r>
      <w:r w:rsidRPr="00273894">
        <w:rPr>
          <w:rFonts w:hint="eastAsia"/>
          <w:rtl/>
        </w:rPr>
        <w:t>שהתקציב</w:t>
      </w:r>
      <w:r w:rsidRPr="00273894">
        <w:rPr>
          <w:rtl/>
        </w:rPr>
        <w:t xml:space="preserve"> </w:t>
      </w:r>
      <w:r w:rsidRPr="00273894">
        <w:rPr>
          <w:rFonts w:hint="eastAsia"/>
          <w:rtl/>
        </w:rPr>
        <w:t>יאושר</w:t>
      </w:r>
      <w:r w:rsidRPr="00273894">
        <w:rPr>
          <w:rtl/>
        </w:rPr>
        <w:t xml:space="preserve"> </w:t>
      </w:r>
      <w:r w:rsidRPr="00273894">
        <w:rPr>
          <w:rFonts w:hint="eastAsia"/>
          <w:rtl/>
        </w:rPr>
        <w:t>עד</w:t>
      </w:r>
      <w:r w:rsidRPr="00273894">
        <w:rPr>
          <w:rtl/>
        </w:rPr>
        <w:t xml:space="preserve"> </w:t>
      </w:r>
      <w:r w:rsidRPr="00273894">
        <w:rPr>
          <w:rFonts w:hint="eastAsia"/>
          <w:rtl/>
        </w:rPr>
        <w:t>סוף</w:t>
      </w:r>
      <w:r w:rsidRPr="00273894">
        <w:rPr>
          <w:rtl/>
        </w:rPr>
        <w:t xml:space="preserve"> </w:t>
      </w:r>
      <w:r w:rsidRPr="00273894">
        <w:rPr>
          <w:rFonts w:hint="eastAsia"/>
          <w:rtl/>
        </w:rPr>
        <w:t>הרבעון</w:t>
      </w:r>
      <w:r w:rsidRPr="00273894">
        <w:rPr>
          <w:rtl/>
        </w:rPr>
        <w:t xml:space="preserve"> </w:t>
      </w:r>
      <w:r w:rsidRPr="00273894">
        <w:rPr>
          <w:rFonts w:hint="eastAsia"/>
          <w:rtl/>
        </w:rPr>
        <w:t>הראשון</w:t>
      </w:r>
      <w:r w:rsidRPr="00273894">
        <w:rPr>
          <w:rtl/>
        </w:rPr>
        <w:t xml:space="preserve"> </w:t>
      </w:r>
      <w:r w:rsidRPr="00273894">
        <w:rPr>
          <w:rFonts w:hint="eastAsia"/>
          <w:rtl/>
        </w:rPr>
        <w:t>ללא</w:t>
      </w:r>
      <w:r w:rsidRPr="00273894">
        <w:rPr>
          <w:rtl/>
        </w:rPr>
        <w:t xml:space="preserve"> </w:t>
      </w:r>
      <w:r w:rsidR="000F71EE">
        <w:rPr>
          <w:rFonts w:hint="cs"/>
          <w:rtl/>
        </w:rPr>
        <w:t xml:space="preserve">שינויים ניכרים ביחס </w:t>
      </w:r>
      <w:r w:rsidR="00397566">
        <w:rPr>
          <w:rFonts w:hint="cs"/>
          <w:rtl/>
        </w:rPr>
        <w:t>למסגרת שאישרה הממשלה</w:t>
      </w:r>
      <w:r w:rsidRPr="00273894">
        <w:rPr>
          <w:rtl/>
        </w:rPr>
        <w:t>.</w:t>
      </w:r>
      <w:r>
        <w:rPr>
          <w:rFonts w:hint="cs"/>
          <w:rtl/>
        </w:rPr>
        <w:t xml:space="preserve"> התחזית ממחישה שללא התאמות תקציביות (העלאת מסים או צמצום הוצאות) יחס החוב לתוצר אינו צפוי לרדת.</w:t>
      </w:r>
      <w:r w:rsidR="0067760A">
        <w:rPr>
          <w:rFonts w:hint="cs"/>
          <w:rtl/>
        </w:rPr>
        <w:t xml:space="preserve"> </w:t>
      </w:r>
      <w:r w:rsidRPr="006A7388">
        <w:rPr>
          <w:rFonts w:ascii="Times New Roman" w:hAnsi="Times New Roman" w:hint="cs"/>
          <w:sz w:val="24"/>
          <w:rtl/>
        </w:rPr>
        <w:t xml:space="preserve">תחזית הגרעון ירדה </w:t>
      </w:r>
      <w:r>
        <w:rPr>
          <w:rFonts w:ascii="Times New Roman" w:hAnsi="Times New Roman" w:hint="cs"/>
          <w:sz w:val="24"/>
          <w:rtl/>
        </w:rPr>
        <w:t xml:space="preserve">מעט </w:t>
      </w:r>
      <w:r w:rsidRPr="006A7388">
        <w:rPr>
          <w:rFonts w:ascii="Times New Roman" w:hAnsi="Times New Roman" w:hint="cs"/>
          <w:sz w:val="24"/>
          <w:rtl/>
        </w:rPr>
        <w:t xml:space="preserve">כתוצאה מהפסקת האש שנכנסה לתוקף מוקדם מהצפוי בתחזית הקודמת – התפתחות </w:t>
      </w:r>
      <w:r w:rsidR="006D4762">
        <w:rPr>
          <w:rFonts w:ascii="Times New Roman" w:hAnsi="Times New Roman" w:hint="cs"/>
          <w:sz w:val="24"/>
          <w:rtl/>
        </w:rPr>
        <w:t>שמובילה</w:t>
      </w:r>
      <w:r w:rsidR="002468BF">
        <w:rPr>
          <w:rFonts w:ascii="Times New Roman" w:hAnsi="Times New Roman" w:hint="cs"/>
          <w:sz w:val="24"/>
          <w:rtl/>
        </w:rPr>
        <w:t>, בהנחה שהפ</w:t>
      </w:r>
      <w:r w:rsidR="005A7FBD">
        <w:rPr>
          <w:rFonts w:ascii="Times New Roman" w:hAnsi="Times New Roman" w:hint="cs"/>
          <w:sz w:val="24"/>
          <w:rtl/>
        </w:rPr>
        <w:t>ס</w:t>
      </w:r>
      <w:r w:rsidR="002468BF">
        <w:rPr>
          <w:rFonts w:ascii="Times New Roman" w:hAnsi="Times New Roman" w:hint="cs"/>
          <w:sz w:val="24"/>
          <w:rtl/>
        </w:rPr>
        <w:t>קת האש תימשך,</w:t>
      </w:r>
      <w:r w:rsidR="006D4762">
        <w:rPr>
          <w:rFonts w:ascii="Times New Roman" w:hAnsi="Times New Roman" w:hint="cs"/>
          <w:sz w:val="24"/>
          <w:rtl/>
        </w:rPr>
        <w:t xml:space="preserve"> לצמצום גדול יותר של </w:t>
      </w:r>
      <w:r w:rsidRPr="006A7388">
        <w:rPr>
          <w:rFonts w:ascii="Times New Roman" w:hAnsi="Times New Roman" w:hint="cs"/>
          <w:sz w:val="24"/>
          <w:rtl/>
        </w:rPr>
        <w:t xml:space="preserve">תקציב הביטחון ב-2026 והגדילה את תחזית ההכנסות. </w:t>
      </w:r>
    </w:p>
    <w:p w14:paraId="75E1FE31" w14:textId="77777777" w:rsidR="0096452E" w:rsidRPr="005504EE" w:rsidRDefault="001C161C" w:rsidP="0096452E">
      <w:pPr>
        <w:pStyle w:val="a"/>
        <w:spacing w:line="276" w:lineRule="auto"/>
        <w:rPr>
          <w:rFonts w:ascii="Calibri" w:hAnsi="Calibri" w:cs="Calibri"/>
          <w:sz w:val="24"/>
          <w:rtl/>
        </w:rPr>
      </w:pPr>
      <w:r w:rsidRPr="005504EE">
        <w:rPr>
          <w:rFonts w:ascii="Calibri" w:hAnsi="Calibri" w:cs="Calibri"/>
          <w:sz w:val="24"/>
          <w:rtl/>
        </w:rPr>
        <w:t>האינפלציה והריבית</w:t>
      </w:r>
    </w:p>
    <w:p w14:paraId="79E1A6D7" w14:textId="690E4F75" w:rsidR="00CC4043" w:rsidRDefault="001C161C" w:rsidP="005A7FBD">
      <w:pPr>
        <w:jc w:val="both"/>
        <w:rPr>
          <w:b/>
          <w:rtl/>
        </w:rPr>
      </w:pPr>
      <w:bookmarkStart w:id="3" w:name="_Hlk202427787"/>
      <w:r w:rsidRPr="00CC4043">
        <w:rPr>
          <w:bCs/>
          <w:rtl/>
        </w:rPr>
        <w:t>שיעור האינפלציה במהלך ארבעת הרבעונים הבאים, המסתיימים ברבעון הרביעי של שנת 2026</w:t>
      </w:r>
      <w:r>
        <w:rPr>
          <w:rStyle w:val="af3"/>
          <w:bCs/>
          <w:rtl/>
        </w:rPr>
        <w:footnoteReference w:id="2"/>
      </w:r>
      <w:r w:rsidRPr="00CC4043">
        <w:rPr>
          <w:bCs/>
          <w:rtl/>
        </w:rPr>
        <w:t>, צפוי לעמוד על 1.</w:t>
      </w:r>
      <w:r w:rsidR="00CB7EE6">
        <w:rPr>
          <w:rFonts w:hint="cs"/>
          <w:bCs/>
          <w:rtl/>
        </w:rPr>
        <w:t>7</w:t>
      </w:r>
      <w:r w:rsidRPr="00CC4043">
        <w:rPr>
          <w:bCs/>
          <w:rtl/>
        </w:rPr>
        <w:t xml:space="preserve">% ובמהלך שנת 2027 על 2.0% (לוח 2). </w:t>
      </w:r>
      <w:r w:rsidRPr="00CC4043">
        <w:rPr>
          <w:b/>
          <w:rtl/>
        </w:rPr>
        <w:t xml:space="preserve">האינפלציה במהלך שנת 2025 </w:t>
      </w:r>
      <w:r w:rsidR="004D0CA8">
        <w:rPr>
          <w:rFonts w:hint="cs"/>
          <w:b/>
          <w:rtl/>
        </w:rPr>
        <w:t xml:space="preserve"> </w:t>
      </w:r>
      <w:r w:rsidRPr="00CC4043">
        <w:rPr>
          <w:b/>
          <w:rtl/>
        </w:rPr>
        <w:t>צפוי</w:t>
      </w:r>
      <w:r w:rsidR="007D0CB0">
        <w:rPr>
          <w:rFonts w:hint="cs"/>
          <w:b/>
          <w:rtl/>
        </w:rPr>
        <w:t>ה</w:t>
      </w:r>
      <w:r w:rsidRPr="00CC4043">
        <w:rPr>
          <w:b/>
          <w:rtl/>
        </w:rPr>
        <w:t xml:space="preserve"> להסתכם ב-2.5% לעומת 3.0% בתחזית ספטמבר, בעיקר עקב </w:t>
      </w:r>
      <w:r w:rsidR="00E339A0">
        <w:rPr>
          <w:rFonts w:hint="cs"/>
          <w:b/>
          <w:rtl/>
        </w:rPr>
        <w:t>ה</w:t>
      </w:r>
      <w:r w:rsidRPr="00CC4043">
        <w:rPr>
          <w:b/>
          <w:rtl/>
        </w:rPr>
        <w:t xml:space="preserve">הפתעה </w:t>
      </w:r>
      <w:r w:rsidR="00E339A0">
        <w:rPr>
          <w:rFonts w:hint="cs"/>
          <w:b/>
          <w:rtl/>
        </w:rPr>
        <w:t xml:space="preserve">כלפי מטה </w:t>
      </w:r>
      <w:r w:rsidRPr="00CC4043">
        <w:rPr>
          <w:b/>
          <w:rtl/>
        </w:rPr>
        <w:t xml:space="preserve">במדד ספטמבר. </w:t>
      </w:r>
      <w:r w:rsidR="006D4762">
        <w:rPr>
          <w:rFonts w:hint="cs"/>
          <w:b/>
          <w:rtl/>
        </w:rPr>
        <w:t>ה</w:t>
      </w:r>
      <w:r w:rsidRPr="00CC4043">
        <w:rPr>
          <w:b/>
          <w:rtl/>
        </w:rPr>
        <w:t>הקדמה של הפסקת האש ברבעון, לעומת הערכתנו בתחזית ספטמבר, מלווה בהקדמה של תהליך שחרור מגבלות ההיצע במשק</w:t>
      </w:r>
      <w:r w:rsidR="004D0CA8">
        <w:rPr>
          <w:rFonts w:hint="cs"/>
          <w:b/>
          <w:rtl/>
        </w:rPr>
        <w:t xml:space="preserve"> </w:t>
      </w:r>
      <w:r w:rsidR="00880B6A">
        <w:rPr>
          <w:rFonts w:hint="cs"/>
          <w:b/>
          <w:rtl/>
        </w:rPr>
        <w:t>אשר צפוי</w:t>
      </w:r>
      <w:r w:rsidR="004A677A">
        <w:rPr>
          <w:rFonts w:hint="cs"/>
          <w:b/>
          <w:rtl/>
        </w:rPr>
        <w:t xml:space="preserve">, כאמור, </w:t>
      </w:r>
      <w:r w:rsidR="00880B6A">
        <w:rPr>
          <w:rFonts w:hint="cs"/>
          <w:b/>
          <w:rtl/>
        </w:rPr>
        <w:t xml:space="preserve">למתן </w:t>
      </w:r>
      <w:r w:rsidR="00880B6A" w:rsidRPr="00E75A41">
        <w:rPr>
          <w:b/>
          <w:rtl/>
        </w:rPr>
        <w:t xml:space="preserve">את </w:t>
      </w:r>
      <w:r w:rsidR="00E339A0">
        <w:rPr>
          <w:rFonts w:hint="cs"/>
          <w:b/>
          <w:rtl/>
        </w:rPr>
        <w:t>עודפי הביקוש</w:t>
      </w:r>
      <w:r w:rsidR="00880B6A" w:rsidRPr="00E75A41">
        <w:rPr>
          <w:b/>
          <w:rtl/>
        </w:rPr>
        <w:t xml:space="preserve"> ואת לחצי האינפלציה. </w:t>
      </w:r>
      <w:r w:rsidRPr="00CC4043">
        <w:rPr>
          <w:b/>
          <w:rtl/>
        </w:rPr>
        <w:t xml:space="preserve">כמו כן, נרשמה ירידה בפרמיית הסיכון של ישראל </w:t>
      </w:r>
      <w:r w:rsidR="006D4762">
        <w:rPr>
          <w:rFonts w:hint="cs"/>
          <w:b/>
          <w:rtl/>
        </w:rPr>
        <w:t>ו</w:t>
      </w:r>
      <w:r w:rsidR="00E56595">
        <w:rPr>
          <w:rFonts w:hint="cs"/>
          <w:b/>
          <w:rtl/>
        </w:rPr>
        <w:t xml:space="preserve">ירידה </w:t>
      </w:r>
      <w:r w:rsidRPr="00CC4043">
        <w:rPr>
          <w:b/>
          <w:rtl/>
        </w:rPr>
        <w:t>במרווח התשואות הדולריות</w:t>
      </w:r>
      <w:r w:rsidR="006D4762">
        <w:rPr>
          <w:rFonts w:hint="cs"/>
          <w:b/>
          <w:rtl/>
        </w:rPr>
        <w:t>,</w:t>
      </w:r>
      <w:r w:rsidRPr="00CC4043">
        <w:rPr>
          <w:b/>
          <w:rtl/>
        </w:rPr>
        <w:t xml:space="preserve"> ו</w:t>
      </w:r>
      <w:r w:rsidR="00E56595">
        <w:rPr>
          <w:rFonts w:hint="cs"/>
          <w:b/>
          <w:rtl/>
        </w:rPr>
        <w:t xml:space="preserve">השקל </w:t>
      </w:r>
      <w:r w:rsidR="00394570">
        <w:rPr>
          <w:rFonts w:hint="cs"/>
          <w:b/>
          <w:rtl/>
        </w:rPr>
        <w:t>התחזק</w:t>
      </w:r>
      <w:r w:rsidRPr="00CC4043">
        <w:rPr>
          <w:b/>
          <w:rtl/>
        </w:rPr>
        <w:t xml:space="preserve">. </w:t>
      </w:r>
      <w:r w:rsidR="005A7FBD">
        <w:rPr>
          <w:rFonts w:hint="cs"/>
          <w:b/>
          <w:rtl/>
        </w:rPr>
        <w:t>כ</w:t>
      </w:r>
      <w:r w:rsidR="00394570">
        <w:rPr>
          <w:rFonts w:hint="cs"/>
          <w:b/>
          <w:rtl/>
        </w:rPr>
        <w:t xml:space="preserve">ל אלו, </w:t>
      </w:r>
      <w:r w:rsidR="006D4762">
        <w:rPr>
          <w:rFonts w:hint="cs"/>
          <w:b/>
          <w:rtl/>
        </w:rPr>
        <w:t>לצד</w:t>
      </w:r>
      <w:r w:rsidR="00880B6A">
        <w:rPr>
          <w:rFonts w:hint="cs"/>
          <w:b/>
          <w:rtl/>
        </w:rPr>
        <w:t xml:space="preserve"> </w:t>
      </w:r>
      <w:r w:rsidR="00880B6A" w:rsidRPr="00E75A41">
        <w:rPr>
          <w:b/>
          <w:rtl/>
        </w:rPr>
        <w:t xml:space="preserve">הירידה במחירי הנפט, וקצב האינפלציה </w:t>
      </w:r>
      <w:r w:rsidR="00340828">
        <w:rPr>
          <w:rFonts w:hint="cs"/>
          <w:b/>
          <w:rtl/>
        </w:rPr>
        <w:t xml:space="preserve">הנמוך </w:t>
      </w:r>
      <w:r w:rsidR="00880B6A" w:rsidRPr="00E75A41">
        <w:rPr>
          <w:b/>
          <w:rtl/>
        </w:rPr>
        <w:t>הצפוי ב</w:t>
      </w:r>
      <w:r w:rsidR="00340828">
        <w:rPr>
          <w:rFonts w:hint="cs"/>
          <w:b/>
          <w:rtl/>
        </w:rPr>
        <w:t>מדינות המפותחות</w:t>
      </w:r>
      <w:r w:rsidR="00394570">
        <w:rPr>
          <w:rFonts w:hint="cs"/>
          <w:b/>
          <w:rtl/>
        </w:rPr>
        <w:t>,</w:t>
      </w:r>
      <w:r w:rsidRPr="00CC4043">
        <w:rPr>
          <w:b/>
          <w:rtl/>
        </w:rPr>
        <w:t xml:space="preserve"> תורמים להתמתנות סביבת האינפלציה,</w:t>
      </w:r>
      <w:r w:rsidR="00880B6A">
        <w:rPr>
          <w:rFonts w:hint="cs"/>
          <w:b/>
          <w:rtl/>
        </w:rPr>
        <w:t xml:space="preserve"> </w:t>
      </w:r>
      <w:r w:rsidR="006D4762" w:rsidRPr="005F05C2">
        <w:rPr>
          <w:rFonts w:hint="eastAsia"/>
          <w:b/>
          <w:rtl/>
        </w:rPr>
        <w:t>ל</w:t>
      </w:r>
      <w:r w:rsidR="00880B6A" w:rsidRPr="005F05C2">
        <w:rPr>
          <w:b/>
          <w:rtl/>
        </w:rPr>
        <w:t>התבססותה</w:t>
      </w:r>
      <w:r w:rsidR="00880B6A">
        <w:rPr>
          <w:b/>
          <w:rtl/>
        </w:rPr>
        <w:t xml:space="preserve"> בסביבת מרכז התחום</w:t>
      </w:r>
      <w:r w:rsidR="00880B6A">
        <w:rPr>
          <w:rFonts w:hint="cs"/>
          <w:b/>
          <w:rtl/>
        </w:rPr>
        <w:t xml:space="preserve">, </w:t>
      </w:r>
      <w:r w:rsidRPr="00CC4043">
        <w:rPr>
          <w:b/>
          <w:rtl/>
        </w:rPr>
        <w:t>ו</w:t>
      </w:r>
      <w:r w:rsidR="00E339A0">
        <w:rPr>
          <w:rFonts w:hint="cs"/>
          <w:b/>
          <w:rtl/>
        </w:rPr>
        <w:t>ל</w:t>
      </w:r>
      <w:r w:rsidR="006D4762">
        <w:rPr>
          <w:rFonts w:hint="cs"/>
          <w:b/>
          <w:rtl/>
        </w:rPr>
        <w:t>צפי ל</w:t>
      </w:r>
      <w:r w:rsidR="00E339A0">
        <w:rPr>
          <w:rFonts w:hint="cs"/>
          <w:b/>
          <w:rtl/>
        </w:rPr>
        <w:t xml:space="preserve">המשך </w:t>
      </w:r>
      <w:r w:rsidRPr="00CC4043">
        <w:rPr>
          <w:b/>
          <w:rtl/>
        </w:rPr>
        <w:t>תהליך הורדות ריבית שהחל בהחלטת נובמבר</w:t>
      </w:r>
      <w:r w:rsidR="007D0CB0">
        <w:rPr>
          <w:rFonts w:hint="cs"/>
          <w:b/>
          <w:rtl/>
        </w:rPr>
        <w:t xml:space="preserve"> 2025</w:t>
      </w:r>
      <w:r w:rsidRPr="00CC4043">
        <w:rPr>
          <w:b/>
          <w:rtl/>
        </w:rPr>
        <w:t>.</w:t>
      </w:r>
    </w:p>
    <w:bookmarkEnd w:id="3"/>
    <w:p w14:paraId="60CA8ED9" w14:textId="77777777" w:rsidR="00CC4043" w:rsidRPr="005025ED" w:rsidRDefault="001C161C" w:rsidP="00880B6A">
      <w:pPr>
        <w:jc w:val="both"/>
        <w:rPr>
          <w:rFonts w:ascii="Times New Roman" w:hAnsi="Times New Roman"/>
          <w:sz w:val="24"/>
        </w:rPr>
      </w:pPr>
      <w:r w:rsidRPr="00202530">
        <w:rPr>
          <w:bCs/>
          <w:rtl/>
        </w:rPr>
        <w:t xml:space="preserve">ריבית </w:t>
      </w:r>
      <w:r>
        <w:rPr>
          <w:rFonts w:hint="cs"/>
          <w:bCs/>
          <w:rtl/>
        </w:rPr>
        <w:t xml:space="preserve">בנק ישראל </w:t>
      </w:r>
      <w:r w:rsidRPr="00202530">
        <w:rPr>
          <w:bCs/>
          <w:rtl/>
        </w:rPr>
        <w:t xml:space="preserve">צפויה לעמוד </w:t>
      </w:r>
      <w:r w:rsidRPr="000A4A06">
        <w:rPr>
          <w:bCs/>
          <w:rtl/>
        </w:rPr>
        <w:t xml:space="preserve">על </w:t>
      </w:r>
      <w:r>
        <w:rPr>
          <w:rFonts w:hint="cs"/>
          <w:bCs/>
          <w:rtl/>
        </w:rPr>
        <w:t>3</w:t>
      </w:r>
      <w:r w:rsidRPr="000A4A06">
        <w:rPr>
          <w:bCs/>
          <w:rtl/>
        </w:rPr>
        <w:t>.</w:t>
      </w:r>
      <w:r w:rsidR="00880B6A">
        <w:rPr>
          <w:rFonts w:hint="cs"/>
          <w:bCs/>
          <w:rtl/>
        </w:rPr>
        <w:t>5</w:t>
      </w:r>
      <w:r w:rsidRPr="000A4A06">
        <w:rPr>
          <w:bCs/>
          <w:rtl/>
        </w:rPr>
        <w:t>% בממוצע</w:t>
      </w:r>
      <w:r w:rsidRPr="00202530">
        <w:rPr>
          <w:bCs/>
          <w:rtl/>
        </w:rPr>
        <w:t xml:space="preserve"> ברבעון </w:t>
      </w:r>
      <w:r>
        <w:rPr>
          <w:rFonts w:hint="cs"/>
          <w:bCs/>
          <w:rtl/>
        </w:rPr>
        <w:t>הרביעי</w:t>
      </w:r>
      <w:r w:rsidRPr="00202530">
        <w:rPr>
          <w:bCs/>
          <w:rtl/>
        </w:rPr>
        <w:t xml:space="preserve"> של 20</w:t>
      </w:r>
      <w:r>
        <w:rPr>
          <w:rFonts w:hint="cs"/>
          <w:bCs/>
          <w:rtl/>
        </w:rPr>
        <w:t>26</w:t>
      </w:r>
      <w:r w:rsidRPr="00202530">
        <w:rPr>
          <w:b/>
          <w:rtl/>
        </w:rPr>
        <w:t xml:space="preserve"> (לוח 2). </w:t>
      </w:r>
      <w:r w:rsidRPr="00D7789E">
        <w:rPr>
          <w:b/>
          <w:rtl/>
        </w:rPr>
        <w:t xml:space="preserve">תחזית זו מגלמת </w:t>
      </w:r>
      <w:r>
        <w:rPr>
          <w:rFonts w:hint="cs"/>
          <w:b/>
          <w:rtl/>
        </w:rPr>
        <w:t>ירידה</w:t>
      </w:r>
      <w:r w:rsidRPr="00D7789E">
        <w:rPr>
          <w:b/>
          <w:rtl/>
        </w:rPr>
        <w:t xml:space="preserve"> הדרגתית של הריבית מרמתה הנוכחית</w:t>
      </w:r>
      <w:r>
        <w:rPr>
          <w:rFonts w:hint="cs"/>
          <w:b/>
          <w:rtl/>
        </w:rPr>
        <w:t xml:space="preserve">, בהתאם לקצב </w:t>
      </w:r>
      <w:r w:rsidRPr="00D7789E">
        <w:rPr>
          <w:b/>
          <w:rtl/>
        </w:rPr>
        <w:t>התכנסות האינפלציה ל</w:t>
      </w:r>
      <w:r>
        <w:rPr>
          <w:rFonts w:hint="cs"/>
          <w:b/>
          <w:rtl/>
        </w:rPr>
        <w:t>מרכז ה</w:t>
      </w:r>
      <w:r w:rsidRPr="00D7789E">
        <w:rPr>
          <w:b/>
          <w:rtl/>
        </w:rPr>
        <w:t>יעד.</w:t>
      </w:r>
      <w:r w:rsidRPr="00246024">
        <w:rPr>
          <w:rFonts w:ascii="Times New Roman" w:hAnsi="Times New Roman" w:hint="cs"/>
          <w:sz w:val="24"/>
          <w:rtl/>
        </w:rPr>
        <w:t xml:space="preserve"> </w:t>
      </w:r>
    </w:p>
    <w:p w14:paraId="55D707B4" w14:textId="65B5E5DA" w:rsidR="00880B6A" w:rsidRDefault="001C161C" w:rsidP="00394570">
      <w:pPr>
        <w:jc w:val="both"/>
        <w:rPr>
          <w:b/>
          <w:rtl/>
        </w:rPr>
      </w:pPr>
      <w:r w:rsidRPr="00D7789E">
        <w:rPr>
          <w:b/>
          <w:rtl/>
        </w:rPr>
        <w:t>מלוח 2 עולה כי תחזית החטיבה לאינפלציה במהלך ארבעת הרביעים הקרובים</w:t>
      </w:r>
      <w:r w:rsidR="00833575">
        <w:rPr>
          <w:rFonts w:hint="cs"/>
          <w:b/>
          <w:rtl/>
        </w:rPr>
        <w:t xml:space="preserve"> גבוהה מ</w:t>
      </w:r>
      <w:r w:rsidR="00394570">
        <w:rPr>
          <w:rFonts w:hint="cs"/>
          <w:b/>
          <w:rtl/>
        </w:rPr>
        <w:t>ה</w:t>
      </w:r>
      <w:r w:rsidR="00833575">
        <w:rPr>
          <w:rFonts w:hint="cs"/>
          <w:b/>
          <w:rtl/>
        </w:rPr>
        <w:t xml:space="preserve">ציפיות הנגזרות משוק ההון, אך נמוכה מהממוצע של תחזיות החזאים. תחזית החטיבה </w:t>
      </w:r>
      <w:r w:rsidRPr="00884F41">
        <w:rPr>
          <w:b/>
          <w:rtl/>
        </w:rPr>
        <w:t>לריבית בעוד ארבעה רביעים</w:t>
      </w:r>
      <w:r>
        <w:rPr>
          <w:rFonts w:hint="cs"/>
          <w:b/>
          <w:rtl/>
        </w:rPr>
        <w:t xml:space="preserve"> דומה</w:t>
      </w:r>
      <w:r w:rsidRPr="00884F41">
        <w:rPr>
          <w:rFonts w:hint="cs"/>
          <w:b/>
          <w:rtl/>
        </w:rPr>
        <w:t xml:space="preserve"> </w:t>
      </w:r>
      <w:r>
        <w:rPr>
          <w:rFonts w:hint="cs"/>
          <w:b/>
          <w:rtl/>
        </w:rPr>
        <w:t>ל</w:t>
      </w:r>
      <w:r w:rsidRPr="00884F41">
        <w:rPr>
          <w:b/>
          <w:rtl/>
        </w:rPr>
        <w:t>ציפיות הנגזרות</w:t>
      </w:r>
      <w:r w:rsidRPr="00D7789E">
        <w:rPr>
          <w:b/>
          <w:rtl/>
        </w:rPr>
        <w:t xml:space="preserve"> משוק ההון</w:t>
      </w:r>
      <w:r>
        <w:rPr>
          <w:rFonts w:hint="cs"/>
          <w:b/>
          <w:rtl/>
        </w:rPr>
        <w:t xml:space="preserve"> ול</w:t>
      </w:r>
      <w:r w:rsidRPr="00884F41">
        <w:rPr>
          <w:b/>
          <w:rtl/>
        </w:rPr>
        <w:t xml:space="preserve">ממוצע תחזיות החזאים הפרטיים. </w:t>
      </w:r>
    </w:p>
    <w:tbl>
      <w:tblPr>
        <w:bidiVisual/>
        <w:tblW w:w="5000" w:type="pct"/>
        <w:jc w:val="center"/>
        <w:tblLook w:val="04A0" w:firstRow="1" w:lastRow="0" w:firstColumn="1" w:lastColumn="0" w:noHBand="0" w:noVBand="1"/>
      </w:tblPr>
      <w:tblGrid>
        <w:gridCol w:w="2869"/>
        <w:gridCol w:w="2372"/>
        <w:gridCol w:w="2372"/>
        <w:gridCol w:w="2133"/>
      </w:tblGrid>
      <w:tr w:rsidR="007C5EE7" w14:paraId="406EB426" w14:textId="77777777" w:rsidTr="002867DC">
        <w:trPr>
          <w:trHeight w:val="280"/>
          <w:jc w:val="center"/>
        </w:trPr>
        <w:tc>
          <w:tcPr>
            <w:tcW w:w="5000" w:type="pct"/>
            <w:gridSpan w:val="4"/>
            <w:tcBorders>
              <w:top w:val="nil"/>
              <w:left w:val="nil"/>
              <w:bottom w:val="nil"/>
              <w:right w:val="nil"/>
            </w:tcBorders>
            <w:noWrap/>
            <w:vAlign w:val="bottom"/>
            <w:hideMark/>
          </w:tcPr>
          <w:p w14:paraId="354F5B4F" w14:textId="77777777" w:rsidR="0096452E" w:rsidRPr="00582BD2" w:rsidRDefault="001C161C" w:rsidP="0096452E">
            <w:pPr>
              <w:spacing w:after="0"/>
              <w:jc w:val="center"/>
              <w:rPr>
                <w:rFonts w:eastAsia="Times New Roman"/>
                <w:b/>
                <w:bCs/>
                <w:color w:val="000000"/>
                <w:sz w:val="28"/>
                <w:szCs w:val="28"/>
              </w:rPr>
            </w:pPr>
            <w:bookmarkStart w:id="4" w:name="_Hlk202427821"/>
            <w:r w:rsidRPr="00C94167">
              <w:rPr>
                <w:rFonts w:eastAsia="Times New Roman"/>
                <w:b/>
                <w:bCs/>
                <w:color w:val="000000"/>
                <w:sz w:val="24"/>
                <w:szCs w:val="24"/>
                <w:rtl/>
              </w:rPr>
              <w:t>לוח 2 | התחזיות לגבי האינפלציה במהלך הש</w:t>
            </w:r>
            <w:r>
              <w:rPr>
                <w:rFonts w:eastAsia="Times New Roman"/>
                <w:b/>
                <w:bCs/>
                <w:color w:val="000000"/>
                <w:sz w:val="24"/>
                <w:szCs w:val="24"/>
                <w:rtl/>
              </w:rPr>
              <w:t>נה הקרובה ולגבי הריבית בעוד שנה</w:t>
            </w:r>
          </w:p>
        </w:tc>
      </w:tr>
      <w:tr w:rsidR="007C5EE7" w14:paraId="5058F2D8" w14:textId="77777777" w:rsidTr="002867DC">
        <w:trPr>
          <w:trHeight w:val="315"/>
          <w:jc w:val="center"/>
        </w:trPr>
        <w:tc>
          <w:tcPr>
            <w:tcW w:w="5000" w:type="pct"/>
            <w:gridSpan w:val="4"/>
            <w:tcBorders>
              <w:top w:val="nil"/>
              <w:left w:val="nil"/>
              <w:bottom w:val="single" w:sz="4" w:space="0" w:color="1F497D"/>
              <w:right w:val="nil"/>
            </w:tcBorders>
            <w:noWrap/>
            <w:vAlign w:val="bottom"/>
            <w:hideMark/>
          </w:tcPr>
          <w:p w14:paraId="7201F676" w14:textId="77777777" w:rsidR="0096452E" w:rsidRPr="00582BD2" w:rsidRDefault="001C161C" w:rsidP="0096452E">
            <w:pPr>
              <w:spacing w:after="0"/>
              <w:jc w:val="center"/>
              <w:rPr>
                <w:rFonts w:eastAsia="Times New Roman"/>
                <w:color w:val="000000"/>
                <w:sz w:val="24"/>
                <w:szCs w:val="24"/>
                <w:rtl/>
              </w:rPr>
            </w:pPr>
            <w:r w:rsidRPr="00C94167">
              <w:rPr>
                <w:rFonts w:eastAsia="Times New Roman"/>
                <w:color w:val="000000"/>
                <w:rtl/>
              </w:rPr>
              <w:t>(אחוזים)</w:t>
            </w:r>
          </w:p>
        </w:tc>
      </w:tr>
      <w:tr w:rsidR="007C5EE7" w14:paraId="2473B048" w14:textId="77777777" w:rsidTr="002749A7">
        <w:trPr>
          <w:trHeight w:val="660"/>
          <w:jc w:val="center"/>
        </w:trPr>
        <w:tc>
          <w:tcPr>
            <w:tcW w:w="1477" w:type="pct"/>
            <w:tcBorders>
              <w:top w:val="nil"/>
              <w:left w:val="nil"/>
              <w:bottom w:val="single" w:sz="4" w:space="0" w:color="1F497D"/>
              <w:right w:val="nil"/>
            </w:tcBorders>
            <w:noWrap/>
            <w:vAlign w:val="bottom"/>
            <w:hideMark/>
          </w:tcPr>
          <w:p w14:paraId="7F692A8C" w14:textId="77777777" w:rsidR="0096452E" w:rsidRPr="00582BD2" w:rsidRDefault="001C161C" w:rsidP="0096452E">
            <w:pPr>
              <w:bidi w:val="0"/>
              <w:spacing w:after="0"/>
              <w:rPr>
                <w:rFonts w:eastAsia="Times New Roman"/>
                <w:color w:val="000000"/>
              </w:rPr>
            </w:pPr>
            <w:r w:rsidRPr="00582BD2">
              <w:rPr>
                <w:rFonts w:eastAsia="Times New Roman"/>
                <w:color w:val="000000"/>
              </w:rPr>
              <w:t> </w:t>
            </w:r>
          </w:p>
        </w:tc>
        <w:tc>
          <w:tcPr>
            <w:tcW w:w="1216" w:type="pct"/>
            <w:tcBorders>
              <w:top w:val="nil"/>
              <w:left w:val="nil"/>
              <w:bottom w:val="nil"/>
              <w:right w:val="nil"/>
            </w:tcBorders>
            <w:vAlign w:val="center"/>
            <w:hideMark/>
          </w:tcPr>
          <w:p w14:paraId="00923426" w14:textId="77777777" w:rsidR="0096452E" w:rsidRPr="00582BD2" w:rsidRDefault="001C161C" w:rsidP="0096452E">
            <w:pPr>
              <w:spacing w:after="0"/>
              <w:rPr>
                <w:rFonts w:eastAsia="Times New Roman"/>
                <w:color w:val="1F497D"/>
              </w:rPr>
            </w:pPr>
            <w:r w:rsidRPr="00582BD2">
              <w:rPr>
                <w:rFonts w:eastAsia="Times New Roman"/>
                <w:color w:val="1F497D"/>
                <w:rtl/>
              </w:rPr>
              <w:t>חטיבת המחקר של בנק ישראל</w:t>
            </w:r>
            <w:r w:rsidRPr="00582BD2">
              <w:rPr>
                <w:rFonts w:eastAsia="Times New Roman"/>
                <w:color w:val="1F497D"/>
                <w:vertAlign w:val="superscript"/>
                <w:rtl/>
              </w:rPr>
              <w:t>1</w:t>
            </w:r>
          </w:p>
        </w:tc>
        <w:tc>
          <w:tcPr>
            <w:tcW w:w="1216" w:type="pct"/>
            <w:tcBorders>
              <w:top w:val="nil"/>
              <w:left w:val="nil"/>
              <w:bottom w:val="single" w:sz="4" w:space="0" w:color="1F497D"/>
              <w:right w:val="nil"/>
            </w:tcBorders>
            <w:vAlign w:val="center"/>
            <w:hideMark/>
          </w:tcPr>
          <w:p w14:paraId="03E74FE1" w14:textId="77777777" w:rsidR="0096452E" w:rsidRPr="00582BD2" w:rsidRDefault="001C161C" w:rsidP="0096452E">
            <w:pPr>
              <w:spacing w:after="0"/>
              <w:rPr>
                <w:rFonts w:eastAsia="Times New Roman"/>
                <w:color w:val="1F497D"/>
                <w:rtl/>
              </w:rPr>
            </w:pPr>
            <w:r w:rsidRPr="00582BD2">
              <w:rPr>
                <w:rFonts w:eastAsia="Times New Roman"/>
                <w:color w:val="1F497D"/>
                <w:rtl/>
              </w:rPr>
              <w:t>שוק ההון</w:t>
            </w:r>
            <w:r>
              <w:rPr>
                <w:rFonts w:eastAsia="Times New Roman" w:hint="cs"/>
                <w:color w:val="1F497D"/>
                <w:vertAlign w:val="superscript"/>
                <w:rtl/>
              </w:rPr>
              <w:t>2</w:t>
            </w:r>
          </w:p>
        </w:tc>
        <w:tc>
          <w:tcPr>
            <w:tcW w:w="1091" w:type="pct"/>
            <w:tcBorders>
              <w:top w:val="nil"/>
              <w:left w:val="nil"/>
              <w:bottom w:val="single" w:sz="4" w:space="0" w:color="1F497D"/>
              <w:right w:val="nil"/>
            </w:tcBorders>
            <w:vAlign w:val="center"/>
            <w:hideMark/>
          </w:tcPr>
          <w:p w14:paraId="5BF01572" w14:textId="77777777" w:rsidR="0096452E" w:rsidRPr="00582BD2" w:rsidRDefault="001C161C" w:rsidP="0096452E">
            <w:pPr>
              <w:spacing w:after="0"/>
              <w:rPr>
                <w:rFonts w:eastAsia="Times New Roman"/>
                <w:color w:val="1F497D"/>
                <w:rtl/>
              </w:rPr>
            </w:pPr>
            <w:r w:rsidRPr="00582BD2">
              <w:rPr>
                <w:rFonts w:eastAsia="Times New Roman"/>
                <w:color w:val="1F497D"/>
                <w:rtl/>
              </w:rPr>
              <w:t>החזאים הפרטיים</w:t>
            </w:r>
            <w:r>
              <w:rPr>
                <w:rFonts w:eastAsia="Times New Roman" w:hint="cs"/>
                <w:color w:val="1F497D"/>
                <w:vertAlign w:val="superscript"/>
                <w:rtl/>
              </w:rPr>
              <w:t>3</w:t>
            </w:r>
            <w:r w:rsidRPr="00582BD2">
              <w:rPr>
                <w:rFonts w:eastAsia="Times New Roman"/>
                <w:color w:val="1F497D"/>
                <w:rtl/>
              </w:rPr>
              <w:br/>
              <w:t>(טווח התחזיות)</w:t>
            </w:r>
          </w:p>
        </w:tc>
      </w:tr>
      <w:tr w:rsidR="007C5EE7" w14:paraId="0BC6D6CF" w14:textId="77777777" w:rsidTr="002749A7">
        <w:trPr>
          <w:trHeight w:val="300"/>
          <w:jc w:val="center"/>
        </w:trPr>
        <w:tc>
          <w:tcPr>
            <w:tcW w:w="1477" w:type="pct"/>
            <w:tcBorders>
              <w:top w:val="nil"/>
              <w:left w:val="nil"/>
              <w:bottom w:val="nil"/>
              <w:right w:val="nil"/>
            </w:tcBorders>
            <w:vAlign w:val="center"/>
            <w:hideMark/>
          </w:tcPr>
          <w:p w14:paraId="053E8A09" w14:textId="77777777" w:rsidR="0096452E" w:rsidRPr="00582BD2" w:rsidRDefault="001C161C" w:rsidP="0096452E">
            <w:pPr>
              <w:spacing w:after="0"/>
              <w:rPr>
                <w:rFonts w:eastAsia="Times New Roman"/>
                <w:rtl/>
              </w:rPr>
            </w:pPr>
            <w:r w:rsidRPr="00582BD2">
              <w:rPr>
                <w:rFonts w:eastAsia="Times New Roman"/>
                <w:rtl/>
              </w:rPr>
              <w:t>האינפלציה</w:t>
            </w:r>
          </w:p>
        </w:tc>
        <w:tc>
          <w:tcPr>
            <w:tcW w:w="1216" w:type="pct"/>
            <w:tcBorders>
              <w:top w:val="single" w:sz="4" w:space="0" w:color="1F497D"/>
              <w:left w:val="nil"/>
              <w:bottom w:val="nil"/>
              <w:right w:val="nil"/>
            </w:tcBorders>
            <w:noWrap/>
            <w:vAlign w:val="bottom"/>
            <w:hideMark/>
          </w:tcPr>
          <w:p w14:paraId="4B422082" w14:textId="77777777" w:rsidR="0096452E" w:rsidRPr="00582BD2" w:rsidRDefault="001C161C" w:rsidP="00880B6A">
            <w:pPr>
              <w:spacing w:after="0"/>
              <w:rPr>
                <w:rFonts w:eastAsia="Times New Roman"/>
                <w:color w:val="000000"/>
                <w:rtl/>
              </w:rPr>
            </w:pPr>
            <w:r>
              <w:rPr>
                <w:rFonts w:eastAsia="Times New Roman" w:hint="cs"/>
                <w:color w:val="000000"/>
                <w:rtl/>
              </w:rPr>
              <w:t>1.</w:t>
            </w:r>
            <w:r w:rsidR="00880B6A">
              <w:rPr>
                <w:rFonts w:eastAsia="Times New Roman" w:hint="cs"/>
                <w:color w:val="000000"/>
                <w:rtl/>
              </w:rPr>
              <w:t>7</w:t>
            </w:r>
          </w:p>
        </w:tc>
        <w:tc>
          <w:tcPr>
            <w:tcW w:w="1216" w:type="pct"/>
            <w:tcBorders>
              <w:top w:val="nil"/>
              <w:left w:val="nil"/>
              <w:bottom w:val="nil"/>
              <w:right w:val="nil"/>
            </w:tcBorders>
            <w:noWrap/>
            <w:vAlign w:val="bottom"/>
            <w:hideMark/>
          </w:tcPr>
          <w:p w14:paraId="42E5FFA1" w14:textId="77777777" w:rsidR="0096452E" w:rsidRPr="00F12741" w:rsidRDefault="001C161C" w:rsidP="00ED210D">
            <w:pPr>
              <w:spacing w:after="0"/>
              <w:rPr>
                <w:rFonts w:eastAsia="Times New Roman"/>
                <w:color w:val="000000" w:themeColor="text1"/>
                <w:rtl/>
              </w:rPr>
            </w:pPr>
            <w:r>
              <w:rPr>
                <w:rFonts w:eastAsia="Times New Roman" w:hint="cs"/>
                <w:color w:val="000000" w:themeColor="text1"/>
                <w:rtl/>
              </w:rPr>
              <w:t>1.</w:t>
            </w:r>
            <w:r w:rsidR="00ED210D">
              <w:rPr>
                <w:rFonts w:eastAsia="Times New Roman" w:hint="cs"/>
                <w:color w:val="000000" w:themeColor="text1"/>
                <w:rtl/>
              </w:rPr>
              <w:t>4</w:t>
            </w:r>
          </w:p>
        </w:tc>
        <w:tc>
          <w:tcPr>
            <w:tcW w:w="1091" w:type="pct"/>
            <w:tcBorders>
              <w:top w:val="nil"/>
              <w:left w:val="nil"/>
              <w:bottom w:val="nil"/>
              <w:right w:val="nil"/>
            </w:tcBorders>
            <w:noWrap/>
            <w:vAlign w:val="bottom"/>
            <w:hideMark/>
          </w:tcPr>
          <w:p w14:paraId="0C8CAC9E" w14:textId="77777777" w:rsidR="0096452E" w:rsidRPr="00F12741" w:rsidRDefault="001C161C" w:rsidP="00AC2E86">
            <w:pPr>
              <w:spacing w:after="0"/>
              <w:rPr>
                <w:rFonts w:eastAsia="Times New Roman"/>
                <w:color w:val="000000" w:themeColor="text1"/>
                <w:rtl/>
              </w:rPr>
            </w:pPr>
            <w:r>
              <w:rPr>
                <w:rFonts w:eastAsia="Times New Roman" w:hint="cs"/>
                <w:color w:val="000000" w:themeColor="text1"/>
                <w:rtl/>
              </w:rPr>
              <w:t>2.0</w:t>
            </w:r>
            <w:r w:rsidRPr="00F12741">
              <w:rPr>
                <w:rFonts w:eastAsia="Times New Roman" w:hint="cs"/>
                <w:color w:val="000000" w:themeColor="text1"/>
                <w:rtl/>
              </w:rPr>
              <w:t xml:space="preserve"> (</w:t>
            </w:r>
            <w:r>
              <w:rPr>
                <w:rFonts w:eastAsia="Times New Roman" w:hint="cs"/>
                <w:color w:val="000000" w:themeColor="text1"/>
                <w:rtl/>
              </w:rPr>
              <w:t>2.5</w:t>
            </w:r>
            <w:r w:rsidRPr="00F12741">
              <w:rPr>
                <w:rFonts w:eastAsia="Times New Roman" w:hint="cs"/>
                <w:color w:val="000000" w:themeColor="text1"/>
                <w:rtl/>
              </w:rPr>
              <w:t>—</w:t>
            </w:r>
            <w:r>
              <w:rPr>
                <w:rFonts w:eastAsia="Times New Roman" w:hint="cs"/>
                <w:color w:val="000000" w:themeColor="text1"/>
                <w:rtl/>
              </w:rPr>
              <w:t>1.5</w:t>
            </w:r>
            <w:r w:rsidRPr="00F12741">
              <w:rPr>
                <w:rFonts w:eastAsia="Times New Roman" w:hint="cs"/>
                <w:color w:val="000000" w:themeColor="text1"/>
                <w:rtl/>
              </w:rPr>
              <w:t>)</w:t>
            </w:r>
          </w:p>
        </w:tc>
      </w:tr>
      <w:tr w:rsidR="007C5EE7" w14:paraId="668FC51B" w14:textId="77777777" w:rsidTr="002749A7">
        <w:trPr>
          <w:trHeight w:val="300"/>
          <w:jc w:val="center"/>
        </w:trPr>
        <w:tc>
          <w:tcPr>
            <w:tcW w:w="1477" w:type="pct"/>
            <w:tcBorders>
              <w:top w:val="nil"/>
              <w:left w:val="nil"/>
              <w:bottom w:val="single" w:sz="4" w:space="0" w:color="1F497D"/>
              <w:right w:val="nil"/>
            </w:tcBorders>
            <w:vAlign w:val="center"/>
            <w:hideMark/>
          </w:tcPr>
          <w:p w14:paraId="662B7985" w14:textId="77777777" w:rsidR="0096452E" w:rsidRPr="00582BD2" w:rsidRDefault="001C161C" w:rsidP="0096452E">
            <w:pPr>
              <w:spacing w:after="0"/>
              <w:rPr>
                <w:rFonts w:eastAsia="Times New Roman"/>
                <w:color w:val="000000"/>
                <w:rtl/>
              </w:rPr>
            </w:pPr>
            <w:r w:rsidRPr="00582BD2">
              <w:rPr>
                <w:rFonts w:eastAsia="Times New Roman"/>
                <w:color w:val="000000"/>
                <w:rtl/>
              </w:rPr>
              <w:t>ריבית בנק ישראל</w:t>
            </w:r>
          </w:p>
        </w:tc>
        <w:tc>
          <w:tcPr>
            <w:tcW w:w="1216" w:type="pct"/>
            <w:tcBorders>
              <w:top w:val="nil"/>
              <w:left w:val="nil"/>
              <w:bottom w:val="single" w:sz="4" w:space="0" w:color="1F497D"/>
              <w:right w:val="nil"/>
            </w:tcBorders>
            <w:noWrap/>
            <w:vAlign w:val="bottom"/>
            <w:hideMark/>
          </w:tcPr>
          <w:p w14:paraId="2CE1D79B" w14:textId="77777777" w:rsidR="0096452E" w:rsidRPr="00582BD2" w:rsidRDefault="001C161C" w:rsidP="00880B6A">
            <w:pPr>
              <w:spacing w:after="0"/>
              <w:rPr>
                <w:rFonts w:eastAsia="Times New Roman"/>
                <w:color w:val="000000"/>
              </w:rPr>
            </w:pPr>
            <w:r>
              <w:rPr>
                <w:rFonts w:eastAsia="Times New Roman" w:hint="cs"/>
                <w:color w:val="000000"/>
                <w:rtl/>
              </w:rPr>
              <w:t>3</w:t>
            </w:r>
            <w:r w:rsidRPr="00582BD2">
              <w:rPr>
                <w:rFonts w:eastAsia="Times New Roman" w:hint="cs"/>
                <w:color w:val="000000"/>
                <w:rtl/>
              </w:rPr>
              <w:t>.</w:t>
            </w:r>
            <w:r w:rsidR="00880B6A">
              <w:rPr>
                <w:rFonts w:eastAsia="Times New Roman" w:hint="cs"/>
                <w:color w:val="000000"/>
                <w:rtl/>
              </w:rPr>
              <w:t>5</w:t>
            </w:r>
          </w:p>
        </w:tc>
        <w:tc>
          <w:tcPr>
            <w:tcW w:w="1216" w:type="pct"/>
            <w:tcBorders>
              <w:top w:val="nil"/>
              <w:left w:val="nil"/>
              <w:bottom w:val="single" w:sz="4" w:space="0" w:color="1F497D"/>
              <w:right w:val="nil"/>
            </w:tcBorders>
            <w:noWrap/>
            <w:vAlign w:val="bottom"/>
            <w:hideMark/>
          </w:tcPr>
          <w:p w14:paraId="6F192B8C" w14:textId="10F3BBC7" w:rsidR="0096452E" w:rsidRPr="00F12741" w:rsidRDefault="000D6C98" w:rsidP="00880B6A">
            <w:pPr>
              <w:spacing w:after="0"/>
              <w:rPr>
                <w:rFonts w:eastAsia="Times New Roman"/>
                <w:color w:val="000000" w:themeColor="text1"/>
              </w:rPr>
            </w:pPr>
            <w:r>
              <w:rPr>
                <w:rFonts w:eastAsia="Times New Roman" w:hint="cs"/>
                <w:color w:val="000000" w:themeColor="text1"/>
                <w:rtl/>
              </w:rPr>
              <w:t>3.5</w:t>
            </w:r>
          </w:p>
        </w:tc>
        <w:tc>
          <w:tcPr>
            <w:tcW w:w="1091" w:type="pct"/>
            <w:tcBorders>
              <w:top w:val="nil"/>
              <w:left w:val="nil"/>
              <w:bottom w:val="single" w:sz="4" w:space="0" w:color="1F497D"/>
              <w:right w:val="nil"/>
            </w:tcBorders>
            <w:noWrap/>
            <w:vAlign w:val="bottom"/>
            <w:hideMark/>
          </w:tcPr>
          <w:p w14:paraId="33A89CAF" w14:textId="77777777" w:rsidR="0096452E" w:rsidRPr="00F12741" w:rsidRDefault="001C161C" w:rsidP="00ED210D">
            <w:pPr>
              <w:spacing w:after="0"/>
              <w:rPr>
                <w:rFonts w:eastAsia="Times New Roman"/>
                <w:color w:val="000000" w:themeColor="text1"/>
                <w:rtl/>
              </w:rPr>
            </w:pPr>
            <w:r w:rsidRPr="00F12741">
              <w:rPr>
                <w:rFonts w:eastAsia="Times New Roman"/>
                <w:color w:val="000000" w:themeColor="text1"/>
              </w:rPr>
              <w:t>3.</w:t>
            </w:r>
            <w:r w:rsidR="00AC2E86">
              <w:rPr>
                <w:rFonts w:eastAsia="Times New Roman"/>
                <w:color w:val="000000" w:themeColor="text1"/>
              </w:rPr>
              <w:t>5</w:t>
            </w:r>
            <w:r w:rsidRPr="00F12741">
              <w:rPr>
                <w:rFonts w:eastAsia="Times New Roman" w:hint="cs"/>
                <w:color w:val="000000" w:themeColor="text1"/>
                <w:rtl/>
              </w:rPr>
              <w:t xml:space="preserve"> </w:t>
            </w:r>
            <w:r w:rsidRPr="00F12741">
              <w:rPr>
                <w:rFonts w:eastAsia="Times New Roman"/>
                <w:color w:val="000000" w:themeColor="text1"/>
              </w:rPr>
              <w:t>(</w:t>
            </w:r>
            <w:r w:rsidR="00AC2E86">
              <w:rPr>
                <w:rFonts w:eastAsia="Times New Roman"/>
                <w:color w:val="000000" w:themeColor="text1"/>
              </w:rPr>
              <w:t>3.25</w:t>
            </w:r>
            <w:r w:rsidRPr="00F12741">
              <w:rPr>
                <w:rFonts w:eastAsia="Times New Roman"/>
                <w:color w:val="000000" w:themeColor="text1"/>
              </w:rPr>
              <w:t>—3.</w:t>
            </w:r>
            <w:r w:rsidR="00ED210D">
              <w:rPr>
                <w:rFonts w:eastAsia="Times New Roman"/>
                <w:color w:val="000000" w:themeColor="text1"/>
              </w:rPr>
              <w:t>75</w:t>
            </w:r>
            <w:r w:rsidRPr="00F12741">
              <w:rPr>
                <w:rFonts w:eastAsia="Times New Roman"/>
                <w:color w:val="000000" w:themeColor="text1"/>
              </w:rPr>
              <w:t>)</w:t>
            </w:r>
          </w:p>
        </w:tc>
      </w:tr>
      <w:tr w:rsidR="007C5EE7" w14:paraId="1C0088CB" w14:textId="77777777" w:rsidTr="002867DC">
        <w:trPr>
          <w:trHeight w:val="285"/>
          <w:jc w:val="center"/>
        </w:trPr>
        <w:tc>
          <w:tcPr>
            <w:tcW w:w="5000" w:type="pct"/>
            <w:gridSpan w:val="4"/>
            <w:tcBorders>
              <w:top w:val="nil"/>
              <w:left w:val="nil"/>
              <w:bottom w:val="nil"/>
              <w:right w:val="nil"/>
            </w:tcBorders>
            <w:noWrap/>
            <w:vAlign w:val="bottom"/>
          </w:tcPr>
          <w:p w14:paraId="34898D5A" w14:textId="77777777" w:rsidR="0096452E" w:rsidRPr="00C94167" w:rsidRDefault="001C161C" w:rsidP="00AC2E86">
            <w:pPr>
              <w:spacing w:after="0"/>
              <w:rPr>
                <w:rFonts w:eastAsia="Times New Roman"/>
                <w:color w:val="000000"/>
                <w:sz w:val="20"/>
                <w:szCs w:val="20"/>
                <w:rtl/>
              </w:rPr>
            </w:pPr>
            <w:r>
              <w:rPr>
                <w:rFonts w:eastAsia="Times New Roman" w:hint="cs"/>
                <w:color w:val="000000"/>
                <w:sz w:val="20"/>
                <w:szCs w:val="20"/>
                <w:vertAlign w:val="superscript"/>
                <w:rtl/>
              </w:rPr>
              <w:t>1</w:t>
            </w:r>
            <w:r w:rsidRPr="00C94167">
              <w:rPr>
                <w:rFonts w:eastAsia="Times New Roman"/>
                <w:color w:val="000000"/>
                <w:sz w:val="20"/>
                <w:szCs w:val="20"/>
                <w:rtl/>
              </w:rPr>
              <w:t xml:space="preserve"> </w:t>
            </w:r>
            <w:r>
              <w:rPr>
                <w:rFonts w:eastAsia="Times New Roman" w:hint="cs"/>
                <w:color w:val="000000"/>
                <w:sz w:val="20"/>
                <w:szCs w:val="20"/>
                <w:rtl/>
              </w:rPr>
              <w:t>תחזית לאינפלציה ב</w:t>
            </w:r>
            <w:r w:rsidRPr="00C94167">
              <w:rPr>
                <w:rFonts w:eastAsia="Times New Roman"/>
                <w:color w:val="000000"/>
                <w:sz w:val="20"/>
                <w:szCs w:val="20"/>
                <w:rtl/>
              </w:rPr>
              <w:t xml:space="preserve">ארבעת הרבעונים המסתיימים ברבעון </w:t>
            </w:r>
            <w:r w:rsidR="00AC2E86">
              <w:rPr>
                <w:rFonts w:eastAsia="Times New Roman" w:hint="cs"/>
                <w:color w:val="000000"/>
                <w:sz w:val="20"/>
                <w:szCs w:val="20"/>
                <w:rtl/>
              </w:rPr>
              <w:t>הרביעי</w:t>
            </w:r>
            <w:r>
              <w:rPr>
                <w:rFonts w:eastAsia="Times New Roman" w:hint="cs"/>
                <w:color w:val="000000"/>
                <w:sz w:val="20"/>
                <w:szCs w:val="20"/>
                <w:rtl/>
              </w:rPr>
              <w:t xml:space="preserve"> </w:t>
            </w:r>
            <w:r w:rsidRPr="00C94167">
              <w:rPr>
                <w:rFonts w:eastAsia="Times New Roman"/>
                <w:color w:val="000000"/>
                <w:sz w:val="20"/>
                <w:szCs w:val="20"/>
                <w:rtl/>
              </w:rPr>
              <w:t>של 202</w:t>
            </w:r>
            <w:r>
              <w:rPr>
                <w:rFonts w:eastAsia="Times New Roman" w:hint="cs"/>
                <w:color w:val="000000"/>
                <w:sz w:val="20"/>
                <w:szCs w:val="20"/>
                <w:rtl/>
              </w:rPr>
              <w:t>6 ול</w:t>
            </w:r>
            <w:r w:rsidRPr="00C94167">
              <w:rPr>
                <w:rFonts w:eastAsia="Times New Roman"/>
                <w:color w:val="000000"/>
                <w:sz w:val="20"/>
                <w:szCs w:val="20"/>
                <w:rtl/>
              </w:rPr>
              <w:t xml:space="preserve">ריבית הממוצעת ברבעון </w:t>
            </w:r>
            <w:r w:rsidR="00AC2E86">
              <w:rPr>
                <w:rFonts w:eastAsia="Times New Roman" w:hint="cs"/>
                <w:color w:val="000000"/>
                <w:sz w:val="20"/>
                <w:szCs w:val="20"/>
                <w:rtl/>
              </w:rPr>
              <w:t>הרביעי</w:t>
            </w:r>
            <w:r w:rsidRPr="00C94167">
              <w:rPr>
                <w:rFonts w:eastAsia="Times New Roman"/>
                <w:color w:val="000000"/>
                <w:sz w:val="20"/>
                <w:szCs w:val="20"/>
                <w:rtl/>
              </w:rPr>
              <w:t xml:space="preserve"> של 202</w:t>
            </w:r>
            <w:r>
              <w:rPr>
                <w:rFonts w:eastAsia="Times New Roman" w:hint="cs"/>
                <w:color w:val="000000"/>
                <w:sz w:val="20"/>
                <w:szCs w:val="20"/>
                <w:rtl/>
              </w:rPr>
              <w:t>6</w:t>
            </w:r>
            <w:r w:rsidRPr="00C94167">
              <w:rPr>
                <w:rFonts w:eastAsia="Times New Roman"/>
                <w:color w:val="000000"/>
                <w:sz w:val="20"/>
                <w:szCs w:val="20"/>
                <w:rtl/>
              </w:rPr>
              <w:t>.</w:t>
            </w:r>
          </w:p>
        </w:tc>
      </w:tr>
      <w:tr w:rsidR="007C5EE7" w14:paraId="3BB32A48" w14:textId="77777777" w:rsidTr="002867DC">
        <w:trPr>
          <w:trHeight w:val="285"/>
          <w:jc w:val="center"/>
        </w:trPr>
        <w:tc>
          <w:tcPr>
            <w:tcW w:w="5000" w:type="pct"/>
            <w:gridSpan w:val="4"/>
            <w:tcBorders>
              <w:top w:val="nil"/>
              <w:left w:val="nil"/>
              <w:bottom w:val="nil"/>
              <w:right w:val="nil"/>
            </w:tcBorders>
            <w:noWrap/>
            <w:vAlign w:val="center"/>
            <w:hideMark/>
          </w:tcPr>
          <w:p w14:paraId="5B8C9814" w14:textId="0A3AD77E" w:rsidR="0096452E" w:rsidRPr="00C94167" w:rsidRDefault="001C161C" w:rsidP="00182F81">
            <w:pPr>
              <w:spacing w:after="0"/>
              <w:rPr>
                <w:rFonts w:eastAsia="Times New Roman"/>
                <w:color w:val="000000"/>
                <w:sz w:val="20"/>
                <w:szCs w:val="20"/>
                <w:rtl/>
              </w:rPr>
            </w:pPr>
            <w:r>
              <w:rPr>
                <w:rFonts w:eastAsia="Times New Roman" w:hint="cs"/>
                <w:color w:val="000000"/>
                <w:sz w:val="20"/>
                <w:szCs w:val="20"/>
                <w:vertAlign w:val="superscript"/>
                <w:rtl/>
              </w:rPr>
              <w:t>2</w:t>
            </w:r>
            <w:r w:rsidRPr="00C94167">
              <w:rPr>
                <w:rFonts w:eastAsia="Times New Roman"/>
                <w:color w:val="000000"/>
                <w:sz w:val="20"/>
                <w:szCs w:val="20"/>
                <w:rtl/>
              </w:rPr>
              <w:t xml:space="preserve"> </w:t>
            </w:r>
            <w:r>
              <w:rPr>
                <w:rFonts w:eastAsia="Times New Roman"/>
                <w:color w:val="000000"/>
                <w:sz w:val="20"/>
                <w:szCs w:val="20"/>
                <w:rtl/>
              </w:rPr>
              <w:t xml:space="preserve">נכון </w:t>
            </w:r>
            <w:r>
              <w:rPr>
                <w:rFonts w:eastAsia="Times New Roman"/>
                <w:color w:val="000000" w:themeColor="text1"/>
                <w:sz w:val="20"/>
                <w:szCs w:val="20"/>
                <w:rtl/>
              </w:rPr>
              <w:t>לנתוני ה</w:t>
            </w:r>
            <w:r>
              <w:rPr>
                <w:rFonts w:eastAsia="Times New Roman" w:hint="cs"/>
                <w:color w:val="000000" w:themeColor="text1"/>
                <w:sz w:val="20"/>
                <w:szCs w:val="20"/>
                <w:rtl/>
              </w:rPr>
              <w:t>-</w:t>
            </w:r>
            <w:r w:rsidR="00182F81">
              <w:rPr>
                <w:rFonts w:eastAsia="Times New Roman" w:hint="cs"/>
                <w:color w:val="000000" w:themeColor="text1"/>
                <w:sz w:val="20"/>
                <w:szCs w:val="20"/>
                <w:rtl/>
              </w:rPr>
              <w:t>1</w:t>
            </w:r>
            <w:r>
              <w:rPr>
                <w:rFonts w:eastAsia="Times New Roman" w:hint="cs"/>
                <w:color w:val="000000" w:themeColor="text1"/>
                <w:sz w:val="20"/>
                <w:szCs w:val="20"/>
                <w:rtl/>
              </w:rPr>
              <w:t>/</w:t>
            </w:r>
            <w:r w:rsidR="00182F81">
              <w:rPr>
                <w:rFonts w:eastAsia="Times New Roman" w:hint="cs"/>
                <w:color w:val="000000" w:themeColor="text1"/>
                <w:sz w:val="20"/>
                <w:szCs w:val="20"/>
                <w:rtl/>
              </w:rPr>
              <w:t>1</w:t>
            </w:r>
            <w:r>
              <w:rPr>
                <w:rFonts w:eastAsia="Times New Roman" w:hint="cs"/>
                <w:color w:val="000000" w:themeColor="text1"/>
                <w:sz w:val="20"/>
                <w:szCs w:val="20"/>
                <w:rtl/>
              </w:rPr>
              <w:t>/202</w:t>
            </w:r>
            <w:r w:rsidR="00182F81">
              <w:rPr>
                <w:rFonts w:eastAsia="Times New Roman" w:hint="cs"/>
                <w:color w:val="000000" w:themeColor="text1"/>
                <w:sz w:val="20"/>
                <w:szCs w:val="20"/>
                <w:rtl/>
              </w:rPr>
              <w:t>6</w:t>
            </w:r>
            <w:r>
              <w:rPr>
                <w:rFonts w:eastAsia="Times New Roman" w:hint="cs"/>
                <w:color w:val="000000" w:themeColor="text1"/>
                <w:sz w:val="20"/>
                <w:szCs w:val="20"/>
                <w:rtl/>
              </w:rPr>
              <w:t xml:space="preserve">. </w:t>
            </w:r>
            <w:r w:rsidRPr="00F12741">
              <w:rPr>
                <w:rFonts w:eastAsia="Times New Roman"/>
                <w:color w:val="000000" w:themeColor="text1"/>
                <w:sz w:val="20"/>
                <w:szCs w:val="20"/>
                <w:rtl/>
              </w:rPr>
              <w:t xml:space="preserve">ציפיות </w:t>
            </w:r>
            <w:r w:rsidRPr="00C94167">
              <w:rPr>
                <w:rFonts w:eastAsia="Times New Roman"/>
                <w:color w:val="000000"/>
                <w:sz w:val="20"/>
                <w:szCs w:val="20"/>
                <w:rtl/>
              </w:rPr>
              <w:t xml:space="preserve">האינפלציה מנוכות עונתיות </w:t>
            </w:r>
            <w:r>
              <w:rPr>
                <w:rFonts w:eastAsia="Times New Roman" w:hint="cs"/>
                <w:color w:val="000000"/>
                <w:sz w:val="20"/>
                <w:szCs w:val="20"/>
                <w:rtl/>
              </w:rPr>
              <w:t xml:space="preserve">ומתייחסות לשנה קדימה </w:t>
            </w:r>
            <w:r>
              <w:rPr>
                <w:rFonts w:eastAsia="Times New Roman" w:hint="cs"/>
                <w:color w:val="000000" w:themeColor="text1"/>
                <w:sz w:val="20"/>
                <w:szCs w:val="20"/>
                <w:rtl/>
              </w:rPr>
              <w:t>מה-</w:t>
            </w:r>
            <w:r w:rsidR="00182F81">
              <w:rPr>
                <w:rFonts w:eastAsia="Times New Roman" w:hint="cs"/>
                <w:color w:val="000000" w:themeColor="text1"/>
                <w:sz w:val="20"/>
                <w:szCs w:val="20"/>
                <w:rtl/>
              </w:rPr>
              <w:t>1</w:t>
            </w:r>
            <w:r>
              <w:rPr>
                <w:rFonts w:eastAsia="Times New Roman" w:hint="cs"/>
                <w:color w:val="000000" w:themeColor="text1"/>
                <w:sz w:val="20"/>
                <w:szCs w:val="20"/>
                <w:rtl/>
              </w:rPr>
              <w:t>/</w:t>
            </w:r>
            <w:r w:rsidR="00AC2E86">
              <w:rPr>
                <w:rFonts w:eastAsia="Times New Roman" w:hint="cs"/>
                <w:color w:val="000000" w:themeColor="text1"/>
                <w:sz w:val="20"/>
                <w:szCs w:val="20"/>
                <w:rtl/>
              </w:rPr>
              <w:t>1</w:t>
            </w:r>
            <w:r>
              <w:rPr>
                <w:rFonts w:eastAsia="Times New Roman" w:hint="cs"/>
                <w:color w:val="000000" w:themeColor="text1"/>
                <w:sz w:val="20"/>
                <w:szCs w:val="20"/>
                <w:rtl/>
              </w:rPr>
              <w:t>/202</w:t>
            </w:r>
            <w:r w:rsidR="00182F81">
              <w:rPr>
                <w:rFonts w:eastAsia="Times New Roman" w:hint="cs"/>
                <w:color w:val="000000" w:themeColor="text1"/>
                <w:sz w:val="20"/>
                <w:szCs w:val="20"/>
                <w:rtl/>
              </w:rPr>
              <w:t>6</w:t>
            </w:r>
            <w:r w:rsidRPr="00F12741">
              <w:rPr>
                <w:rFonts w:eastAsia="Times New Roman" w:hint="cs"/>
                <w:color w:val="000000" w:themeColor="text1"/>
                <w:sz w:val="20"/>
                <w:szCs w:val="20"/>
                <w:rtl/>
              </w:rPr>
              <w:t xml:space="preserve"> והציפיות </w:t>
            </w:r>
            <w:r>
              <w:rPr>
                <w:rFonts w:eastAsia="Times New Roman" w:hint="cs"/>
                <w:color w:val="000000"/>
                <w:sz w:val="20"/>
                <w:szCs w:val="20"/>
                <w:rtl/>
              </w:rPr>
              <w:t>לריבית</w:t>
            </w:r>
            <w:r w:rsidRPr="00C94167">
              <w:rPr>
                <w:rFonts w:eastAsia="Times New Roman"/>
                <w:color w:val="000000"/>
                <w:sz w:val="20"/>
                <w:szCs w:val="20"/>
                <w:rtl/>
              </w:rPr>
              <w:t xml:space="preserve"> מבוססות </w:t>
            </w:r>
            <w:r>
              <w:rPr>
                <w:rFonts w:eastAsia="Times New Roman" w:hint="cs"/>
                <w:color w:val="000000"/>
                <w:sz w:val="20"/>
                <w:szCs w:val="20"/>
                <w:rtl/>
              </w:rPr>
              <w:t xml:space="preserve">על </w:t>
            </w:r>
            <w:r w:rsidRPr="00DD4D13">
              <w:rPr>
                <w:rFonts w:eastAsia="Times New Roman"/>
                <w:color w:val="000000"/>
                <w:sz w:val="20"/>
                <w:szCs w:val="20"/>
                <w:rtl/>
              </w:rPr>
              <w:t xml:space="preserve">ממוצע ציטוטי </w:t>
            </w:r>
            <w:r w:rsidRPr="00C94167">
              <w:rPr>
                <w:rFonts w:eastAsia="Times New Roman"/>
                <w:color w:val="000000"/>
                <w:sz w:val="20"/>
                <w:szCs w:val="20"/>
                <w:rtl/>
              </w:rPr>
              <w:t xml:space="preserve">שוק </w:t>
            </w:r>
            <w:r>
              <w:rPr>
                <w:rFonts w:eastAsia="Times New Roman"/>
                <w:color w:val="000000"/>
                <w:sz w:val="20"/>
                <w:szCs w:val="20"/>
                <w:rtl/>
              </w:rPr>
              <w:t>ה</w:t>
            </w:r>
            <w:r>
              <w:rPr>
                <w:rFonts w:eastAsia="Times New Roman" w:hint="cs"/>
                <w:color w:val="000000"/>
                <w:sz w:val="20"/>
                <w:szCs w:val="20"/>
                <w:rtl/>
              </w:rPr>
              <w:t>-</w:t>
            </w:r>
            <w:r>
              <w:rPr>
                <w:rFonts w:eastAsia="Times New Roman" w:hint="cs"/>
                <w:color w:val="000000"/>
                <w:sz w:val="20"/>
                <w:szCs w:val="20"/>
              </w:rPr>
              <w:t>SHIR</w:t>
            </w:r>
            <w:r w:rsidRPr="00DD4D13">
              <w:rPr>
                <w:rFonts w:eastAsia="Times New Roman"/>
                <w:color w:val="000000"/>
                <w:sz w:val="20"/>
                <w:szCs w:val="20"/>
                <w:rtl/>
              </w:rPr>
              <w:t xml:space="preserve"> ועיבודי בנק ישראל</w:t>
            </w:r>
            <w:r>
              <w:rPr>
                <w:rFonts w:eastAsia="Times New Roman" w:hint="cs"/>
                <w:color w:val="000000"/>
                <w:sz w:val="20"/>
                <w:szCs w:val="20"/>
                <w:rtl/>
              </w:rPr>
              <w:t xml:space="preserve">. </w:t>
            </w:r>
          </w:p>
        </w:tc>
      </w:tr>
      <w:tr w:rsidR="007C5EE7" w14:paraId="6F9DE555" w14:textId="77777777" w:rsidTr="002867DC">
        <w:trPr>
          <w:trHeight w:val="285"/>
          <w:jc w:val="center"/>
        </w:trPr>
        <w:tc>
          <w:tcPr>
            <w:tcW w:w="5000" w:type="pct"/>
            <w:gridSpan w:val="4"/>
            <w:tcBorders>
              <w:top w:val="nil"/>
              <w:left w:val="nil"/>
              <w:bottom w:val="nil"/>
              <w:right w:val="nil"/>
            </w:tcBorders>
            <w:noWrap/>
            <w:vAlign w:val="bottom"/>
            <w:hideMark/>
          </w:tcPr>
          <w:p w14:paraId="6369DF06" w14:textId="77777777" w:rsidR="0096452E" w:rsidRPr="00C94167" w:rsidRDefault="001C161C" w:rsidP="00182F81">
            <w:pPr>
              <w:spacing w:after="0"/>
              <w:rPr>
                <w:rFonts w:eastAsia="Times New Roman"/>
                <w:color w:val="000000"/>
                <w:sz w:val="20"/>
                <w:szCs w:val="20"/>
                <w:rtl/>
              </w:rPr>
            </w:pPr>
            <w:r>
              <w:rPr>
                <w:rFonts w:eastAsia="Times New Roman" w:hint="cs"/>
                <w:color w:val="000000"/>
                <w:sz w:val="20"/>
                <w:szCs w:val="20"/>
                <w:vertAlign w:val="superscript"/>
                <w:rtl/>
              </w:rPr>
              <w:t>3</w:t>
            </w:r>
            <w:r w:rsidRPr="00C94167">
              <w:rPr>
                <w:rFonts w:eastAsia="Times New Roman"/>
                <w:color w:val="000000"/>
                <w:sz w:val="20"/>
                <w:szCs w:val="20"/>
                <w:rtl/>
              </w:rPr>
              <w:t xml:space="preserve"> נכון לנתוני ה-</w:t>
            </w:r>
            <w:r w:rsidR="00182F81">
              <w:rPr>
                <w:rFonts w:eastAsia="Times New Roman" w:hint="cs"/>
                <w:color w:val="000000" w:themeColor="text1"/>
                <w:sz w:val="20"/>
                <w:szCs w:val="20"/>
                <w:rtl/>
              </w:rPr>
              <w:t>1</w:t>
            </w:r>
            <w:r w:rsidRPr="00F12741">
              <w:rPr>
                <w:rFonts w:eastAsia="Times New Roman" w:hint="cs"/>
                <w:color w:val="000000" w:themeColor="text1"/>
                <w:sz w:val="20"/>
                <w:szCs w:val="20"/>
                <w:rtl/>
              </w:rPr>
              <w:t>/</w:t>
            </w:r>
            <w:r w:rsidR="00182F81">
              <w:rPr>
                <w:rFonts w:eastAsia="Times New Roman" w:hint="cs"/>
                <w:color w:val="000000" w:themeColor="text1"/>
                <w:sz w:val="20"/>
                <w:szCs w:val="20"/>
                <w:rtl/>
              </w:rPr>
              <w:t>1</w:t>
            </w:r>
            <w:r w:rsidRPr="00F12741">
              <w:rPr>
                <w:rFonts w:eastAsia="Times New Roman" w:hint="cs"/>
                <w:color w:val="000000" w:themeColor="text1"/>
                <w:sz w:val="20"/>
                <w:szCs w:val="20"/>
                <w:rtl/>
              </w:rPr>
              <w:t>/202</w:t>
            </w:r>
            <w:r w:rsidR="00182F81">
              <w:rPr>
                <w:rFonts w:eastAsia="Times New Roman" w:hint="cs"/>
                <w:color w:val="000000" w:themeColor="text1"/>
                <w:sz w:val="20"/>
                <w:szCs w:val="20"/>
                <w:rtl/>
              </w:rPr>
              <w:t>6</w:t>
            </w:r>
            <w:r w:rsidRPr="00C94167">
              <w:rPr>
                <w:rFonts w:eastAsia="Times New Roman"/>
                <w:color w:val="000000"/>
                <w:sz w:val="20"/>
                <w:szCs w:val="20"/>
                <w:rtl/>
              </w:rPr>
              <w:t>.</w:t>
            </w:r>
            <w:r>
              <w:rPr>
                <w:rFonts w:eastAsia="Times New Roman" w:hint="cs"/>
                <w:color w:val="000000"/>
                <w:sz w:val="20"/>
                <w:szCs w:val="20"/>
                <w:rtl/>
              </w:rPr>
              <w:t xml:space="preserve"> תחזיות החזאים מתייחסות ל-12 המדדים </w:t>
            </w:r>
            <w:r w:rsidRPr="00F12741">
              <w:rPr>
                <w:rFonts w:eastAsia="Times New Roman" w:hint="cs"/>
                <w:color w:val="000000" w:themeColor="text1"/>
                <w:sz w:val="20"/>
                <w:szCs w:val="20"/>
                <w:rtl/>
              </w:rPr>
              <w:t>הבאים</w:t>
            </w:r>
            <w:r>
              <w:rPr>
                <w:rFonts w:eastAsia="Times New Roman" w:hint="cs"/>
                <w:color w:val="000000"/>
                <w:sz w:val="20"/>
                <w:szCs w:val="20"/>
                <w:rtl/>
              </w:rPr>
              <w:t>.</w:t>
            </w:r>
          </w:p>
        </w:tc>
      </w:tr>
      <w:tr w:rsidR="007C5EE7" w14:paraId="5561CEB9" w14:textId="77777777" w:rsidTr="002867DC">
        <w:trPr>
          <w:trHeight w:val="255"/>
          <w:jc w:val="center"/>
        </w:trPr>
        <w:tc>
          <w:tcPr>
            <w:tcW w:w="5000" w:type="pct"/>
            <w:gridSpan w:val="4"/>
            <w:tcBorders>
              <w:top w:val="nil"/>
              <w:left w:val="nil"/>
              <w:bottom w:val="nil"/>
              <w:right w:val="nil"/>
            </w:tcBorders>
            <w:noWrap/>
            <w:vAlign w:val="center"/>
            <w:hideMark/>
          </w:tcPr>
          <w:p w14:paraId="1773ED43" w14:textId="77777777" w:rsidR="0096452E" w:rsidRPr="00C94167" w:rsidRDefault="001C161C" w:rsidP="0096452E">
            <w:pPr>
              <w:spacing w:after="0"/>
              <w:rPr>
                <w:rFonts w:eastAsia="Times New Roman"/>
                <w:color w:val="000000"/>
                <w:sz w:val="20"/>
                <w:szCs w:val="20"/>
                <w:rtl/>
              </w:rPr>
            </w:pPr>
            <w:r w:rsidRPr="00C94167">
              <w:rPr>
                <w:rFonts w:eastAsia="Times New Roman"/>
                <w:b/>
                <w:bCs/>
                <w:color w:val="000000"/>
                <w:sz w:val="20"/>
                <w:szCs w:val="20"/>
                <w:rtl/>
              </w:rPr>
              <w:t>המקור:</w:t>
            </w:r>
            <w:r w:rsidRPr="00C94167">
              <w:rPr>
                <w:rFonts w:eastAsia="Times New Roman"/>
                <w:color w:val="000000"/>
                <w:sz w:val="20"/>
                <w:szCs w:val="20"/>
                <w:rtl/>
              </w:rPr>
              <w:t xml:space="preserve"> בנק ישראל.</w:t>
            </w:r>
          </w:p>
        </w:tc>
      </w:tr>
    </w:tbl>
    <w:bookmarkEnd w:id="4"/>
    <w:p w14:paraId="24446F91" w14:textId="77777777" w:rsidR="0096452E" w:rsidRPr="00202530" w:rsidRDefault="001C161C" w:rsidP="0096452E">
      <w:pPr>
        <w:pStyle w:val="a"/>
        <w:spacing w:line="276" w:lineRule="auto"/>
        <w:rPr>
          <w:rFonts w:ascii="Calibri" w:hAnsi="Calibri" w:cs="Calibri"/>
          <w:sz w:val="24"/>
        </w:rPr>
      </w:pPr>
      <w:r w:rsidRPr="00202530">
        <w:rPr>
          <w:rFonts w:ascii="Calibri" w:hAnsi="Calibri" w:cs="Calibri"/>
          <w:sz w:val="24"/>
          <w:rtl/>
        </w:rPr>
        <w:t>הסיכונים העיקריים לתחזית</w:t>
      </w:r>
    </w:p>
    <w:p w14:paraId="7078D7C7" w14:textId="0E3FB703" w:rsidR="00514C01" w:rsidRDefault="001C161C" w:rsidP="00EE117B">
      <w:pPr>
        <w:tabs>
          <w:tab w:val="num" w:pos="720"/>
        </w:tabs>
        <w:ind w:left="8"/>
        <w:jc w:val="both"/>
        <w:rPr>
          <w:rtl/>
        </w:rPr>
      </w:pPr>
      <w:r>
        <w:rPr>
          <w:rtl/>
        </w:rPr>
        <w:t xml:space="preserve">רמת אי-הוודאות </w:t>
      </w:r>
      <w:r>
        <w:rPr>
          <w:rFonts w:hint="cs"/>
          <w:rtl/>
        </w:rPr>
        <w:t xml:space="preserve">סביב </w:t>
      </w:r>
      <w:r>
        <w:rPr>
          <w:rtl/>
        </w:rPr>
        <w:t xml:space="preserve">התחזית פחתה בעקבות הפסקת האש, אך מאזן הסיכונים נותר מורכב. מחד, קיימת אפשרות להתרחבות מהירה של הביקוש מעבר להערכות הבסיס, תרחיש שיוביל </w:t>
      </w:r>
      <w:r w:rsidR="00141D04">
        <w:rPr>
          <w:rFonts w:hint="cs"/>
          <w:rtl/>
        </w:rPr>
        <w:t>לה</w:t>
      </w:r>
      <w:r w:rsidR="006D4762">
        <w:rPr>
          <w:rFonts w:hint="cs"/>
          <w:rtl/>
        </w:rPr>
        <w:t>אצה באינפלציה</w:t>
      </w:r>
      <w:r w:rsidR="00141D04">
        <w:rPr>
          <w:rFonts w:hint="cs"/>
          <w:rtl/>
        </w:rPr>
        <w:t xml:space="preserve"> על רקע שוק העבודה ההדוק והמחסור בעובדים</w:t>
      </w:r>
      <w:r>
        <w:rPr>
          <w:rtl/>
        </w:rPr>
        <w:t>. מאידך, הסיכונים הגיאופוליטיים נותרו דו-כיווניים: בעוד שחזרה ללחימה עצימה מהווה איום מרכזי על יציבות</w:t>
      </w:r>
      <w:r w:rsidR="00EE117B">
        <w:rPr>
          <w:rFonts w:hint="cs"/>
          <w:rtl/>
        </w:rPr>
        <w:t xml:space="preserve"> המחירים</w:t>
      </w:r>
      <w:r>
        <w:rPr>
          <w:rtl/>
        </w:rPr>
        <w:t xml:space="preserve">, פריצת </w:t>
      </w:r>
      <w:r>
        <w:rPr>
          <w:rtl/>
        </w:rPr>
        <w:lastRenderedPageBreak/>
        <w:t xml:space="preserve">דרך מדינית והרחבת "הסכמי אברהם" עשויות להוות </w:t>
      </w:r>
      <w:r w:rsidR="00E339A0">
        <w:rPr>
          <w:rFonts w:hint="cs"/>
          <w:rtl/>
        </w:rPr>
        <w:t xml:space="preserve">גורם </w:t>
      </w:r>
      <w:r>
        <w:rPr>
          <w:rtl/>
        </w:rPr>
        <w:t>חיובי. לצד אלו, האפשרות להקדמת הבחירות, ממשיכ</w:t>
      </w:r>
      <w:r w:rsidR="006D4762">
        <w:rPr>
          <w:rFonts w:hint="cs"/>
          <w:rtl/>
        </w:rPr>
        <w:t>ה</w:t>
      </w:r>
      <w:r>
        <w:rPr>
          <w:rtl/>
        </w:rPr>
        <w:t xml:space="preserve"> להוות </w:t>
      </w:r>
      <w:r w:rsidR="006D4762">
        <w:rPr>
          <w:rFonts w:hint="cs"/>
          <w:rtl/>
        </w:rPr>
        <w:t>גורם</w:t>
      </w:r>
      <w:r w:rsidR="006D4762">
        <w:rPr>
          <w:rtl/>
        </w:rPr>
        <w:t xml:space="preserve"> </w:t>
      </w:r>
      <w:r>
        <w:rPr>
          <w:rtl/>
        </w:rPr>
        <w:t xml:space="preserve">של אי-ודאות המשפיע על </w:t>
      </w:r>
      <w:r w:rsidR="00160E25">
        <w:rPr>
          <w:rFonts w:hint="cs"/>
          <w:rtl/>
        </w:rPr>
        <w:t>ההתפתחויות הפיסקליות.</w:t>
      </w:r>
    </w:p>
    <w:sectPr w:rsidR="00514C01" w:rsidSect="001D340E">
      <w:footerReference w:type="default" r:id="rId12"/>
      <w:footerReference w:type="first" r:id="rId13"/>
      <w:pgSz w:w="11906" w:h="16838"/>
      <w:pgMar w:top="1276" w:right="1080" w:bottom="2410" w:left="1080" w:header="708" w:footer="708" w:gutter="0"/>
      <w:cols w:space="708"/>
      <w:titlePg/>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FD9687" w16cex:dateUtc="2026-01-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79AF7E" w16cid:durableId="1E79AF7E"/>
  <w16cid:commentId w16cid:paraId="393211B2" w16cid:durableId="59FD9687"/>
  <w16cid:commentId w16cid:paraId="1A9F498C" w16cid:durableId="1A9F4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E7B8" w14:textId="77777777" w:rsidR="00AA3291" w:rsidRDefault="00AA3291">
      <w:pPr>
        <w:spacing w:after="0" w:line="240" w:lineRule="auto"/>
      </w:pPr>
      <w:r>
        <w:separator/>
      </w:r>
    </w:p>
  </w:endnote>
  <w:endnote w:type="continuationSeparator" w:id="0">
    <w:p w14:paraId="4AAAC142" w14:textId="77777777" w:rsidR="00AA3291" w:rsidRDefault="00AA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D9B2" w14:textId="77777777" w:rsidR="000411FB" w:rsidRDefault="000411FB" w:rsidP="000411FB">
    <w:pPr>
      <w:pStyle w:val="af"/>
      <w:rPr>
        <w:rtl/>
      </w:rPr>
    </w:pPr>
    <w:r>
      <w:rPr>
        <w:noProof/>
      </w:rPr>
      <mc:AlternateContent>
        <mc:Choice Requires="wps">
          <w:drawing>
            <wp:anchor distT="0" distB="0" distL="114300" distR="114300" simplePos="0" relativeHeight="251663360" behindDoc="0" locked="0" layoutInCell="1" allowOverlap="1" wp14:anchorId="19ED701C" wp14:editId="44F2B1F8">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14:paraId="626718A2" w14:textId="77777777" w:rsidR="000411FB" w:rsidRPr="00031A9D" w:rsidRDefault="000411FB" w:rsidP="000411FB">
                          <w:pPr>
                            <w:jc w:val="center"/>
                            <w:rPr>
                              <w:sz w:val="16"/>
                              <w:szCs w:val="16"/>
                              <w:rtl/>
                            </w:rPr>
                          </w:pPr>
                          <w:r w:rsidRPr="00031A9D">
                            <w:rPr>
                              <w:noProof/>
                              <w:sz w:val="16"/>
                              <w:szCs w:val="16"/>
                              <w:rtl/>
                            </w:rPr>
                            <w:t>פודקאסט  בנק ישראל</w:t>
                          </w:r>
                          <w:r w:rsidRPr="00031A9D">
                            <w:rPr>
                              <w:noProof/>
                              <w:sz w:val="16"/>
                              <w:szCs w:val="16"/>
                              <w:rtl/>
                            </w:rPr>
                            <w:br/>
                          </w:r>
                          <w:hyperlink r:id="rId1" w:history="1">
                            <w:r w:rsidRPr="00F25BB5">
                              <w:rPr>
                                <w:rStyle w:val="Hyperlink"/>
                                <w:sz w:val="14"/>
                                <w:szCs w:val="14"/>
                              </w:rPr>
                              <w:t>https://www.boi.org.il/bank-of-israel/boi-podcast/</w:t>
                            </w:r>
                          </w:hyperlink>
                          <w:r>
                            <w:rPr>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D701C" id="_x0000_t202" coordsize="21600,21600" o:spt="202" path="m,l,21600r21600,l21600,xe">
              <v:stroke joinstyle="miter"/>
              <v:path gradientshapeok="t" o:connecttype="rect"/>
            </v:shapetype>
            <v:shape id="תיבת טקסט 13" o:spid="_x0000_s1026" type="#_x0000_t202" style="position:absolute;left:0;text-align:left;margin-left:125.25pt;margin-top:8.8pt;width:158.25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14:paraId="626718A2" w14:textId="77777777" w:rsidR="000411FB" w:rsidRPr="00031A9D" w:rsidRDefault="000411FB" w:rsidP="000411FB">
                    <w:pPr>
                      <w:jc w:val="center"/>
                      <w:rPr>
                        <w:sz w:val="16"/>
                        <w:szCs w:val="16"/>
                        <w:rtl/>
                      </w:rPr>
                    </w:pPr>
                    <w:r w:rsidRPr="00031A9D">
                      <w:rPr>
                        <w:noProof/>
                        <w:sz w:val="16"/>
                        <w:szCs w:val="16"/>
                        <w:rtl/>
                      </w:rPr>
                      <w:t>פודקאסט  בנק ישראל</w:t>
                    </w:r>
                    <w:r w:rsidRPr="00031A9D">
                      <w:rPr>
                        <w:noProof/>
                        <w:sz w:val="16"/>
                        <w:szCs w:val="16"/>
                        <w:rtl/>
                      </w:rPr>
                      <w:br/>
                    </w:r>
                    <w:hyperlink r:id="rId2" w:history="1">
                      <w:r w:rsidRPr="00F25BB5">
                        <w:rPr>
                          <w:rStyle w:val="Hyperlink"/>
                          <w:sz w:val="14"/>
                          <w:szCs w:val="14"/>
                        </w:rPr>
                        <w:t>https://www.boi.org.il/bank-of-israel/boi-podcast/</w:t>
                      </w:r>
                    </w:hyperlink>
                    <w:r>
                      <w:rPr>
                        <w:sz w:val="16"/>
                        <w:szCs w:val="16"/>
                      </w:rPr>
                      <w:t xml:space="preserve"> </w:t>
                    </w:r>
                  </w:p>
                </w:txbxContent>
              </v:textbox>
              <w10:wrap anchorx="margin"/>
            </v:shape>
          </w:pict>
        </mc:Fallback>
      </mc:AlternateContent>
    </w:r>
    <w:r w:rsidRPr="00571971">
      <w:rPr>
        <w:noProof/>
        <w:rtl/>
      </w:rPr>
      <w:drawing>
        <wp:anchor distT="0" distB="0" distL="114300" distR="114300" simplePos="0" relativeHeight="251665408" behindDoc="0" locked="0" layoutInCell="1" allowOverlap="1" wp14:anchorId="2DA26218" wp14:editId="4999F4E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254447D" wp14:editId="65D446B3">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noProof/>
      </w:rPr>
      <w:drawing>
        <wp:anchor distT="0" distB="0" distL="114300" distR="114300" simplePos="0" relativeHeight="251666432" behindDoc="0" locked="0" layoutInCell="1" allowOverlap="1" wp14:anchorId="1BA93252" wp14:editId="44FC3FD7">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noProof/>
      </w:rPr>
      <w:drawing>
        <wp:anchor distT="0" distB="0" distL="114300" distR="114300" simplePos="0" relativeHeight="251667456" behindDoc="0" locked="0" layoutInCell="1" allowOverlap="1" wp14:anchorId="1C2A02F5" wp14:editId="12C04168">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7499E26F" wp14:editId="4E90AA3E">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43416223" w14:textId="77777777" w:rsidR="000411FB" w:rsidRPr="00031A9D" w:rsidRDefault="000411FB" w:rsidP="000411FB">
                          <w:pPr>
                            <w:jc w:val="center"/>
                            <w:rPr>
                              <w:noProof/>
                              <w:sz w:val="16"/>
                              <w:szCs w:val="16"/>
                              <w:rtl/>
                            </w:rPr>
                          </w:pPr>
                          <w:r w:rsidRPr="00031A9D">
                            <w:rPr>
                              <w:noProof/>
                              <w:sz w:val="16"/>
                              <w:szCs w:val="16"/>
                              <w:rtl/>
                            </w:rPr>
                            <w:t>יוטיוב - בנק ישראל</w:t>
                          </w:r>
                          <w:r w:rsidRPr="00031A9D">
                            <w:rPr>
                              <w:noProof/>
                              <w:sz w:val="16"/>
                              <w:szCs w:val="16"/>
                              <w:rtl/>
                            </w:rPr>
                            <w:br/>
                          </w:r>
                          <w:hyperlink r:id="rId10" w:history="1">
                            <w:r w:rsidRPr="00031A9D">
                              <w:rPr>
                                <w:rStyle w:val="Hyperlink"/>
                                <w:noProof/>
                                <w:sz w:val="14"/>
                                <w:szCs w:val="14"/>
                              </w:rPr>
                              <w:t>https://www.youtube.com/user/thebankofisrael</w:t>
                            </w:r>
                          </w:hyperlink>
                          <w:r w:rsidRPr="00031A9D">
                            <w:rPr>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9E26F" id="תיבת טקסט 22" o:spid="_x0000_s1027" type="#_x0000_t202" style="position:absolute;left:0;text-align:left;margin-left:-23.05pt;margin-top:6pt;width:167.75pt;height:48.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14:paraId="43416223" w14:textId="77777777" w:rsidR="000411FB" w:rsidRPr="00031A9D" w:rsidRDefault="000411FB" w:rsidP="000411FB">
                    <w:pPr>
                      <w:jc w:val="center"/>
                      <w:rPr>
                        <w:noProof/>
                        <w:sz w:val="16"/>
                        <w:szCs w:val="16"/>
                        <w:rtl/>
                      </w:rPr>
                    </w:pPr>
                    <w:r w:rsidRPr="00031A9D">
                      <w:rPr>
                        <w:noProof/>
                        <w:sz w:val="16"/>
                        <w:szCs w:val="16"/>
                        <w:rtl/>
                      </w:rPr>
                      <w:t>יוטיוב - בנק ישראל</w:t>
                    </w:r>
                    <w:r w:rsidRPr="00031A9D">
                      <w:rPr>
                        <w:noProof/>
                        <w:sz w:val="16"/>
                        <w:szCs w:val="16"/>
                        <w:rtl/>
                      </w:rPr>
                      <w:br/>
                    </w:r>
                    <w:hyperlink r:id="rId11" w:history="1">
                      <w:r w:rsidRPr="00031A9D">
                        <w:rPr>
                          <w:rStyle w:val="Hyperlink"/>
                          <w:noProof/>
                          <w:sz w:val="14"/>
                          <w:szCs w:val="14"/>
                        </w:rPr>
                        <w:t>https://www.youtube.com/user/thebankofisrael</w:t>
                      </w:r>
                    </w:hyperlink>
                    <w:r w:rsidRPr="00031A9D">
                      <w:rPr>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EDFF859" wp14:editId="1147306C">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4F0C44C1" w14:textId="77777777" w:rsidR="000411FB" w:rsidRPr="00031A9D" w:rsidRDefault="000411FB" w:rsidP="000411FB">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DFF859" id="תיבת טקסט 9" o:spid="_x0000_s1028" type="#_x0000_t202" style="position:absolute;left:0;text-align:left;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14:paraId="4F0C44C1" w14:textId="77777777" w:rsidR="000411FB" w:rsidRPr="00031A9D" w:rsidRDefault="000411FB" w:rsidP="000411FB">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3195AA6" wp14:editId="2EB79415">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065A83DC" w14:textId="77777777" w:rsidR="000411FB" w:rsidRPr="00031A9D" w:rsidRDefault="000411FB" w:rsidP="000411FB">
                          <w:pPr>
                            <w:jc w:val="center"/>
                            <w:rPr>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sz w:val="14"/>
                                <w:szCs w:val="14"/>
                              </w:rPr>
                              <w:t>https://www.boi.org.il</w:t>
                            </w:r>
                            <w:r w:rsidRPr="00031A9D">
                              <w:rPr>
                                <w:rStyle w:val="Hyperlink"/>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195AA6" id="תיבת טקסט 7" o:spid="_x0000_s1029" type="#_x0000_t202" style="position:absolute;left:0;text-align:left;margin-left:394.85pt;margin-top:7pt;width:120.9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14:paraId="065A83DC" w14:textId="77777777" w:rsidR="000411FB" w:rsidRPr="00031A9D" w:rsidRDefault="000411FB" w:rsidP="000411FB">
                    <w:pPr>
                      <w:jc w:val="center"/>
                      <w:rPr>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sz w:val="14"/>
                          <w:szCs w:val="14"/>
                        </w:rPr>
                        <w:t>https://www.boi.org.il</w:t>
                      </w:r>
                      <w:r w:rsidRPr="00031A9D">
                        <w:rPr>
                          <w:rStyle w:val="Hyperlink"/>
                          <w:sz w:val="14"/>
                          <w:szCs w:val="14"/>
                          <w:rtl/>
                        </w:rPr>
                        <w:t>/</w:t>
                      </w:r>
                    </w:hyperlink>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3B8B42F" wp14:editId="6FE53EA5">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37033" id="מחבר ישר 15"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Pr="00571971">
      <w:rPr>
        <w:noProof/>
        <w:rtl/>
      </w:rPr>
      <w:t xml:space="preserve"> </w:t>
    </w:r>
  </w:p>
  <w:p w14:paraId="69061EBE" w14:textId="77777777" w:rsidR="00C702B3" w:rsidRDefault="00C702B3">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FC12" w14:textId="77777777" w:rsidR="001D340E" w:rsidRDefault="001C161C" w:rsidP="001D340E">
    <w:pPr>
      <w:pStyle w:val="af"/>
      <w:rPr>
        <w:rtl/>
      </w:rPr>
    </w:pPr>
    <w:r>
      <w:rPr>
        <w:noProof/>
      </w:rPr>
      <mc:AlternateContent>
        <mc:Choice Requires="wps">
          <w:drawing>
            <wp:anchor distT="0" distB="0" distL="114300" distR="114300" simplePos="0" relativeHeight="251658240" behindDoc="0" locked="0" layoutInCell="1" allowOverlap="1" wp14:anchorId="5E1F4F6D" wp14:editId="72370400">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מחבר ישר 35" o:spid="_x0000_s2049" style="flip:x;mso-wrap-distance-bottom:0;mso-wrap-distance-left:9pt;mso-wrap-distance-right:9pt;mso-wrap-distance-top:0;mso-wrap-style:square;position:absolute;visibility:visible;z-index:251659264" from="-6.45pt,-17.55pt" to="483.95pt,-17.55pt" strokecolor="black"/>
          </w:pict>
        </mc:Fallback>
      </mc:AlternateContent>
    </w:r>
    <w:r w:rsidRPr="00571971">
      <w:rPr>
        <w:noProof/>
        <w:rtl/>
      </w:rPr>
      <w:t xml:space="preserve"> </w:t>
    </w:r>
  </w:p>
  <w:p w14:paraId="2A95F4F0" w14:textId="77777777" w:rsidR="001D340E" w:rsidRPr="009005BA" w:rsidRDefault="001D340E" w:rsidP="001D340E">
    <w:pPr>
      <w:pStyle w:val="af"/>
    </w:pPr>
  </w:p>
  <w:p w14:paraId="55E27015" w14:textId="77777777" w:rsidR="001D340E" w:rsidRDefault="001D34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0513A" w14:textId="77777777" w:rsidR="00AA3291" w:rsidRDefault="00AA3291" w:rsidP="008755E3">
      <w:pPr>
        <w:spacing w:after="0" w:line="240" w:lineRule="auto"/>
      </w:pPr>
      <w:r>
        <w:separator/>
      </w:r>
    </w:p>
  </w:footnote>
  <w:footnote w:type="continuationSeparator" w:id="0">
    <w:p w14:paraId="689AC0C5" w14:textId="77777777" w:rsidR="00AA3291" w:rsidRDefault="00AA3291" w:rsidP="008755E3">
      <w:pPr>
        <w:spacing w:after="0" w:line="240" w:lineRule="auto"/>
      </w:pPr>
      <w:r>
        <w:continuationSeparator/>
      </w:r>
    </w:p>
  </w:footnote>
  <w:footnote w:id="1">
    <w:p w14:paraId="43A17A6C" w14:textId="77777777" w:rsidR="0096452E" w:rsidRPr="00202530" w:rsidRDefault="001C161C" w:rsidP="00144E5B">
      <w:pPr>
        <w:pStyle w:val="af1"/>
        <w:spacing w:before="60"/>
        <w:ind w:left="19"/>
        <w:rPr>
          <w:sz w:val="18"/>
          <w:szCs w:val="18"/>
          <w:rtl/>
        </w:rPr>
      </w:pPr>
      <w:r w:rsidRPr="00202530">
        <w:rPr>
          <w:rStyle w:val="af3"/>
        </w:rPr>
        <w:footnoteRef/>
      </w:r>
      <w:r w:rsidRPr="00202530">
        <w:rPr>
          <w:rtl/>
        </w:rPr>
        <w:t xml:space="preserve"> </w:t>
      </w:r>
      <w:r w:rsidR="00144E5B">
        <w:rPr>
          <w:rtl/>
        </w:rPr>
        <w:t>התחזית הוצגה לוועדה המוניטרית ב</w:t>
      </w:r>
      <w:r w:rsidR="00144E5B">
        <w:rPr>
          <w:rFonts w:hint="cs"/>
          <w:rtl/>
        </w:rPr>
        <w:t>-4/1/2026</w:t>
      </w:r>
      <w:r w:rsidRPr="00202530">
        <w:rPr>
          <w:rtl/>
        </w:rPr>
        <w:t>, לקראת החלטת הריבית שהתקבלה ב-</w:t>
      </w:r>
      <w:r w:rsidR="00144E5B">
        <w:rPr>
          <w:rFonts w:hint="cs"/>
          <w:rtl/>
        </w:rPr>
        <w:t>5</w:t>
      </w:r>
      <w:r w:rsidRPr="00202530">
        <w:rPr>
          <w:rtl/>
        </w:rPr>
        <w:t>/</w:t>
      </w:r>
      <w:r w:rsidR="00144E5B">
        <w:rPr>
          <w:rFonts w:hint="cs"/>
          <w:rtl/>
        </w:rPr>
        <w:t>1</w:t>
      </w:r>
      <w:r w:rsidRPr="00202530">
        <w:rPr>
          <w:rtl/>
        </w:rPr>
        <w:t>/202</w:t>
      </w:r>
      <w:r w:rsidR="00144E5B">
        <w:rPr>
          <w:rFonts w:hint="cs"/>
          <w:rtl/>
        </w:rPr>
        <w:t>6</w:t>
      </w:r>
      <w:r w:rsidRPr="00202530">
        <w:rPr>
          <w:rtl/>
        </w:rPr>
        <w:t>.</w:t>
      </w:r>
    </w:p>
  </w:footnote>
  <w:footnote w:id="2">
    <w:p w14:paraId="24E255FB" w14:textId="77777777" w:rsidR="004D0CA8" w:rsidRDefault="001C161C" w:rsidP="003D05C0">
      <w:pPr>
        <w:pStyle w:val="af1"/>
      </w:pPr>
      <w:r>
        <w:rPr>
          <w:rStyle w:val="af3"/>
        </w:rPr>
        <w:footnoteRef/>
      </w:r>
      <w:r>
        <w:rPr>
          <w:rtl/>
        </w:rPr>
        <w:t xml:space="preserve"> </w:t>
      </w:r>
      <w:r>
        <w:rPr>
          <w:rFonts w:hint="cs"/>
          <w:b/>
          <w:rtl/>
        </w:rPr>
        <w:t xml:space="preserve"> ממוצע מדד המחירים לצרכן ברבעון הרביעי של שנת 2026 </w:t>
      </w:r>
      <w:r w:rsidR="00C70A7F">
        <w:rPr>
          <w:rFonts w:hint="cs"/>
          <w:b/>
          <w:rtl/>
        </w:rPr>
        <w:t>ביחס ל</w:t>
      </w:r>
      <w:r w:rsidR="003D05C0">
        <w:rPr>
          <w:rFonts w:hint="cs"/>
          <w:b/>
          <w:rtl/>
        </w:rPr>
        <w:t xml:space="preserve">רבעון רביעי </w:t>
      </w:r>
      <w:r w:rsidR="00C70A7F">
        <w:rPr>
          <w:rFonts w:hint="cs"/>
          <w:b/>
          <w:rtl/>
        </w:rPr>
        <w:t>של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27"/>
    <w:multiLevelType w:val="hybridMultilevel"/>
    <w:tmpl w:val="8BE07C14"/>
    <w:lvl w:ilvl="0" w:tplc="46CA38AA">
      <w:start w:val="1"/>
      <w:numFmt w:val="bullet"/>
      <w:lvlText w:val="•"/>
      <w:lvlJc w:val="left"/>
      <w:pPr>
        <w:tabs>
          <w:tab w:val="num" w:pos="720"/>
        </w:tabs>
        <w:ind w:left="720" w:hanging="360"/>
      </w:pPr>
      <w:rPr>
        <w:rFonts w:ascii="Arial" w:hAnsi="Arial" w:hint="default"/>
        <w:lang w:bidi="he-IL"/>
      </w:rPr>
    </w:lvl>
    <w:lvl w:ilvl="1" w:tplc="22BE1636" w:tentative="1">
      <w:start w:val="1"/>
      <w:numFmt w:val="bullet"/>
      <w:lvlText w:val="•"/>
      <w:lvlJc w:val="left"/>
      <w:pPr>
        <w:tabs>
          <w:tab w:val="num" w:pos="1440"/>
        </w:tabs>
        <w:ind w:left="1440" w:hanging="360"/>
      </w:pPr>
      <w:rPr>
        <w:rFonts w:ascii="Arial" w:hAnsi="Arial" w:hint="default"/>
      </w:rPr>
    </w:lvl>
    <w:lvl w:ilvl="2" w:tplc="6BD4119C" w:tentative="1">
      <w:start w:val="1"/>
      <w:numFmt w:val="bullet"/>
      <w:lvlText w:val="•"/>
      <w:lvlJc w:val="left"/>
      <w:pPr>
        <w:tabs>
          <w:tab w:val="num" w:pos="2160"/>
        </w:tabs>
        <w:ind w:left="2160" w:hanging="360"/>
      </w:pPr>
      <w:rPr>
        <w:rFonts w:ascii="Arial" w:hAnsi="Arial" w:hint="default"/>
      </w:rPr>
    </w:lvl>
    <w:lvl w:ilvl="3" w:tplc="EBF252F2" w:tentative="1">
      <w:start w:val="1"/>
      <w:numFmt w:val="bullet"/>
      <w:lvlText w:val="•"/>
      <w:lvlJc w:val="left"/>
      <w:pPr>
        <w:tabs>
          <w:tab w:val="num" w:pos="2880"/>
        </w:tabs>
        <w:ind w:left="2880" w:hanging="360"/>
      </w:pPr>
      <w:rPr>
        <w:rFonts w:ascii="Arial" w:hAnsi="Arial" w:hint="default"/>
      </w:rPr>
    </w:lvl>
    <w:lvl w:ilvl="4" w:tplc="6E5C62F2" w:tentative="1">
      <w:start w:val="1"/>
      <w:numFmt w:val="bullet"/>
      <w:lvlText w:val="•"/>
      <w:lvlJc w:val="left"/>
      <w:pPr>
        <w:tabs>
          <w:tab w:val="num" w:pos="3600"/>
        </w:tabs>
        <w:ind w:left="3600" w:hanging="360"/>
      </w:pPr>
      <w:rPr>
        <w:rFonts w:ascii="Arial" w:hAnsi="Arial" w:hint="default"/>
      </w:rPr>
    </w:lvl>
    <w:lvl w:ilvl="5" w:tplc="4E10497E" w:tentative="1">
      <w:start w:val="1"/>
      <w:numFmt w:val="bullet"/>
      <w:lvlText w:val="•"/>
      <w:lvlJc w:val="left"/>
      <w:pPr>
        <w:tabs>
          <w:tab w:val="num" w:pos="4320"/>
        </w:tabs>
        <w:ind w:left="4320" w:hanging="360"/>
      </w:pPr>
      <w:rPr>
        <w:rFonts w:ascii="Arial" w:hAnsi="Arial" w:hint="default"/>
      </w:rPr>
    </w:lvl>
    <w:lvl w:ilvl="6" w:tplc="D6369512" w:tentative="1">
      <w:start w:val="1"/>
      <w:numFmt w:val="bullet"/>
      <w:lvlText w:val="•"/>
      <w:lvlJc w:val="left"/>
      <w:pPr>
        <w:tabs>
          <w:tab w:val="num" w:pos="5040"/>
        </w:tabs>
        <w:ind w:left="5040" w:hanging="360"/>
      </w:pPr>
      <w:rPr>
        <w:rFonts w:ascii="Arial" w:hAnsi="Arial" w:hint="default"/>
      </w:rPr>
    </w:lvl>
    <w:lvl w:ilvl="7" w:tplc="785E32CC" w:tentative="1">
      <w:start w:val="1"/>
      <w:numFmt w:val="bullet"/>
      <w:lvlText w:val="•"/>
      <w:lvlJc w:val="left"/>
      <w:pPr>
        <w:tabs>
          <w:tab w:val="num" w:pos="5760"/>
        </w:tabs>
        <w:ind w:left="5760" w:hanging="360"/>
      </w:pPr>
      <w:rPr>
        <w:rFonts w:ascii="Arial" w:hAnsi="Arial" w:hint="default"/>
      </w:rPr>
    </w:lvl>
    <w:lvl w:ilvl="8" w:tplc="30ACC6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537D36"/>
    <w:multiLevelType w:val="hybridMultilevel"/>
    <w:tmpl w:val="9E6ABAF0"/>
    <w:lvl w:ilvl="0" w:tplc="CD7240C6">
      <w:start w:val="1"/>
      <w:numFmt w:val="bullet"/>
      <w:lvlText w:val=""/>
      <w:lvlJc w:val="left"/>
      <w:pPr>
        <w:ind w:left="720" w:hanging="360"/>
      </w:pPr>
      <w:rPr>
        <w:rFonts w:ascii="Wingdings" w:hAnsi="Wingdings" w:hint="default"/>
      </w:rPr>
    </w:lvl>
    <w:lvl w:ilvl="1" w:tplc="4B14BFD8" w:tentative="1">
      <w:start w:val="1"/>
      <w:numFmt w:val="bullet"/>
      <w:lvlText w:val="o"/>
      <w:lvlJc w:val="left"/>
      <w:pPr>
        <w:ind w:left="1440" w:hanging="360"/>
      </w:pPr>
      <w:rPr>
        <w:rFonts w:ascii="Courier New" w:hAnsi="Courier New" w:cs="Courier New" w:hint="default"/>
      </w:rPr>
    </w:lvl>
    <w:lvl w:ilvl="2" w:tplc="63C63FAC" w:tentative="1">
      <w:start w:val="1"/>
      <w:numFmt w:val="bullet"/>
      <w:lvlText w:val=""/>
      <w:lvlJc w:val="left"/>
      <w:pPr>
        <w:ind w:left="2160" w:hanging="360"/>
      </w:pPr>
      <w:rPr>
        <w:rFonts w:ascii="Wingdings" w:hAnsi="Wingdings" w:hint="default"/>
      </w:rPr>
    </w:lvl>
    <w:lvl w:ilvl="3" w:tplc="24263126" w:tentative="1">
      <w:start w:val="1"/>
      <w:numFmt w:val="bullet"/>
      <w:lvlText w:val=""/>
      <w:lvlJc w:val="left"/>
      <w:pPr>
        <w:ind w:left="2880" w:hanging="360"/>
      </w:pPr>
      <w:rPr>
        <w:rFonts w:ascii="Symbol" w:hAnsi="Symbol" w:hint="default"/>
      </w:rPr>
    </w:lvl>
    <w:lvl w:ilvl="4" w:tplc="D7D24974" w:tentative="1">
      <w:start w:val="1"/>
      <w:numFmt w:val="bullet"/>
      <w:lvlText w:val="o"/>
      <w:lvlJc w:val="left"/>
      <w:pPr>
        <w:ind w:left="3600" w:hanging="360"/>
      </w:pPr>
      <w:rPr>
        <w:rFonts w:ascii="Courier New" w:hAnsi="Courier New" w:cs="Courier New" w:hint="default"/>
      </w:rPr>
    </w:lvl>
    <w:lvl w:ilvl="5" w:tplc="3AB22958" w:tentative="1">
      <w:start w:val="1"/>
      <w:numFmt w:val="bullet"/>
      <w:lvlText w:val=""/>
      <w:lvlJc w:val="left"/>
      <w:pPr>
        <w:ind w:left="4320" w:hanging="360"/>
      </w:pPr>
      <w:rPr>
        <w:rFonts w:ascii="Wingdings" w:hAnsi="Wingdings" w:hint="default"/>
      </w:rPr>
    </w:lvl>
    <w:lvl w:ilvl="6" w:tplc="58B45FB2" w:tentative="1">
      <w:start w:val="1"/>
      <w:numFmt w:val="bullet"/>
      <w:lvlText w:val=""/>
      <w:lvlJc w:val="left"/>
      <w:pPr>
        <w:ind w:left="5040" w:hanging="360"/>
      </w:pPr>
      <w:rPr>
        <w:rFonts w:ascii="Symbol" w:hAnsi="Symbol" w:hint="default"/>
      </w:rPr>
    </w:lvl>
    <w:lvl w:ilvl="7" w:tplc="B1744336" w:tentative="1">
      <w:start w:val="1"/>
      <w:numFmt w:val="bullet"/>
      <w:lvlText w:val="o"/>
      <w:lvlJc w:val="left"/>
      <w:pPr>
        <w:ind w:left="5760" w:hanging="360"/>
      </w:pPr>
      <w:rPr>
        <w:rFonts w:ascii="Courier New" w:hAnsi="Courier New" w:cs="Courier New" w:hint="default"/>
      </w:rPr>
    </w:lvl>
    <w:lvl w:ilvl="8" w:tplc="BC361B30"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1456698A">
      <w:start w:val="1"/>
      <w:numFmt w:val="bullet"/>
      <w:lvlText w:val=""/>
      <w:lvlJc w:val="left"/>
      <w:pPr>
        <w:ind w:left="720" w:hanging="360"/>
      </w:pPr>
      <w:rPr>
        <w:rFonts w:ascii="Wingdings" w:hAnsi="Wingdings" w:hint="default"/>
      </w:rPr>
    </w:lvl>
    <w:lvl w:ilvl="1" w:tplc="648227EA" w:tentative="1">
      <w:start w:val="1"/>
      <w:numFmt w:val="bullet"/>
      <w:lvlText w:val="o"/>
      <w:lvlJc w:val="left"/>
      <w:pPr>
        <w:ind w:left="1440" w:hanging="360"/>
      </w:pPr>
      <w:rPr>
        <w:rFonts w:ascii="Courier New" w:hAnsi="Courier New" w:cs="Courier New" w:hint="default"/>
      </w:rPr>
    </w:lvl>
    <w:lvl w:ilvl="2" w:tplc="9FAC360A" w:tentative="1">
      <w:start w:val="1"/>
      <w:numFmt w:val="bullet"/>
      <w:lvlText w:val=""/>
      <w:lvlJc w:val="left"/>
      <w:pPr>
        <w:ind w:left="2160" w:hanging="360"/>
      </w:pPr>
      <w:rPr>
        <w:rFonts w:ascii="Wingdings" w:hAnsi="Wingdings" w:hint="default"/>
      </w:rPr>
    </w:lvl>
    <w:lvl w:ilvl="3" w:tplc="8DBA97E6" w:tentative="1">
      <w:start w:val="1"/>
      <w:numFmt w:val="bullet"/>
      <w:lvlText w:val=""/>
      <w:lvlJc w:val="left"/>
      <w:pPr>
        <w:ind w:left="2880" w:hanging="360"/>
      </w:pPr>
      <w:rPr>
        <w:rFonts w:ascii="Symbol" w:hAnsi="Symbol" w:hint="default"/>
      </w:rPr>
    </w:lvl>
    <w:lvl w:ilvl="4" w:tplc="FDD0E208" w:tentative="1">
      <w:start w:val="1"/>
      <w:numFmt w:val="bullet"/>
      <w:lvlText w:val="o"/>
      <w:lvlJc w:val="left"/>
      <w:pPr>
        <w:ind w:left="3600" w:hanging="360"/>
      </w:pPr>
      <w:rPr>
        <w:rFonts w:ascii="Courier New" w:hAnsi="Courier New" w:cs="Courier New" w:hint="default"/>
      </w:rPr>
    </w:lvl>
    <w:lvl w:ilvl="5" w:tplc="FA727EB6" w:tentative="1">
      <w:start w:val="1"/>
      <w:numFmt w:val="bullet"/>
      <w:lvlText w:val=""/>
      <w:lvlJc w:val="left"/>
      <w:pPr>
        <w:ind w:left="4320" w:hanging="360"/>
      </w:pPr>
      <w:rPr>
        <w:rFonts w:ascii="Wingdings" w:hAnsi="Wingdings" w:hint="default"/>
      </w:rPr>
    </w:lvl>
    <w:lvl w:ilvl="6" w:tplc="AE662DBC" w:tentative="1">
      <w:start w:val="1"/>
      <w:numFmt w:val="bullet"/>
      <w:lvlText w:val=""/>
      <w:lvlJc w:val="left"/>
      <w:pPr>
        <w:ind w:left="5040" w:hanging="360"/>
      </w:pPr>
      <w:rPr>
        <w:rFonts w:ascii="Symbol" w:hAnsi="Symbol" w:hint="default"/>
      </w:rPr>
    </w:lvl>
    <w:lvl w:ilvl="7" w:tplc="0B6ED1B8" w:tentative="1">
      <w:start w:val="1"/>
      <w:numFmt w:val="bullet"/>
      <w:lvlText w:val="o"/>
      <w:lvlJc w:val="left"/>
      <w:pPr>
        <w:ind w:left="5760" w:hanging="360"/>
      </w:pPr>
      <w:rPr>
        <w:rFonts w:ascii="Courier New" w:hAnsi="Courier New" w:cs="Courier New" w:hint="default"/>
      </w:rPr>
    </w:lvl>
    <w:lvl w:ilvl="8" w:tplc="2B7C9E90"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A35EB51C">
      <w:start w:val="1"/>
      <w:numFmt w:val="bullet"/>
      <w:lvlText w:val=""/>
      <w:lvlJc w:val="left"/>
      <w:pPr>
        <w:ind w:left="360" w:hanging="360"/>
      </w:pPr>
      <w:rPr>
        <w:rFonts w:ascii="Symbol" w:hAnsi="Symbol" w:hint="default"/>
      </w:rPr>
    </w:lvl>
    <w:lvl w:ilvl="1" w:tplc="6AFC9EBE" w:tentative="1">
      <w:start w:val="1"/>
      <w:numFmt w:val="bullet"/>
      <w:lvlText w:val="o"/>
      <w:lvlJc w:val="left"/>
      <w:pPr>
        <w:ind w:left="1080" w:hanging="360"/>
      </w:pPr>
      <w:rPr>
        <w:rFonts w:ascii="Courier New" w:hAnsi="Courier New" w:cs="Courier New" w:hint="default"/>
      </w:rPr>
    </w:lvl>
    <w:lvl w:ilvl="2" w:tplc="733C3096" w:tentative="1">
      <w:start w:val="1"/>
      <w:numFmt w:val="bullet"/>
      <w:lvlText w:val=""/>
      <w:lvlJc w:val="left"/>
      <w:pPr>
        <w:ind w:left="1800" w:hanging="360"/>
      </w:pPr>
      <w:rPr>
        <w:rFonts w:ascii="Wingdings" w:hAnsi="Wingdings" w:hint="default"/>
      </w:rPr>
    </w:lvl>
    <w:lvl w:ilvl="3" w:tplc="4BFA2352" w:tentative="1">
      <w:start w:val="1"/>
      <w:numFmt w:val="bullet"/>
      <w:lvlText w:val=""/>
      <w:lvlJc w:val="left"/>
      <w:pPr>
        <w:ind w:left="2520" w:hanging="360"/>
      </w:pPr>
      <w:rPr>
        <w:rFonts w:ascii="Symbol" w:hAnsi="Symbol" w:hint="default"/>
      </w:rPr>
    </w:lvl>
    <w:lvl w:ilvl="4" w:tplc="4384AEE2" w:tentative="1">
      <w:start w:val="1"/>
      <w:numFmt w:val="bullet"/>
      <w:lvlText w:val="o"/>
      <w:lvlJc w:val="left"/>
      <w:pPr>
        <w:ind w:left="3240" w:hanging="360"/>
      </w:pPr>
      <w:rPr>
        <w:rFonts w:ascii="Courier New" w:hAnsi="Courier New" w:cs="Courier New" w:hint="default"/>
      </w:rPr>
    </w:lvl>
    <w:lvl w:ilvl="5" w:tplc="B4583218" w:tentative="1">
      <w:start w:val="1"/>
      <w:numFmt w:val="bullet"/>
      <w:lvlText w:val=""/>
      <w:lvlJc w:val="left"/>
      <w:pPr>
        <w:ind w:left="3960" w:hanging="360"/>
      </w:pPr>
      <w:rPr>
        <w:rFonts w:ascii="Wingdings" w:hAnsi="Wingdings" w:hint="default"/>
      </w:rPr>
    </w:lvl>
    <w:lvl w:ilvl="6" w:tplc="2AB81D2E" w:tentative="1">
      <w:start w:val="1"/>
      <w:numFmt w:val="bullet"/>
      <w:lvlText w:val=""/>
      <w:lvlJc w:val="left"/>
      <w:pPr>
        <w:ind w:left="4680" w:hanging="360"/>
      </w:pPr>
      <w:rPr>
        <w:rFonts w:ascii="Symbol" w:hAnsi="Symbol" w:hint="default"/>
      </w:rPr>
    </w:lvl>
    <w:lvl w:ilvl="7" w:tplc="DEEC8190" w:tentative="1">
      <w:start w:val="1"/>
      <w:numFmt w:val="bullet"/>
      <w:lvlText w:val="o"/>
      <w:lvlJc w:val="left"/>
      <w:pPr>
        <w:ind w:left="5400" w:hanging="360"/>
      </w:pPr>
      <w:rPr>
        <w:rFonts w:ascii="Courier New" w:hAnsi="Courier New" w:cs="Courier New" w:hint="default"/>
      </w:rPr>
    </w:lvl>
    <w:lvl w:ilvl="8" w:tplc="106A2320"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EFA64B12">
      <w:start w:val="1"/>
      <w:numFmt w:val="decimal"/>
      <w:lvlText w:val="%1."/>
      <w:lvlJc w:val="left"/>
      <w:pPr>
        <w:ind w:left="360" w:hanging="360"/>
      </w:pPr>
      <w:rPr>
        <w:rFonts w:eastAsia="Times New Roman" w:hint="default"/>
        <w:b w:val="0"/>
        <w:bCs/>
        <w:color w:val="002060"/>
        <w:sz w:val="28"/>
        <w:szCs w:val="28"/>
      </w:rPr>
    </w:lvl>
    <w:lvl w:ilvl="1" w:tplc="53D81508" w:tentative="1">
      <w:start w:val="1"/>
      <w:numFmt w:val="lowerLetter"/>
      <w:lvlText w:val="%2."/>
      <w:lvlJc w:val="left"/>
      <w:pPr>
        <w:ind w:left="1080" w:hanging="360"/>
      </w:pPr>
    </w:lvl>
    <w:lvl w:ilvl="2" w:tplc="3D52CC44" w:tentative="1">
      <w:start w:val="1"/>
      <w:numFmt w:val="lowerRoman"/>
      <w:lvlText w:val="%3."/>
      <w:lvlJc w:val="right"/>
      <w:pPr>
        <w:ind w:left="1800" w:hanging="180"/>
      </w:pPr>
    </w:lvl>
    <w:lvl w:ilvl="3" w:tplc="CDF611FA" w:tentative="1">
      <w:start w:val="1"/>
      <w:numFmt w:val="decimal"/>
      <w:lvlText w:val="%4."/>
      <w:lvlJc w:val="left"/>
      <w:pPr>
        <w:ind w:left="2520" w:hanging="360"/>
      </w:pPr>
    </w:lvl>
    <w:lvl w:ilvl="4" w:tplc="161C944A" w:tentative="1">
      <w:start w:val="1"/>
      <w:numFmt w:val="lowerLetter"/>
      <w:lvlText w:val="%5."/>
      <w:lvlJc w:val="left"/>
      <w:pPr>
        <w:ind w:left="3240" w:hanging="360"/>
      </w:pPr>
    </w:lvl>
    <w:lvl w:ilvl="5" w:tplc="84CE30D4" w:tentative="1">
      <w:start w:val="1"/>
      <w:numFmt w:val="lowerRoman"/>
      <w:lvlText w:val="%6."/>
      <w:lvlJc w:val="right"/>
      <w:pPr>
        <w:ind w:left="3960" w:hanging="180"/>
      </w:pPr>
    </w:lvl>
    <w:lvl w:ilvl="6" w:tplc="97FC24EC" w:tentative="1">
      <w:start w:val="1"/>
      <w:numFmt w:val="decimal"/>
      <w:lvlText w:val="%7."/>
      <w:lvlJc w:val="left"/>
      <w:pPr>
        <w:ind w:left="4680" w:hanging="360"/>
      </w:pPr>
    </w:lvl>
    <w:lvl w:ilvl="7" w:tplc="EE18BC24" w:tentative="1">
      <w:start w:val="1"/>
      <w:numFmt w:val="lowerLetter"/>
      <w:lvlText w:val="%8."/>
      <w:lvlJc w:val="left"/>
      <w:pPr>
        <w:ind w:left="5400" w:hanging="360"/>
      </w:pPr>
    </w:lvl>
    <w:lvl w:ilvl="8" w:tplc="4B1E4966"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6D364056">
      <w:start w:val="1"/>
      <w:numFmt w:val="bullet"/>
      <w:lvlText w:val="-"/>
      <w:lvlJc w:val="left"/>
      <w:pPr>
        <w:ind w:left="360" w:hanging="360"/>
      </w:pPr>
      <w:rPr>
        <w:rFonts w:ascii="David" w:eastAsiaTheme="minorHAnsi" w:hAnsi="David" w:cs="David" w:hint="default"/>
      </w:rPr>
    </w:lvl>
    <w:lvl w:ilvl="1" w:tplc="7E6A2C38" w:tentative="1">
      <w:start w:val="1"/>
      <w:numFmt w:val="bullet"/>
      <w:lvlText w:val="o"/>
      <w:lvlJc w:val="left"/>
      <w:pPr>
        <w:ind w:left="1080" w:hanging="360"/>
      </w:pPr>
      <w:rPr>
        <w:rFonts w:ascii="Courier New" w:hAnsi="Courier New" w:cs="Courier New" w:hint="default"/>
      </w:rPr>
    </w:lvl>
    <w:lvl w:ilvl="2" w:tplc="AB183972" w:tentative="1">
      <w:start w:val="1"/>
      <w:numFmt w:val="bullet"/>
      <w:lvlText w:val=""/>
      <w:lvlJc w:val="left"/>
      <w:pPr>
        <w:ind w:left="1800" w:hanging="360"/>
      </w:pPr>
      <w:rPr>
        <w:rFonts w:ascii="Wingdings" w:hAnsi="Wingdings" w:hint="default"/>
      </w:rPr>
    </w:lvl>
    <w:lvl w:ilvl="3" w:tplc="555C15CE" w:tentative="1">
      <w:start w:val="1"/>
      <w:numFmt w:val="bullet"/>
      <w:lvlText w:val=""/>
      <w:lvlJc w:val="left"/>
      <w:pPr>
        <w:ind w:left="2520" w:hanging="360"/>
      </w:pPr>
      <w:rPr>
        <w:rFonts w:ascii="Symbol" w:hAnsi="Symbol" w:hint="default"/>
      </w:rPr>
    </w:lvl>
    <w:lvl w:ilvl="4" w:tplc="F788B06A" w:tentative="1">
      <w:start w:val="1"/>
      <w:numFmt w:val="bullet"/>
      <w:lvlText w:val="o"/>
      <w:lvlJc w:val="left"/>
      <w:pPr>
        <w:ind w:left="3240" w:hanging="360"/>
      </w:pPr>
      <w:rPr>
        <w:rFonts w:ascii="Courier New" w:hAnsi="Courier New" w:cs="Courier New" w:hint="default"/>
      </w:rPr>
    </w:lvl>
    <w:lvl w:ilvl="5" w:tplc="7F08BADC" w:tentative="1">
      <w:start w:val="1"/>
      <w:numFmt w:val="bullet"/>
      <w:lvlText w:val=""/>
      <w:lvlJc w:val="left"/>
      <w:pPr>
        <w:ind w:left="3960" w:hanging="360"/>
      </w:pPr>
      <w:rPr>
        <w:rFonts w:ascii="Wingdings" w:hAnsi="Wingdings" w:hint="default"/>
      </w:rPr>
    </w:lvl>
    <w:lvl w:ilvl="6" w:tplc="06BE1E92" w:tentative="1">
      <w:start w:val="1"/>
      <w:numFmt w:val="bullet"/>
      <w:lvlText w:val=""/>
      <w:lvlJc w:val="left"/>
      <w:pPr>
        <w:ind w:left="4680" w:hanging="360"/>
      </w:pPr>
      <w:rPr>
        <w:rFonts w:ascii="Symbol" w:hAnsi="Symbol" w:hint="default"/>
      </w:rPr>
    </w:lvl>
    <w:lvl w:ilvl="7" w:tplc="0B0668F8" w:tentative="1">
      <w:start w:val="1"/>
      <w:numFmt w:val="bullet"/>
      <w:lvlText w:val="o"/>
      <w:lvlJc w:val="left"/>
      <w:pPr>
        <w:ind w:left="5400" w:hanging="360"/>
      </w:pPr>
      <w:rPr>
        <w:rFonts w:ascii="Courier New" w:hAnsi="Courier New" w:cs="Courier New" w:hint="default"/>
      </w:rPr>
    </w:lvl>
    <w:lvl w:ilvl="8" w:tplc="89BC8700"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220ECF14">
      <w:start w:val="1"/>
      <w:numFmt w:val="bullet"/>
      <w:lvlText w:val=""/>
      <w:lvlJc w:val="left"/>
      <w:pPr>
        <w:ind w:left="360" w:hanging="360"/>
      </w:pPr>
      <w:rPr>
        <w:rFonts w:ascii="Wingdings" w:hAnsi="Wingdings" w:hint="default"/>
      </w:rPr>
    </w:lvl>
    <w:lvl w:ilvl="1" w:tplc="EC96B46A" w:tentative="1">
      <w:start w:val="1"/>
      <w:numFmt w:val="bullet"/>
      <w:lvlText w:val="o"/>
      <w:lvlJc w:val="left"/>
      <w:pPr>
        <w:ind w:left="1080" w:hanging="360"/>
      </w:pPr>
      <w:rPr>
        <w:rFonts w:ascii="Courier New" w:hAnsi="Courier New" w:cs="Courier New" w:hint="default"/>
      </w:rPr>
    </w:lvl>
    <w:lvl w:ilvl="2" w:tplc="B6545356" w:tentative="1">
      <w:start w:val="1"/>
      <w:numFmt w:val="bullet"/>
      <w:lvlText w:val=""/>
      <w:lvlJc w:val="left"/>
      <w:pPr>
        <w:ind w:left="1800" w:hanging="360"/>
      </w:pPr>
      <w:rPr>
        <w:rFonts w:ascii="Wingdings" w:hAnsi="Wingdings" w:hint="default"/>
      </w:rPr>
    </w:lvl>
    <w:lvl w:ilvl="3" w:tplc="6EA8A260" w:tentative="1">
      <w:start w:val="1"/>
      <w:numFmt w:val="bullet"/>
      <w:lvlText w:val=""/>
      <w:lvlJc w:val="left"/>
      <w:pPr>
        <w:ind w:left="2520" w:hanging="360"/>
      </w:pPr>
      <w:rPr>
        <w:rFonts w:ascii="Symbol" w:hAnsi="Symbol" w:hint="default"/>
      </w:rPr>
    </w:lvl>
    <w:lvl w:ilvl="4" w:tplc="C0D656E0" w:tentative="1">
      <w:start w:val="1"/>
      <w:numFmt w:val="bullet"/>
      <w:lvlText w:val="o"/>
      <w:lvlJc w:val="left"/>
      <w:pPr>
        <w:ind w:left="3240" w:hanging="360"/>
      </w:pPr>
      <w:rPr>
        <w:rFonts w:ascii="Courier New" w:hAnsi="Courier New" w:cs="Courier New" w:hint="default"/>
      </w:rPr>
    </w:lvl>
    <w:lvl w:ilvl="5" w:tplc="573ABA30" w:tentative="1">
      <w:start w:val="1"/>
      <w:numFmt w:val="bullet"/>
      <w:lvlText w:val=""/>
      <w:lvlJc w:val="left"/>
      <w:pPr>
        <w:ind w:left="3960" w:hanging="360"/>
      </w:pPr>
      <w:rPr>
        <w:rFonts w:ascii="Wingdings" w:hAnsi="Wingdings" w:hint="default"/>
      </w:rPr>
    </w:lvl>
    <w:lvl w:ilvl="6" w:tplc="35F8DA1C" w:tentative="1">
      <w:start w:val="1"/>
      <w:numFmt w:val="bullet"/>
      <w:lvlText w:val=""/>
      <w:lvlJc w:val="left"/>
      <w:pPr>
        <w:ind w:left="4680" w:hanging="360"/>
      </w:pPr>
      <w:rPr>
        <w:rFonts w:ascii="Symbol" w:hAnsi="Symbol" w:hint="default"/>
      </w:rPr>
    </w:lvl>
    <w:lvl w:ilvl="7" w:tplc="2132CA56" w:tentative="1">
      <w:start w:val="1"/>
      <w:numFmt w:val="bullet"/>
      <w:lvlText w:val="o"/>
      <w:lvlJc w:val="left"/>
      <w:pPr>
        <w:ind w:left="5400" w:hanging="360"/>
      </w:pPr>
      <w:rPr>
        <w:rFonts w:ascii="Courier New" w:hAnsi="Courier New" w:cs="Courier New" w:hint="default"/>
      </w:rPr>
    </w:lvl>
    <w:lvl w:ilvl="8" w:tplc="BD505B7E"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B374F366">
      <w:start w:val="1"/>
      <w:numFmt w:val="bullet"/>
      <w:lvlText w:val=""/>
      <w:lvlJc w:val="left"/>
      <w:pPr>
        <w:ind w:left="360" w:hanging="360"/>
      </w:pPr>
      <w:rPr>
        <w:rFonts w:ascii="Wingdings" w:hAnsi="Wingdings" w:hint="default"/>
        <w:color w:val="auto"/>
      </w:rPr>
    </w:lvl>
    <w:lvl w:ilvl="1" w:tplc="411E98FA">
      <w:start w:val="1"/>
      <w:numFmt w:val="bullet"/>
      <w:lvlText w:val=""/>
      <w:lvlJc w:val="left"/>
      <w:pPr>
        <w:ind w:left="1080" w:hanging="360"/>
      </w:pPr>
      <w:rPr>
        <w:rFonts w:ascii="Wingdings" w:hAnsi="Wingdings" w:hint="default"/>
      </w:rPr>
    </w:lvl>
    <w:lvl w:ilvl="2" w:tplc="1ABC0CC6">
      <w:start w:val="1"/>
      <w:numFmt w:val="bullet"/>
      <w:lvlText w:val=""/>
      <w:lvlJc w:val="left"/>
      <w:pPr>
        <w:ind w:left="1800" w:hanging="360"/>
      </w:pPr>
      <w:rPr>
        <w:rFonts w:ascii="Wingdings" w:hAnsi="Wingdings" w:hint="default"/>
      </w:rPr>
    </w:lvl>
    <w:lvl w:ilvl="3" w:tplc="561CF5F8">
      <w:numFmt w:val="bullet"/>
      <w:lvlText w:val="-"/>
      <w:lvlJc w:val="left"/>
      <w:pPr>
        <w:ind w:left="2520" w:hanging="360"/>
      </w:pPr>
      <w:rPr>
        <w:rFonts w:ascii="David" w:eastAsiaTheme="minorHAnsi" w:hAnsi="David" w:cs="David" w:hint="default"/>
      </w:rPr>
    </w:lvl>
    <w:lvl w:ilvl="4" w:tplc="E1E0EB42" w:tentative="1">
      <w:start w:val="1"/>
      <w:numFmt w:val="bullet"/>
      <w:lvlText w:val="o"/>
      <w:lvlJc w:val="left"/>
      <w:pPr>
        <w:ind w:left="3240" w:hanging="360"/>
      </w:pPr>
      <w:rPr>
        <w:rFonts w:ascii="Courier New" w:hAnsi="Courier New" w:cs="Courier New" w:hint="default"/>
      </w:rPr>
    </w:lvl>
    <w:lvl w:ilvl="5" w:tplc="F08CE5C4" w:tentative="1">
      <w:start w:val="1"/>
      <w:numFmt w:val="bullet"/>
      <w:lvlText w:val=""/>
      <w:lvlJc w:val="left"/>
      <w:pPr>
        <w:ind w:left="3960" w:hanging="360"/>
      </w:pPr>
      <w:rPr>
        <w:rFonts w:ascii="Wingdings" w:hAnsi="Wingdings" w:hint="default"/>
      </w:rPr>
    </w:lvl>
    <w:lvl w:ilvl="6" w:tplc="22C4094C" w:tentative="1">
      <w:start w:val="1"/>
      <w:numFmt w:val="bullet"/>
      <w:lvlText w:val=""/>
      <w:lvlJc w:val="left"/>
      <w:pPr>
        <w:ind w:left="4680" w:hanging="360"/>
      </w:pPr>
      <w:rPr>
        <w:rFonts w:ascii="Symbol" w:hAnsi="Symbol" w:hint="default"/>
      </w:rPr>
    </w:lvl>
    <w:lvl w:ilvl="7" w:tplc="FB628E04" w:tentative="1">
      <w:start w:val="1"/>
      <w:numFmt w:val="bullet"/>
      <w:lvlText w:val="o"/>
      <w:lvlJc w:val="left"/>
      <w:pPr>
        <w:ind w:left="5400" w:hanging="360"/>
      </w:pPr>
      <w:rPr>
        <w:rFonts w:ascii="Courier New" w:hAnsi="Courier New" w:cs="Courier New" w:hint="default"/>
      </w:rPr>
    </w:lvl>
    <w:lvl w:ilvl="8" w:tplc="BA666D28" w:tentative="1">
      <w:start w:val="1"/>
      <w:numFmt w:val="bullet"/>
      <w:lvlText w:val=""/>
      <w:lvlJc w:val="left"/>
      <w:pPr>
        <w:ind w:left="6120" w:hanging="360"/>
      </w:pPr>
      <w:rPr>
        <w:rFonts w:ascii="Wingdings" w:hAnsi="Wingdings" w:hint="default"/>
      </w:rPr>
    </w:lvl>
  </w:abstractNum>
  <w:abstractNum w:abstractNumId="8" w15:restartNumberingAfterBreak="0">
    <w:nsid w:val="204C29F2"/>
    <w:multiLevelType w:val="hybridMultilevel"/>
    <w:tmpl w:val="E5D22A34"/>
    <w:lvl w:ilvl="0" w:tplc="4886BE72">
      <w:start w:val="1"/>
      <w:numFmt w:val="bullet"/>
      <w:lvlText w:val="•"/>
      <w:lvlJc w:val="left"/>
      <w:pPr>
        <w:tabs>
          <w:tab w:val="num" w:pos="720"/>
        </w:tabs>
        <w:ind w:left="720" w:hanging="360"/>
      </w:pPr>
      <w:rPr>
        <w:rFonts w:ascii="Arial" w:hAnsi="Arial" w:hint="default"/>
      </w:rPr>
    </w:lvl>
    <w:lvl w:ilvl="1" w:tplc="C43A5610" w:tentative="1">
      <w:start w:val="1"/>
      <w:numFmt w:val="bullet"/>
      <w:lvlText w:val="•"/>
      <w:lvlJc w:val="left"/>
      <w:pPr>
        <w:tabs>
          <w:tab w:val="num" w:pos="1440"/>
        </w:tabs>
        <w:ind w:left="1440" w:hanging="360"/>
      </w:pPr>
      <w:rPr>
        <w:rFonts w:ascii="Arial" w:hAnsi="Arial" w:hint="default"/>
      </w:rPr>
    </w:lvl>
    <w:lvl w:ilvl="2" w:tplc="3020B486" w:tentative="1">
      <w:start w:val="1"/>
      <w:numFmt w:val="bullet"/>
      <w:lvlText w:val="•"/>
      <w:lvlJc w:val="left"/>
      <w:pPr>
        <w:tabs>
          <w:tab w:val="num" w:pos="2160"/>
        </w:tabs>
        <w:ind w:left="2160" w:hanging="360"/>
      </w:pPr>
      <w:rPr>
        <w:rFonts w:ascii="Arial" w:hAnsi="Arial" w:hint="default"/>
      </w:rPr>
    </w:lvl>
    <w:lvl w:ilvl="3" w:tplc="053AFDD8" w:tentative="1">
      <w:start w:val="1"/>
      <w:numFmt w:val="bullet"/>
      <w:lvlText w:val="•"/>
      <w:lvlJc w:val="left"/>
      <w:pPr>
        <w:tabs>
          <w:tab w:val="num" w:pos="2880"/>
        </w:tabs>
        <w:ind w:left="2880" w:hanging="360"/>
      </w:pPr>
      <w:rPr>
        <w:rFonts w:ascii="Arial" w:hAnsi="Arial" w:hint="default"/>
      </w:rPr>
    </w:lvl>
    <w:lvl w:ilvl="4" w:tplc="CCC2E38E" w:tentative="1">
      <w:start w:val="1"/>
      <w:numFmt w:val="bullet"/>
      <w:lvlText w:val="•"/>
      <w:lvlJc w:val="left"/>
      <w:pPr>
        <w:tabs>
          <w:tab w:val="num" w:pos="3600"/>
        </w:tabs>
        <w:ind w:left="3600" w:hanging="360"/>
      </w:pPr>
      <w:rPr>
        <w:rFonts w:ascii="Arial" w:hAnsi="Arial" w:hint="default"/>
      </w:rPr>
    </w:lvl>
    <w:lvl w:ilvl="5" w:tplc="43F0BC26" w:tentative="1">
      <w:start w:val="1"/>
      <w:numFmt w:val="bullet"/>
      <w:lvlText w:val="•"/>
      <w:lvlJc w:val="left"/>
      <w:pPr>
        <w:tabs>
          <w:tab w:val="num" w:pos="4320"/>
        </w:tabs>
        <w:ind w:left="4320" w:hanging="360"/>
      </w:pPr>
      <w:rPr>
        <w:rFonts w:ascii="Arial" w:hAnsi="Arial" w:hint="default"/>
      </w:rPr>
    </w:lvl>
    <w:lvl w:ilvl="6" w:tplc="7F7E8B1C" w:tentative="1">
      <w:start w:val="1"/>
      <w:numFmt w:val="bullet"/>
      <w:lvlText w:val="•"/>
      <w:lvlJc w:val="left"/>
      <w:pPr>
        <w:tabs>
          <w:tab w:val="num" w:pos="5040"/>
        </w:tabs>
        <w:ind w:left="5040" w:hanging="360"/>
      </w:pPr>
      <w:rPr>
        <w:rFonts w:ascii="Arial" w:hAnsi="Arial" w:hint="default"/>
      </w:rPr>
    </w:lvl>
    <w:lvl w:ilvl="7" w:tplc="54D612E6" w:tentative="1">
      <w:start w:val="1"/>
      <w:numFmt w:val="bullet"/>
      <w:lvlText w:val="•"/>
      <w:lvlJc w:val="left"/>
      <w:pPr>
        <w:tabs>
          <w:tab w:val="num" w:pos="5760"/>
        </w:tabs>
        <w:ind w:left="5760" w:hanging="360"/>
      </w:pPr>
      <w:rPr>
        <w:rFonts w:ascii="Arial" w:hAnsi="Arial" w:hint="default"/>
      </w:rPr>
    </w:lvl>
    <w:lvl w:ilvl="8" w:tplc="86C015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E44EBA"/>
    <w:multiLevelType w:val="hybridMultilevel"/>
    <w:tmpl w:val="00003864"/>
    <w:lvl w:ilvl="0" w:tplc="323812B0">
      <w:start w:val="1"/>
      <w:numFmt w:val="bullet"/>
      <w:lvlText w:val=""/>
      <w:lvlJc w:val="left"/>
      <w:pPr>
        <w:tabs>
          <w:tab w:val="num" w:pos="720"/>
        </w:tabs>
        <w:ind w:left="720" w:hanging="360"/>
      </w:pPr>
      <w:rPr>
        <w:rFonts w:ascii="Wingdings" w:hAnsi="Wingdings" w:hint="default"/>
      </w:rPr>
    </w:lvl>
    <w:lvl w:ilvl="1" w:tplc="614C1438" w:tentative="1">
      <w:start w:val="1"/>
      <w:numFmt w:val="bullet"/>
      <w:lvlText w:val=""/>
      <w:lvlJc w:val="left"/>
      <w:pPr>
        <w:tabs>
          <w:tab w:val="num" w:pos="1440"/>
        </w:tabs>
        <w:ind w:left="1440" w:hanging="360"/>
      </w:pPr>
      <w:rPr>
        <w:rFonts w:ascii="Wingdings" w:hAnsi="Wingdings" w:hint="default"/>
      </w:rPr>
    </w:lvl>
    <w:lvl w:ilvl="2" w:tplc="E7487D3C" w:tentative="1">
      <w:start w:val="1"/>
      <w:numFmt w:val="bullet"/>
      <w:lvlText w:val=""/>
      <w:lvlJc w:val="left"/>
      <w:pPr>
        <w:tabs>
          <w:tab w:val="num" w:pos="2160"/>
        </w:tabs>
        <w:ind w:left="2160" w:hanging="360"/>
      </w:pPr>
      <w:rPr>
        <w:rFonts w:ascii="Wingdings" w:hAnsi="Wingdings" w:hint="default"/>
      </w:rPr>
    </w:lvl>
    <w:lvl w:ilvl="3" w:tplc="F1889690" w:tentative="1">
      <w:start w:val="1"/>
      <w:numFmt w:val="bullet"/>
      <w:lvlText w:val=""/>
      <w:lvlJc w:val="left"/>
      <w:pPr>
        <w:tabs>
          <w:tab w:val="num" w:pos="2880"/>
        </w:tabs>
        <w:ind w:left="2880" w:hanging="360"/>
      </w:pPr>
      <w:rPr>
        <w:rFonts w:ascii="Wingdings" w:hAnsi="Wingdings" w:hint="default"/>
      </w:rPr>
    </w:lvl>
    <w:lvl w:ilvl="4" w:tplc="88D621A8" w:tentative="1">
      <w:start w:val="1"/>
      <w:numFmt w:val="bullet"/>
      <w:lvlText w:val=""/>
      <w:lvlJc w:val="left"/>
      <w:pPr>
        <w:tabs>
          <w:tab w:val="num" w:pos="3600"/>
        </w:tabs>
        <w:ind w:left="3600" w:hanging="360"/>
      </w:pPr>
      <w:rPr>
        <w:rFonts w:ascii="Wingdings" w:hAnsi="Wingdings" w:hint="default"/>
      </w:rPr>
    </w:lvl>
    <w:lvl w:ilvl="5" w:tplc="861EB61E" w:tentative="1">
      <w:start w:val="1"/>
      <w:numFmt w:val="bullet"/>
      <w:lvlText w:val=""/>
      <w:lvlJc w:val="left"/>
      <w:pPr>
        <w:tabs>
          <w:tab w:val="num" w:pos="4320"/>
        </w:tabs>
        <w:ind w:left="4320" w:hanging="360"/>
      </w:pPr>
      <w:rPr>
        <w:rFonts w:ascii="Wingdings" w:hAnsi="Wingdings" w:hint="default"/>
      </w:rPr>
    </w:lvl>
    <w:lvl w:ilvl="6" w:tplc="55B46B46" w:tentative="1">
      <w:start w:val="1"/>
      <w:numFmt w:val="bullet"/>
      <w:lvlText w:val=""/>
      <w:lvlJc w:val="left"/>
      <w:pPr>
        <w:tabs>
          <w:tab w:val="num" w:pos="5040"/>
        </w:tabs>
        <w:ind w:left="5040" w:hanging="360"/>
      </w:pPr>
      <w:rPr>
        <w:rFonts w:ascii="Wingdings" w:hAnsi="Wingdings" w:hint="default"/>
      </w:rPr>
    </w:lvl>
    <w:lvl w:ilvl="7" w:tplc="EC343BF4" w:tentative="1">
      <w:start w:val="1"/>
      <w:numFmt w:val="bullet"/>
      <w:lvlText w:val=""/>
      <w:lvlJc w:val="left"/>
      <w:pPr>
        <w:tabs>
          <w:tab w:val="num" w:pos="5760"/>
        </w:tabs>
        <w:ind w:left="5760" w:hanging="360"/>
      </w:pPr>
      <w:rPr>
        <w:rFonts w:ascii="Wingdings" w:hAnsi="Wingdings" w:hint="default"/>
      </w:rPr>
    </w:lvl>
    <w:lvl w:ilvl="8" w:tplc="84F4E5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5F44EC"/>
    <w:multiLevelType w:val="hybridMultilevel"/>
    <w:tmpl w:val="1C1837E0"/>
    <w:lvl w:ilvl="0" w:tplc="F5324144">
      <w:numFmt w:val="bullet"/>
      <w:lvlText w:val="-"/>
      <w:lvlJc w:val="left"/>
      <w:pPr>
        <w:ind w:left="360" w:hanging="360"/>
      </w:pPr>
      <w:rPr>
        <w:rFonts w:ascii="David" w:eastAsia="Times New Roman" w:hAnsi="David" w:cs="David" w:hint="default"/>
      </w:rPr>
    </w:lvl>
    <w:lvl w:ilvl="1" w:tplc="17F45754" w:tentative="1">
      <w:start w:val="1"/>
      <w:numFmt w:val="bullet"/>
      <w:lvlText w:val="o"/>
      <w:lvlJc w:val="left"/>
      <w:pPr>
        <w:ind w:left="1080" w:hanging="360"/>
      </w:pPr>
      <w:rPr>
        <w:rFonts w:ascii="Courier New" w:hAnsi="Courier New" w:cs="Courier New" w:hint="default"/>
      </w:rPr>
    </w:lvl>
    <w:lvl w:ilvl="2" w:tplc="92FEA960" w:tentative="1">
      <w:start w:val="1"/>
      <w:numFmt w:val="bullet"/>
      <w:lvlText w:val=""/>
      <w:lvlJc w:val="left"/>
      <w:pPr>
        <w:ind w:left="1800" w:hanging="360"/>
      </w:pPr>
      <w:rPr>
        <w:rFonts w:ascii="Wingdings" w:hAnsi="Wingdings" w:hint="default"/>
      </w:rPr>
    </w:lvl>
    <w:lvl w:ilvl="3" w:tplc="5506494E" w:tentative="1">
      <w:start w:val="1"/>
      <w:numFmt w:val="bullet"/>
      <w:lvlText w:val=""/>
      <w:lvlJc w:val="left"/>
      <w:pPr>
        <w:ind w:left="2520" w:hanging="360"/>
      </w:pPr>
      <w:rPr>
        <w:rFonts w:ascii="Symbol" w:hAnsi="Symbol" w:hint="default"/>
      </w:rPr>
    </w:lvl>
    <w:lvl w:ilvl="4" w:tplc="ADA05CBA" w:tentative="1">
      <w:start w:val="1"/>
      <w:numFmt w:val="bullet"/>
      <w:lvlText w:val="o"/>
      <w:lvlJc w:val="left"/>
      <w:pPr>
        <w:ind w:left="3240" w:hanging="360"/>
      </w:pPr>
      <w:rPr>
        <w:rFonts w:ascii="Courier New" w:hAnsi="Courier New" w:cs="Courier New" w:hint="default"/>
      </w:rPr>
    </w:lvl>
    <w:lvl w:ilvl="5" w:tplc="C30ADF88" w:tentative="1">
      <w:start w:val="1"/>
      <w:numFmt w:val="bullet"/>
      <w:lvlText w:val=""/>
      <w:lvlJc w:val="left"/>
      <w:pPr>
        <w:ind w:left="3960" w:hanging="360"/>
      </w:pPr>
      <w:rPr>
        <w:rFonts w:ascii="Wingdings" w:hAnsi="Wingdings" w:hint="default"/>
      </w:rPr>
    </w:lvl>
    <w:lvl w:ilvl="6" w:tplc="283CDE82" w:tentative="1">
      <w:start w:val="1"/>
      <w:numFmt w:val="bullet"/>
      <w:lvlText w:val=""/>
      <w:lvlJc w:val="left"/>
      <w:pPr>
        <w:ind w:left="4680" w:hanging="360"/>
      </w:pPr>
      <w:rPr>
        <w:rFonts w:ascii="Symbol" w:hAnsi="Symbol" w:hint="default"/>
      </w:rPr>
    </w:lvl>
    <w:lvl w:ilvl="7" w:tplc="E1AE5A08" w:tentative="1">
      <w:start w:val="1"/>
      <w:numFmt w:val="bullet"/>
      <w:lvlText w:val="o"/>
      <w:lvlJc w:val="left"/>
      <w:pPr>
        <w:ind w:left="5400" w:hanging="360"/>
      </w:pPr>
      <w:rPr>
        <w:rFonts w:ascii="Courier New" w:hAnsi="Courier New" w:cs="Courier New" w:hint="default"/>
      </w:rPr>
    </w:lvl>
    <w:lvl w:ilvl="8" w:tplc="3DCC1C88" w:tentative="1">
      <w:start w:val="1"/>
      <w:numFmt w:val="bullet"/>
      <w:lvlText w:val=""/>
      <w:lvlJc w:val="left"/>
      <w:pPr>
        <w:ind w:left="6120" w:hanging="360"/>
      </w:pPr>
      <w:rPr>
        <w:rFonts w:ascii="Wingdings" w:hAnsi="Wingdings" w:hint="default"/>
      </w:rPr>
    </w:lvl>
  </w:abstractNum>
  <w:abstractNum w:abstractNumId="11" w15:restartNumberingAfterBreak="0">
    <w:nsid w:val="2742543E"/>
    <w:multiLevelType w:val="hybridMultilevel"/>
    <w:tmpl w:val="E24C07EE"/>
    <w:lvl w:ilvl="0" w:tplc="208AA744">
      <w:start w:val="1"/>
      <w:numFmt w:val="decimal"/>
      <w:lvlText w:val="%1."/>
      <w:lvlJc w:val="left"/>
      <w:pPr>
        <w:ind w:left="360" w:hanging="360"/>
      </w:pPr>
      <w:rPr>
        <w:rFonts w:hint="default"/>
      </w:rPr>
    </w:lvl>
    <w:lvl w:ilvl="1" w:tplc="80F489D4" w:tentative="1">
      <w:start w:val="1"/>
      <w:numFmt w:val="lowerLetter"/>
      <w:lvlText w:val="%2."/>
      <w:lvlJc w:val="left"/>
      <w:pPr>
        <w:ind w:left="1451" w:hanging="360"/>
      </w:pPr>
    </w:lvl>
    <w:lvl w:ilvl="2" w:tplc="EF8C679E" w:tentative="1">
      <w:start w:val="1"/>
      <w:numFmt w:val="lowerRoman"/>
      <w:lvlText w:val="%3."/>
      <w:lvlJc w:val="right"/>
      <w:pPr>
        <w:ind w:left="2171" w:hanging="180"/>
      </w:pPr>
    </w:lvl>
    <w:lvl w:ilvl="3" w:tplc="8FF89D8E" w:tentative="1">
      <w:start w:val="1"/>
      <w:numFmt w:val="decimal"/>
      <w:lvlText w:val="%4."/>
      <w:lvlJc w:val="left"/>
      <w:pPr>
        <w:ind w:left="2891" w:hanging="360"/>
      </w:pPr>
    </w:lvl>
    <w:lvl w:ilvl="4" w:tplc="01603F32" w:tentative="1">
      <w:start w:val="1"/>
      <w:numFmt w:val="lowerLetter"/>
      <w:lvlText w:val="%5."/>
      <w:lvlJc w:val="left"/>
      <w:pPr>
        <w:ind w:left="3611" w:hanging="360"/>
      </w:pPr>
    </w:lvl>
    <w:lvl w:ilvl="5" w:tplc="F230BE0A" w:tentative="1">
      <w:start w:val="1"/>
      <w:numFmt w:val="lowerRoman"/>
      <w:lvlText w:val="%6."/>
      <w:lvlJc w:val="right"/>
      <w:pPr>
        <w:ind w:left="4331" w:hanging="180"/>
      </w:pPr>
    </w:lvl>
    <w:lvl w:ilvl="6" w:tplc="0EDA4870" w:tentative="1">
      <w:start w:val="1"/>
      <w:numFmt w:val="decimal"/>
      <w:lvlText w:val="%7."/>
      <w:lvlJc w:val="left"/>
      <w:pPr>
        <w:ind w:left="5051" w:hanging="360"/>
      </w:pPr>
    </w:lvl>
    <w:lvl w:ilvl="7" w:tplc="80CCAA12" w:tentative="1">
      <w:start w:val="1"/>
      <w:numFmt w:val="lowerLetter"/>
      <w:lvlText w:val="%8."/>
      <w:lvlJc w:val="left"/>
      <w:pPr>
        <w:ind w:left="5771" w:hanging="360"/>
      </w:pPr>
    </w:lvl>
    <w:lvl w:ilvl="8" w:tplc="083067CA" w:tentative="1">
      <w:start w:val="1"/>
      <w:numFmt w:val="lowerRoman"/>
      <w:lvlText w:val="%9."/>
      <w:lvlJc w:val="right"/>
      <w:pPr>
        <w:ind w:left="6491" w:hanging="180"/>
      </w:pPr>
    </w:lvl>
  </w:abstractNum>
  <w:abstractNum w:abstractNumId="12" w15:restartNumberingAfterBreak="0">
    <w:nsid w:val="33AE52B0"/>
    <w:multiLevelType w:val="hybridMultilevel"/>
    <w:tmpl w:val="37787044"/>
    <w:lvl w:ilvl="0" w:tplc="125CA12A">
      <w:start w:val="1"/>
      <w:numFmt w:val="bullet"/>
      <w:lvlText w:val=""/>
      <w:lvlJc w:val="left"/>
      <w:pPr>
        <w:ind w:left="720" w:hanging="360"/>
      </w:pPr>
      <w:rPr>
        <w:rFonts w:ascii="Symbol" w:hAnsi="Symbol" w:hint="default"/>
      </w:rPr>
    </w:lvl>
    <w:lvl w:ilvl="1" w:tplc="567AE436">
      <w:start w:val="1"/>
      <w:numFmt w:val="bullet"/>
      <w:lvlText w:val="o"/>
      <w:lvlJc w:val="left"/>
      <w:pPr>
        <w:ind w:left="1440" w:hanging="360"/>
      </w:pPr>
      <w:rPr>
        <w:rFonts w:ascii="Courier New" w:hAnsi="Courier New" w:cs="Courier New" w:hint="default"/>
      </w:rPr>
    </w:lvl>
    <w:lvl w:ilvl="2" w:tplc="9BD0F390">
      <w:start w:val="1"/>
      <w:numFmt w:val="bullet"/>
      <w:lvlText w:val=""/>
      <w:lvlJc w:val="left"/>
      <w:pPr>
        <w:ind w:left="2160" w:hanging="360"/>
      </w:pPr>
      <w:rPr>
        <w:rFonts w:ascii="Wingdings" w:hAnsi="Wingdings" w:hint="default"/>
      </w:rPr>
    </w:lvl>
    <w:lvl w:ilvl="3" w:tplc="7B2EF2E6">
      <w:start w:val="1"/>
      <w:numFmt w:val="bullet"/>
      <w:lvlText w:val=""/>
      <w:lvlJc w:val="left"/>
      <w:pPr>
        <w:ind w:left="2880" w:hanging="360"/>
      </w:pPr>
      <w:rPr>
        <w:rFonts w:ascii="Symbol" w:hAnsi="Symbol" w:hint="default"/>
      </w:rPr>
    </w:lvl>
    <w:lvl w:ilvl="4" w:tplc="20F01B2C">
      <w:start w:val="1"/>
      <w:numFmt w:val="bullet"/>
      <w:lvlText w:val="o"/>
      <w:lvlJc w:val="left"/>
      <w:pPr>
        <w:ind w:left="3600" w:hanging="360"/>
      </w:pPr>
      <w:rPr>
        <w:rFonts w:ascii="Courier New" w:hAnsi="Courier New" w:cs="Courier New" w:hint="default"/>
      </w:rPr>
    </w:lvl>
    <w:lvl w:ilvl="5" w:tplc="DA326FA4">
      <w:start w:val="1"/>
      <w:numFmt w:val="bullet"/>
      <w:lvlText w:val=""/>
      <w:lvlJc w:val="left"/>
      <w:pPr>
        <w:ind w:left="4320" w:hanging="360"/>
      </w:pPr>
      <w:rPr>
        <w:rFonts w:ascii="Wingdings" w:hAnsi="Wingdings" w:hint="default"/>
      </w:rPr>
    </w:lvl>
    <w:lvl w:ilvl="6" w:tplc="8902966C">
      <w:start w:val="1"/>
      <w:numFmt w:val="bullet"/>
      <w:lvlText w:val=""/>
      <w:lvlJc w:val="left"/>
      <w:pPr>
        <w:ind w:left="5040" w:hanging="360"/>
      </w:pPr>
      <w:rPr>
        <w:rFonts w:ascii="Symbol" w:hAnsi="Symbol" w:hint="default"/>
      </w:rPr>
    </w:lvl>
    <w:lvl w:ilvl="7" w:tplc="5218BDE6">
      <w:start w:val="1"/>
      <w:numFmt w:val="bullet"/>
      <w:lvlText w:val="o"/>
      <w:lvlJc w:val="left"/>
      <w:pPr>
        <w:ind w:left="5760" w:hanging="360"/>
      </w:pPr>
      <w:rPr>
        <w:rFonts w:ascii="Courier New" w:hAnsi="Courier New" w:cs="Courier New" w:hint="default"/>
      </w:rPr>
    </w:lvl>
    <w:lvl w:ilvl="8" w:tplc="BDB0A650">
      <w:start w:val="1"/>
      <w:numFmt w:val="bullet"/>
      <w:lvlText w:val=""/>
      <w:lvlJc w:val="left"/>
      <w:pPr>
        <w:ind w:left="6480" w:hanging="360"/>
      </w:pPr>
      <w:rPr>
        <w:rFonts w:ascii="Wingdings" w:hAnsi="Wingdings" w:hint="default"/>
      </w:rPr>
    </w:lvl>
  </w:abstractNum>
  <w:abstractNum w:abstractNumId="13" w15:restartNumberingAfterBreak="0">
    <w:nsid w:val="3E701312"/>
    <w:multiLevelType w:val="hybridMultilevel"/>
    <w:tmpl w:val="48600200"/>
    <w:lvl w:ilvl="0" w:tplc="740679F2">
      <w:start w:val="1"/>
      <w:numFmt w:val="hebrew1"/>
      <w:pStyle w:val="a"/>
      <w:lvlText w:val="%1."/>
      <w:lvlJc w:val="center"/>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F9E3D72" w:tentative="1">
      <w:start w:val="1"/>
      <w:numFmt w:val="lowerLetter"/>
      <w:lvlText w:val="%2."/>
      <w:lvlJc w:val="left"/>
      <w:pPr>
        <w:ind w:left="1440" w:hanging="360"/>
      </w:pPr>
    </w:lvl>
    <w:lvl w:ilvl="2" w:tplc="A5566D20" w:tentative="1">
      <w:start w:val="1"/>
      <w:numFmt w:val="lowerRoman"/>
      <w:lvlText w:val="%3."/>
      <w:lvlJc w:val="right"/>
      <w:pPr>
        <w:ind w:left="2160" w:hanging="180"/>
      </w:pPr>
    </w:lvl>
    <w:lvl w:ilvl="3" w:tplc="F2A2C8CC" w:tentative="1">
      <w:start w:val="1"/>
      <w:numFmt w:val="decimal"/>
      <w:lvlText w:val="%4."/>
      <w:lvlJc w:val="left"/>
      <w:pPr>
        <w:ind w:left="2880" w:hanging="360"/>
      </w:pPr>
    </w:lvl>
    <w:lvl w:ilvl="4" w:tplc="F76A268A" w:tentative="1">
      <w:start w:val="1"/>
      <w:numFmt w:val="lowerLetter"/>
      <w:lvlText w:val="%5."/>
      <w:lvlJc w:val="left"/>
      <w:pPr>
        <w:ind w:left="3600" w:hanging="360"/>
      </w:pPr>
    </w:lvl>
    <w:lvl w:ilvl="5" w:tplc="E5CEC398" w:tentative="1">
      <w:start w:val="1"/>
      <w:numFmt w:val="lowerRoman"/>
      <w:lvlText w:val="%6."/>
      <w:lvlJc w:val="right"/>
      <w:pPr>
        <w:ind w:left="4320" w:hanging="180"/>
      </w:pPr>
    </w:lvl>
    <w:lvl w:ilvl="6" w:tplc="20585BF4" w:tentative="1">
      <w:start w:val="1"/>
      <w:numFmt w:val="decimal"/>
      <w:lvlText w:val="%7."/>
      <w:lvlJc w:val="left"/>
      <w:pPr>
        <w:ind w:left="5040" w:hanging="360"/>
      </w:pPr>
    </w:lvl>
    <w:lvl w:ilvl="7" w:tplc="24065F1A" w:tentative="1">
      <w:start w:val="1"/>
      <w:numFmt w:val="lowerLetter"/>
      <w:lvlText w:val="%8."/>
      <w:lvlJc w:val="left"/>
      <w:pPr>
        <w:ind w:left="5760" w:hanging="360"/>
      </w:pPr>
    </w:lvl>
    <w:lvl w:ilvl="8" w:tplc="DEB6A124" w:tentative="1">
      <w:start w:val="1"/>
      <w:numFmt w:val="lowerRoman"/>
      <w:lvlText w:val="%9."/>
      <w:lvlJc w:val="right"/>
      <w:pPr>
        <w:ind w:left="6480" w:hanging="180"/>
      </w:pPr>
    </w:lvl>
  </w:abstractNum>
  <w:abstractNum w:abstractNumId="14" w15:restartNumberingAfterBreak="0">
    <w:nsid w:val="40CA49A5"/>
    <w:multiLevelType w:val="hybridMultilevel"/>
    <w:tmpl w:val="D488128E"/>
    <w:lvl w:ilvl="0" w:tplc="D05CE43C">
      <w:start w:val="1"/>
      <w:numFmt w:val="bullet"/>
      <w:lvlText w:val=""/>
      <w:lvlJc w:val="left"/>
      <w:pPr>
        <w:ind w:left="1080" w:hanging="360"/>
      </w:pPr>
      <w:rPr>
        <w:rFonts w:ascii="Wingdings" w:hAnsi="Wingdings" w:hint="default"/>
      </w:rPr>
    </w:lvl>
    <w:lvl w:ilvl="1" w:tplc="70B408C4" w:tentative="1">
      <w:start w:val="1"/>
      <w:numFmt w:val="bullet"/>
      <w:lvlText w:val="o"/>
      <w:lvlJc w:val="left"/>
      <w:pPr>
        <w:ind w:left="1800" w:hanging="360"/>
      </w:pPr>
      <w:rPr>
        <w:rFonts w:ascii="Courier New" w:hAnsi="Courier New" w:cs="Courier New" w:hint="default"/>
      </w:rPr>
    </w:lvl>
    <w:lvl w:ilvl="2" w:tplc="96CA27FE" w:tentative="1">
      <w:start w:val="1"/>
      <w:numFmt w:val="bullet"/>
      <w:lvlText w:val=""/>
      <w:lvlJc w:val="left"/>
      <w:pPr>
        <w:ind w:left="2520" w:hanging="360"/>
      </w:pPr>
      <w:rPr>
        <w:rFonts w:ascii="Wingdings" w:hAnsi="Wingdings" w:hint="default"/>
      </w:rPr>
    </w:lvl>
    <w:lvl w:ilvl="3" w:tplc="BDB2C8D0" w:tentative="1">
      <w:start w:val="1"/>
      <w:numFmt w:val="bullet"/>
      <w:lvlText w:val=""/>
      <w:lvlJc w:val="left"/>
      <w:pPr>
        <w:ind w:left="3240" w:hanging="360"/>
      </w:pPr>
      <w:rPr>
        <w:rFonts w:ascii="Symbol" w:hAnsi="Symbol" w:hint="default"/>
      </w:rPr>
    </w:lvl>
    <w:lvl w:ilvl="4" w:tplc="727A27EA" w:tentative="1">
      <w:start w:val="1"/>
      <w:numFmt w:val="bullet"/>
      <w:lvlText w:val="o"/>
      <w:lvlJc w:val="left"/>
      <w:pPr>
        <w:ind w:left="3960" w:hanging="360"/>
      </w:pPr>
      <w:rPr>
        <w:rFonts w:ascii="Courier New" w:hAnsi="Courier New" w:cs="Courier New" w:hint="default"/>
      </w:rPr>
    </w:lvl>
    <w:lvl w:ilvl="5" w:tplc="8D72D7AA" w:tentative="1">
      <w:start w:val="1"/>
      <w:numFmt w:val="bullet"/>
      <w:lvlText w:val=""/>
      <w:lvlJc w:val="left"/>
      <w:pPr>
        <w:ind w:left="4680" w:hanging="360"/>
      </w:pPr>
      <w:rPr>
        <w:rFonts w:ascii="Wingdings" w:hAnsi="Wingdings" w:hint="default"/>
      </w:rPr>
    </w:lvl>
    <w:lvl w:ilvl="6" w:tplc="332C7B4C" w:tentative="1">
      <w:start w:val="1"/>
      <w:numFmt w:val="bullet"/>
      <w:lvlText w:val=""/>
      <w:lvlJc w:val="left"/>
      <w:pPr>
        <w:ind w:left="5400" w:hanging="360"/>
      </w:pPr>
      <w:rPr>
        <w:rFonts w:ascii="Symbol" w:hAnsi="Symbol" w:hint="default"/>
      </w:rPr>
    </w:lvl>
    <w:lvl w:ilvl="7" w:tplc="8CF041AC" w:tentative="1">
      <w:start w:val="1"/>
      <w:numFmt w:val="bullet"/>
      <w:lvlText w:val="o"/>
      <w:lvlJc w:val="left"/>
      <w:pPr>
        <w:ind w:left="6120" w:hanging="360"/>
      </w:pPr>
      <w:rPr>
        <w:rFonts w:ascii="Courier New" w:hAnsi="Courier New" w:cs="Courier New" w:hint="default"/>
      </w:rPr>
    </w:lvl>
    <w:lvl w:ilvl="8" w:tplc="B49E80C4" w:tentative="1">
      <w:start w:val="1"/>
      <w:numFmt w:val="bullet"/>
      <w:lvlText w:val=""/>
      <w:lvlJc w:val="left"/>
      <w:pPr>
        <w:ind w:left="6840" w:hanging="360"/>
      </w:pPr>
      <w:rPr>
        <w:rFonts w:ascii="Wingdings" w:hAnsi="Wingdings" w:hint="default"/>
      </w:rPr>
    </w:lvl>
  </w:abstractNum>
  <w:abstractNum w:abstractNumId="15" w15:restartNumberingAfterBreak="0">
    <w:nsid w:val="4DFF6651"/>
    <w:multiLevelType w:val="hybridMultilevel"/>
    <w:tmpl w:val="F020C650"/>
    <w:lvl w:ilvl="0" w:tplc="2A263E18">
      <w:start w:val="1"/>
      <w:numFmt w:val="bullet"/>
      <w:lvlText w:val="•"/>
      <w:lvlJc w:val="left"/>
      <w:pPr>
        <w:tabs>
          <w:tab w:val="num" w:pos="720"/>
        </w:tabs>
        <w:ind w:left="720" w:hanging="360"/>
      </w:pPr>
      <w:rPr>
        <w:rFonts w:ascii="Arial" w:hAnsi="Arial" w:hint="default"/>
      </w:rPr>
    </w:lvl>
    <w:lvl w:ilvl="1" w:tplc="8634FE00">
      <w:start w:val="110"/>
      <w:numFmt w:val="bullet"/>
      <w:lvlText w:val="•"/>
      <w:lvlJc w:val="left"/>
      <w:pPr>
        <w:tabs>
          <w:tab w:val="num" w:pos="1440"/>
        </w:tabs>
        <w:ind w:left="1440" w:hanging="360"/>
      </w:pPr>
      <w:rPr>
        <w:rFonts w:ascii="Arial" w:hAnsi="Arial" w:hint="default"/>
      </w:rPr>
    </w:lvl>
    <w:lvl w:ilvl="2" w:tplc="113ED54C" w:tentative="1">
      <w:start w:val="1"/>
      <w:numFmt w:val="bullet"/>
      <w:lvlText w:val="•"/>
      <w:lvlJc w:val="left"/>
      <w:pPr>
        <w:tabs>
          <w:tab w:val="num" w:pos="2160"/>
        </w:tabs>
        <w:ind w:left="2160" w:hanging="360"/>
      </w:pPr>
      <w:rPr>
        <w:rFonts w:ascii="Arial" w:hAnsi="Arial" w:hint="default"/>
      </w:rPr>
    </w:lvl>
    <w:lvl w:ilvl="3" w:tplc="61E03940" w:tentative="1">
      <w:start w:val="1"/>
      <w:numFmt w:val="bullet"/>
      <w:lvlText w:val="•"/>
      <w:lvlJc w:val="left"/>
      <w:pPr>
        <w:tabs>
          <w:tab w:val="num" w:pos="2880"/>
        </w:tabs>
        <w:ind w:left="2880" w:hanging="360"/>
      </w:pPr>
      <w:rPr>
        <w:rFonts w:ascii="Arial" w:hAnsi="Arial" w:hint="default"/>
      </w:rPr>
    </w:lvl>
    <w:lvl w:ilvl="4" w:tplc="98068FE2" w:tentative="1">
      <w:start w:val="1"/>
      <w:numFmt w:val="bullet"/>
      <w:lvlText w:val="•"/>
      <w:lvlJc w:val="left"/>
      <w:pPr>
        <w:tabs>
          <w:tab w:val="num" w:pos="3600"/>
        </w:tabs>
        <w:ind w:left="3600" w:hanging="360"/>
      </w:pPr>
      <w:rPr>
        <w:rFonts w:ascii="Arial" w:hAnsi="Arial" w:hint="default"/>
      </w:rPr>
    </w:lvl>
    <w:lvl w:ilvl="5" w:tplc="3FAAF0C8" w:tentative="1">
      <w:start w:val="1"/>
      <w:numFmt w:val="bullet"/>
      <w:lvlText w:val="•"/>
      <w:lvlJc w:val="left"/>
      <w:pPr>
        <w:tabs>
          <w:tab w:val="num" w:pos="4320"/>
        </w:tabs>
        <w:ind w:left="4320" w:hanging="360"/>
      </w:pPr>
      <w:rPr>
        <w:rFonts w:ascii="Arial" w:hAnsi="Arial" w:hint="default"/>
      </w:rPr>
    </w:lvl>
    <w:lvl w:ilvl="6" w:tplc="ED3252F8" w:tentative="1">
      <w:start w:val="1"/>
      <w:numFmt w:val="bullet"/>
      <w:lvlText w:val="•"/>
      <w:lvlJc w:val="left"/>
      <w:pPr>
        <w:tabs>
          <w:tab w:val="num" w:pos="5040"/>
        </w:tabs>
        <w:ind w:left="5040" w:hanging="360"/>
      </w:pPr>
      <w:rPr>
        <w:rFonts w:ascii="Arial" w:hAnsi="Arial" w:hint="default"/>
      </w:rPr>
    </w:lvl>
    <w:lvl w:ilvl="7" w:tplc="81260F92" w:tentative="1">
      <w:start w:val="1"/>
      <w:numFmt w:val="bullet"/>
      <w:lvlText w:val="•"/>
      <w:lvlJc w:val="left"/>
      <w:pPr>
        <w:tabs>
          <w:tab w:val="num" w:pos="5760"/>
        </w:tabs>
        <w:ind w:left="5760" w:hanging="360"/>
      </w:pPr>
      <w:rPr>
        <w:rFonts w:ascii="Arial" w:hAnsi="Arial" w:hint="default"/>
      </w:rPr>
    </w:lvl>
    <w:lvl w:ilvl="8" w:tplc="923801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3F041A"/>
    <w:multiLevelType w:val="hybridMultilevel"/>
    <w:tmpl w:val="1D76BA48"/>
    <w:lvl w:ilvl="0" w:tplc="E14A8E28">
      <w:start w:val="1"/>
      <w:numFmt w:val="bullet"/>
      <w:lvlText w:val=""/>
      <w:lvlJc w:val="left"/>
      <w:pPr>
        <w:ind w:left="720" w:hanging="360"/>
      </w:pPr>
      <w:rPr>
        <w:rFonts w:ascii="Symbol" w:hAnsi="Symbol" w:hint="default"/>
      </w:rPr>
    </w:lvl>
    <w:lvl w:ilvl="1" w:tplc="0782744C">
      <w:start w:val="1"/>
      <w:numFmt w:val="bullet"/>
      <w:lvlText w:val="o"/>
      <w:lvlJc w:val="left"/>
      <w:pPr>
        <w:ind w:left="1440" w:hanging="360"/>
      </w:pPr>
      <w:rPr>
        <w:rFonts w:ascii="Courier New" w:hAnsi="Courier New" w:cs="Courier New" w:hint="default"/>
      </w:rPr>
    </w:lvl>
    <w:lvl w:ilvl="2" w:tplc="28FA71DC" w:tentative="1">
      <w:start w:val="1"/>
      <w:numFmt w:val="bullet"/>
      <w:lvlText w:val=""/>
      <w:lvlJc w:val="left"/>
      <w:pPr>
        <w:ind w:left="2160" w:hanging="360"/>
      </w:pPr>
      <w:rPr>
        <w:rFonts w:ascii="Wingdings" w:hAnsi="Wingdings" w:hint="default"/>
      </w:rPr>
    </w:lvl>
    <w:lvl w:ilvl="3" w:tplc="8D965278" w:tentative="1">
      <w:start w:val="1"/>
      <w:numFmt w:val="bullet"/>
      <w:lvlText w:val=""/>
      <w:lvlJc w:val="left"/>
      <w:pPr>
        <w:ind w:left="2880" w:hanging="360"/>
      </w:pPr>
      <w:rPr>
        <w:rFonts w:ascii="Symbol" w:hAnsi="Symbol" w:hint="default"/>
      </w:rPr>
    </w:lvl>
    <w:lvl w:ilvl="4" w:tplc="1D14CFAE" w:tentative="1">
      <w:start w:val="1"/>
      <w:numFmt w:val="bullet"/>
      <w:lvlText w:val="o"/>
      <w:lvlJc w:val="left"/>
      <w:pPr>
        <w:ind w:left="3600" w:hanging="360"/>
      </w:pPr>
      <w:rPr>
        <w:rFonts w:ascii="Courier New" w:hAnsi="Courier New" w:cs="Courier New" w:hint="default"/>
      </w:rPr>
    </w:lvl>
    <w:lvl w:ilvl="5" w:tplc="DFAEBB4E" w:tentative="1">
      <w:start w:val="1"/>
      <w:numFmt w:val="bullet"/>
      <w:lvlText w:val=""/>
      <w:lvlJc w:val="left"/>
      <w:pPr>
        <w:ind w:left="4320" w:hanging="360"/>
      </w:pPr>
      <w:rPr>
        <w:rFonts w:ascii="Wingdings" w:hAnsi="Wingdings" w:hint="default"/>
      </w:rPr>
    </w:lvl>
    <w:lvl w:ilvl="6" w:tplc="3014F0D8" w:tentative="1">
      <w:start w:val="1"/>
      <w:numFmt w:val="bullet"/>
      <w:lvlText w:val=""/>
      <w:lvlJc w:val="left"/>
      <w:pPr>
        <w:ind w:left="5040" w:hanging="360"/>
      </w:pPr>
      <w:rPr>
        <w:rFonts w:ascii="Symbol" w:hAnsi="Symbol" w:hint="default"/>
      </w:rPr>
    </w:lvl>
    <w:lvl w:ilvl="7" w:tplc="314C8952" w:tentative="1">
      <w:start w:val="1"/>
      <w:numFmt w:val="bullet"/>
      <w:lvlText w:val="o"/>
      <w:lvlJc w:val="left"/>
      <w:pPr>
        <w:ind w:left="5760" w:hanging="360"/>
      </w:pPr>
      <w:rPr>
        <w:rFonts w:ascii="Courier New" w:hAnsi="Courier New" w:cs="Courier New" w:hint="default"/>
      </w:rPr>
    </w:lvl>
    <w:lvl w:ilvl="8" w:tplc="B0E23F98" w:tentative="1">
      <w:start w:val="1"/>
      <w:numFmt w:val="bullet"/>
      <w:lvlText w:val=""/>
      <w:lvlJc w:val="left"/>
      <w:pPr>
        <w:ind w:left="6480" w:hanging="360"/>
      </w:pPr>
      <w:rPr>
        <w:rFonts w:ascii="Wingdings" w:hAnsi="Wingdings" w:hint="default"/>
      </w:rPr>
    </w:lvl>
  </w:abstractNum>
  <w:abstractNum w:abstractNumId="17" w15:restartNumberingAfterBreak="0">
    <w:nsid w:val="55E15FE7"/>
    <w:multiLevelType w:val="hybridMultilevel"/>
    <w:tmpl w:val="706659AC"/>
    <w:lvl w:ilvl="0" w:tplc="4D50512C">
      <w:start w:val="1"/>
      <w:numFmt w:val="bullet"/>
      <w:lvlText w:val=""/>
      <w:lvlJc w:val="left"/>
      <w:pPr>
        <w:ind w:left="360" w:hanging="360"/>
      </w:pPr>
      <w:rPr>
        <w:rFonts w:ascii="Wingdings" w:hAnsi="Wingdings" w:hint="default"/>
        <w:color w:val="auto"/>
        <w:sz w:val="24"/>
        <w:szCs w:val="24"/>
      </w:rPr>
    </w:lvl>
    <w:lvl w:ilvl="1" w:tplc="70C4AE0C">
      <w:start w:val="1"/>
      <w:numFmt w:val="bullet"/>
      <w:lvlText w:val="o"/>
      <w:lvlJc w:val="left"/>
      <w:pPr>
        <w:ind w:left="1080" w:hanging="360"/>
      </w:pPr>
      <w:rPr>
        <w:rFonts w:ascii="Courier New" w:hAnsi="Courier New" w:cs="Courier New" w:hint="default"/>
      </w:rPr>
    </w:lvl>
    <w:lvl w:ilvl="2" w:tplc="B0BA64A8" w:tentative="1">
      <w:start w:val="1"/>
      <w:numFmt w:val="bullet"/>
      <w:lvlText w:val=""/>
      <w:lvlJc w:val="left"/>
      <w:pPr>
        <w:ind w:left="1800" w:hanging="360"/>
      </w:pPr>
      <w:rPr>
        <w:rFonts w:ascii="Wingdings" w:hAnsi="Wingdings" w:hint="default"/>
      </w:rPr>
    </w:lvl>
    <w:lvl w:ilvl="3" w:tplc="FA927E54" w:tentative="1">
      <w:start w:val="1"/>
      <w:numFmt w:val="bullet"/>
      <w:lvlText w:val=""/>
      <w:lvlJc w:val="left"/>
      <w:pPr>
        <w:ind w:left="2520" w:hanging="360"/>
      </w:pPr>
      <w:rPr>
        <w:rFonts w:ascii="Symbol" w:hAnsi="Symbol" w:hint="default"/>
      </w:rPr>
    </w:lvl>
    <w:lvl w:ilvl="4" w:tplc="BFE422E8" w:tentative="1">
      <w:start w:val="1"/>
      <w:numFmt w:val="bullet"/>
      <w:lvlText w:val="o"/>
      <w:lvlJc w:val="left"/>
      <w:pPr>
        <w:ind w:left="3240" w:hanging="360"/>
      </w:pPr>
      <w:rPr>
        <w:rFonts w:ascii="Courier New" w:hAnsi="Courier New" w:cs="Courier New" w:hint="default"/>
      </w:rPr>
    </w:lvl>
    <w:lvl w:ilvl="5" w:tplc="A77E1E68" w:tentative="1">
      <w:start w:val="1"/>
      <w:numFmt w:val="bullet"/>
      <w:lvlText w:val=""/>
      <w:lvlJc w:val="left"/>
      <w:pPr>
        <w:ind w:left="3960" w:hanging="360"/>
      </w:pPr>
      <w:rPr>
        <w:rFonts w:ascii="Wingdings" w:hAnsi="Wingdings" w:hint="default"/>
      </w:rPr>
    </w:lvl>
    <w:lvl w:ilvl="6" w:tplc="F81E3826" w:tentative="1">
      <w:start w:val="1"/>
      <w:numFmt w:val="bullet"/>
      <w:lvlText w:val=""/>
      <w:lvlJc w:val="left"/>
      <w:pPr>
        <w:ind w:left="4680" w:hanging="360"/>
      </w:pPr>
      <w:rPr>
        <w:rFonts w:ascii="Symbol" w:hAnsi="Symbol" w:hint="default"/>
      </w:rPr>
    </w:lvl>
    <w:lvl w:ilvl="7" w:tplc="79CAC976" w:tentative="1">
      <w:start w:val="1"/>
      <w:numFmt w:val="bullet"/>
      <w:lvlText w:val="o"/>
      <w:lvlJc w:val="left"/>
      <w:pPr>
        <w:ind w:left="5400" w:hanging="360"/>
      </w:pPr>
      <w:rPr>
        <w:rFonts w:ascii="Courier New" w:hAnsi="Courier New" w:cs="Courier New" w:hint="default"/>
      </w:rPr>
    </w:lvl>
    <w:lvl w:ilvl="8" w:tplc="6D4C7982" w:tentative="1">
      <w:start w:val="1"/>
      <w:numFmt w:val="bullet"/>
      <w:lvlText w:val=""/>
      <w:lvlJc w:val="left"/>
      <w:pPr>
        <w:ind w:left="6120" w:hanging="360"/>
      </w:pPr>
      <w:rPr>
        <w:rFonts w:ascii="Wingdings" w:hAnsi="Wingdings" w:hint="default"/>
      </w:rPr>
    </w:lvl>
  </w:abstractNum>
  <w:abstractNum w:abstractNumId="18" w15:restartNumberingAfterBreak="0">
    <w:nsid w:val="57FE0056"/>
    <w:multiLevelType w:val="hybridMultilevel"/>
    <w:tmpl w:val="3E1638A6"/>
    <w:lvl w:ilvl="0" w:tplc="D786E056">
      <w:start w:val="1"/>
      <w:numFmt w:val="bullet"/>
      <w:lvlText w:val=""/>
      <w:lvlJc w:val="left"/>
      <w:pPr>
        <w:ind w:left="720" w:hanging="360"/>
      </w:pPr>
      <w:rPr>
        <w:rFonts w:ascii="Symbol" w:hAnsi="Symbol" w:hint="default"/>
      </w:rPr>
    </w:lvl>
    <w:lvl w:ilvl="1" w:tplc="CDDC2580">
      <w:start w:val="1"/>
      <w:numFmt w:val="bullet"/>
      <w:lvlText w:val="o"/>
      <w:lvlJc w:val="left"/>
      <w:pPr>
        <w:ind w:left="1440" w:hanging="360"/>
      </w:pPr>
      <w:rPr>
        <w:rFonts w:ascii="Courier New" w:hAnsi="Courier New" w:cs="Courier New" w:hint="default"/>
      </w:rPr>
    </w:lvl>
    <w:lvl w:ilvl="2" w:tplc="F82A1B8E">
      <w:start w:val="1"/>
      <w:numFmt w:val="bullet"/>
      <w:lvlText w:val=""/>
      <w:lvlJc w:val="left"/>
      <w:pPr>
        <w:ind w:left="2160" w:hanging="360"/>
      </w:pPr>
      <w:rPr>
        <w:rFonts w:ascii="Wingdings" w:hAnsi="Wingdings" w:hint="default"/>
      </w:rPr>
    </w:lvl>
    <w:lvl w:ilvl="3" w:tplc="737CCDDC">
      <w:start w:val="1"/>
      <w:numFmt w:val="bullet"/>
      <w:lvlText w:val=""/>
      <w:lvlJc w:val="left"/>
      <w:pPr>
        <w:ind w:left="2880" w:hanging="360"/>
      </w:pPr>
      <w:rPr>
        <w:rFonts w:ascii="Symbol" w:hAnsi="Symbol" w:hint="default"/>
      </w:rPr>
    </w:lvl>
    <w:lvl w:ilvl="4" w:tplc="05249950">
      <w:start w:val="1"/>
      <w:numFmt w:val="bullet"/>
      <w:lvlText w:val="o"/>
      <w:lvlJc w:val="left"/>
      <w:pPr>
        <w:ind w:left="3600" w:hanging="360"/>
      </w:pPr>
      <w:rPr>
        <w:rFonts w:ascii="Courier New" w:hAnsi="Courier New" w:cs="Courier New" w:hint="default"/>
      </w:rPr>
    </w:lvl>
    <w:lvl w:ilvl="5" w:tplc="3DB0E6DC">
      <w:start w:val="1"/>
      <w:numFmt w:val="bullet"/>
      <w:lvlText w:val=""/>
      <w:lvlJc w:val="left"/>
      <w:pPr>
        <w:ind w:left="4320" w:hanging="360"/>
      </w:pPr>
      <w:rPr>
        <w:rFonts w:ascii="Wingdings" w:hAnsi="Wingdings" w:hint="default"/>
      </w:rPr>
    </w:lvl>
    <w:lvl w:ilvl="6" w:tplc="28245F36">
      <w:start w:val="1"/>
      <w:numFmt w:val="bullet"/>
      <w:lvlText w:val=""/>
      <w:lvlJc w:val="left"/>
      <w:pPr>
        <w:ind w:left="5040" w:hanging="360"/>
      </w:pPr>
      <w:rPr>
        <w:rFonts w:ascii="Symbol" w:hAnsi="Symbol" w:hint="default"/>
      </w:rPr>
    </w:lvl>
    <w:lvl w:ilvl="7" w:tplc="11121EA2">
      <w:start w:val="1"/>
      <w:numFmt w:val="bullet"/>
      <w:lvlText w:val="o"/>
      <w:lvlJc w:val="left"/>
      <w:pPr>
        <w:ind w:left="5760" w:hanging="360"/>
      </w:pPr>
      <w:rPr>
        <w:rFonts w:ascii="Courier New" w:hAnsi="Courier New" w:cs="Courier New" w:hint="default"/>
      </w:rPr>
    </w:lvl>
    <w:lvl w:ilvl="8" w:tplc="8A3CBE1E">
      <w:start w:val="1"/>
      <w:numFmt w:val="bullet"/>
      <w:lvlText w:val=""/>
      <w:lvlJc w:val="left"/>
      <w:pPr>
        <w:ind w:left="6480" w:hanging="360"/>
      </w:pPr>
      <w:rPr>
        <w:rFonts w:ascii="Wingdings" w:hAnsi="Wingdings" w:hint="default"/>
      </w:rPr>
    </w:lvl>
  </w:abstractNum>
  <w:abstractNum w:abstractNumId="19" w15:restartNumberingAfterBreak="0">
    <w:nsid w:val="61F12BEA"/>
    <w:multiLevelType w:val="hybridMultilevel"/>
    <w:tmpl w:val="D4BA8082"/>
    <w:lvl w:ilvl="0" w:tplc="A83A650C">
      <w:start w:val="1"/>
      <w:numFmt w:val="bullet"/>
      <w:lvlText w:val=""/>
      <w:lvlJc w:val="left"/>
      <w:pPr>
        <w:ind w:left="1080" w:hanging="360"/>
      </w:pPr>
      <w:rPr>
        <w:rFonts w:ascii="Wingdings" w:hAnsi="Wingdings" w:hint="default"/>
      </w:rPr>
    </w:lvl>
    <w:lvl w:ilvl="1" w:tplc="D236E2CC" w:tentative="1">
      <w:start w:val="1"/>
      <w:numFmt w:val="bullet"/>
      <w:lvlText w:val="o"/>
      <w:lvlJc w:val="left"/>
      <w:pPr>
        <w:ind w:left="1800" w:hanging="360"/>
      </w:pPr>
      <w:rPr>
        <w:rFonts w:ascii="Courier New" w:hAnsi="Courier New" w:cs="Courier New" w:hint="default"/>
      </w:rPr>
    </w:lvl>
    <w:lvl w:ilvl="2" w:tplc="4E187138" w:tentative="1">
      <w:start w:val="1"/>
      <w:numFmt w:val="bullet"/>
      <w:lvlText w:val=""/>
      <w:lvlJc w:val="left"/>
      <w:pPr>
        <w:ind w:left="2520" w:hanging="360"/>
      </w:pPr>
      <w:rPr>
        <w:rFonts w:ascii="Wingdings" w:hAnsi="Wingdings" w:hint="default"/>
      </w:rPr>
    </w:lvl>
    <w:lvl w:ilvl="3" w:tplc="10F04896" w:tentative="1">
      <w:start w:val="1"/>
      <w:numFmt w:val="bullet"/>
      <w:lvlText w:val=""/>
      <w:lvlJc w:val="left"/>
      <w:pPr>
        <w:ind w:left="3240" w:hanging="360"/>
      </w:pPr>
      <w:rPr>
        <w:rFonts w:ascii="Symbol" w:hAnsi="Symbol" w:hint="default"/>
      </w:rPr>
    </w:lvl>
    <w:lvl w:ilvl="4" w:tplc="0CB4A254" w:tentative="1">
      <w:start w:val="1"/>
      <w:numFmt w:val="bullet"/>
      <w:lvlText w:val="o"/>
      <w:lvlJc w:val="left"/>
      <w:pPr>
        <w:ind w:left="3960" w:hanging="360"/>
      </w:pPr>
      <w:rPr>
        <w:rFonts w:ascii="Courier New" w:hAnsi="Courier New" w:cs="Courier New" w:hint="default"/>
      </w:rPr>
    </w:lvl>
    <w:lvl w:ilvl="5" w:tplc="0D0E52EA" w:tentative="1">
      <w:start w:val="1"/>
      <w:numFmt w:val="bullet"/>
      <w:lvlText w:val=""/>
      <w:lvlJc w:val="left"/>
      <w:pPr>
        <w:ind w:left="4680" w:hanging="360"/>
      </w:pPr>
      <w:rPr>
        <w:rFonts w:ascii="Wingdings" w:hAnsi="Wingdings" w:hint="default"/>
      </w:rPr>
    </w:lvl>
    <w:lvl w:ilvl="6" w:tplc="6222404A" w:tentative="1">
      <w:start w:val="1"/>
      <w:numFmt w:val="bullet"/>
      <w:lvlText w:val=""/>
      <w:lvlJc w:val="left"/>
      <w:pPr>
        <w:ind w:left="5400" w:hanging="360"/>
      </w:pPr>
      <w:rPr>
        <w:rFonts w:ascii="Symbol" w:hAnsi="Symbol" w:hint="default"/>
      </w:rPr>
    </w:lvl>
    <w:lvl w:ilvl="7" w:tplc="B09E08E2" w:tentative="1">
      <w:start w:val="1"/>
      <w:numFmt w:val="bullet"/>
      <w:lvlText w:val="o"/>
      <w:lvlJc w:val="left"/>
      <w:pPr>
        <w:ind w:left="6120" w:hanging="360"/>
      </w:pPr>
      <w:rPr>
        <w:rFonts w:ascii="Courier New" w:hAnsi="Courier New" w:cs="Courier New" w:hint="default"/>
      </w:rPr>
    </w:lvl>
    <w:lvl w:ilvl="8" w:tplc="4AA0685A" w:tentative="1">
      <w:start w:val="1"/>
      <w:numFmt w:val="bullet"/>
      <w:lvlText w:val=""/>
      <w:lvlJc w:val="left"/>
      <w:pPr>
        <w:ind w:left="6840" w:hanging="360"/>
      </w:pPr>
      <w:rPr>
        <w:rFonts w:ascii="Wingdings" w:hAnsi="Wingdings" w:hint="default"/>
      </w:rPr>
    </w:lvl>
  </w:abstractNum>
  <w:abstractNum w:abstractNumId="20" w15:restartNumberingAfterBreak="0">
    <w:nsid w:val="623A0EE0"/>
    <w:multiLevelType w:val="hybridMultilevel"/>
    <w:tmpl w:val="A3A22F8E"/>
    <w:lvl w:ilvl="0" w:tplc="6BF61AD0">
      <w:start w:val="1"/>
      <w:numFmt w:val="bullet"/>
      <w:lvlText w:val=""/>
      <w:lvlJc w:val="left"/>
      <w:pPr>
        <w:ind w:left="720" w:hanging="360"/>
      </w:pPr>
      <w:rPr>
        <w:rFonts w:ascii="Wingdings" w:hAnsi="Wingdings" w:hint="default"/>
      </w:rPr>
    </w:lvl>
    <w:lvl w:ilvl="1" w:tplc="1C58A07E" w:tentative="1">
      <w:start w:val="1"/>
      <w:numFmt w:val="bullet"/>
      <w:lvlText w:val="o"/>
      <w:lvlJc w:val="left"/>
      <w:pPr>
        <w:ind w:left="1440" w:hanging="360"/>
      </w:pPr>
      <w:rPr>
        <w:rFonts w:ascii="Courier New" w:hAnsi="Courier New" w:cs="Courier New" w:hint="default"/>
      </w:rPr>
    </w:lvl>
    <w:lvl w:ilvl="2" w:tplc="9626C9FE" w:tentative="1">
      <w:start w:val="1"/>
      <w:numFmt w:val="bullet"/>
      <w:lvlText w:val=""/>
      <w:lvlJc w:val="left"/>
      <w:pPr>
        <w:ind w:left="2160" w:hanging="360"/>
      </w:pPr>
      <w:rPr>
        <w:rFonts w:ascii="Wingdings" w:hAnsi="Wingdings" w:hint="default"/>
      </w:rPr>
    </w:lvl>
    <w:lvl w:ilvl="3" w:tplc="B6D6C364" w:tentative="1">
      <w:start w:val="1"/>
      <w:numFmt w:val="bullet"/>
      <w:lvlText w:val=""/>
      <w:lvlJc w:val="left"/>
      <w:pPr>
        <w:ind w:left="2880" w:hanging="360"/>
      </w:pPr>
      <w:rPr>
        <w:rFonts w:ascii="Symbol" w:hAnsi="Symbol" w:hint="default"/>
      </w:rPr>
    </w:lvl>
    <w:lvl w:ilvl="4" w:tplc="482C26B0" w:tentative="1">
      <w:start w:val="1"/>
      <w:numFmt w:val="bullet"/>
      <w:lvlText w:val="o"/>
      <w:lvlJc w:val="left"/>
      <w:pPr>
        <w:ind w:left="3600" w:hanging="360"/>
      </w:pPr>
      <w:rPr>
        <w:rFonts w:ascii="Courier New" w:hAnsi="Courier New" w:cs="Courier New" w:hint="default"/>
      </w:rPr>
    </w:lvl>
    <w:lvl w:ilvl="5" w:tplc="718C9592" w:tentative="1">
      <w:start w:val="1"/>
      <w:numFmt w:val="bullet"/>
      <w:lvlText w:val=""/>
      <w:lvlJc w:val="left"/>
      <w:pPr>
        <w:ind w:left="4320" w:hanging="360"/>
      </w:pPr>
      <w:rPr>
        <w:rFonts w:ascii="Wingdings" w:hAnsi="Wingdings" w:hint="default"/>
      </w:rPr>
    </w:lvl>
    <w:lvl w:ilvl="6" w:tplc="99A60066" w:tentative="1">
      <w:start w:val="1"/>
      <w:numFmt w:val="bullet"/>
      <w:lvlText w:val=""/>
      <w:lvlJc w:val="left"/>
      <w:pPr>
        <w:ind w:left="5040" w:hanging="360"/>
      </w:pPr>
      <w:rPr>
        <w:rFonts w:ascii="Symbol" w:hAnsi="Symbol" w:hint="default"/>
      </w:rPr>
    </w:lvl>
    <w:lvl w:ilvl="7" w:tplc="8CD66CE0" w:tentative="1">
      <w:start w:val="1"/>
      <w:numFmt w:val="bullet"/>
      <w:lvlText w:val="o"/>
      <w:lvlJc w:val="left"/>
      <w:pPr>
        <w:ind w:left="5760" w:hanging="360"/>
      </w:pPr>
      <w:rPr>
        <w:rFonts w:ascii="Courier New" w:hAnsi="Courier New" w:cs="Courier New" w:hint="default"/>
      </w:rPr>
    </w:lvl>
    <w:lvl w:ilvl="8" w:tplc="59F2FE8C" w:tentative="1">
      <w:start w:val="1"/>
      <w:numFmt w:val="bullet"/>
      <w:lvlText w:val=""/>
      <w:lvlJc w:val="left"/>
      <w:pPr>
        <w:ind w:left="6480" w:hanging="360"/>
      </w:pPr>
      <w:rPr>
        <w:rFonts w:ascii="Wingdings" w:hAnsi="Wingdings" w:hint="default"/>
      </w:rPr>
    </w:lvl>
  </w:abstractNum>
  <w:abstractNum w:abstractNumId="21" w15:restartNumberingAfterBreak="0">
    <w:nsid w:val="63C721C9"/>
    <w:multiLevelType w:val="hybridMultilevel"/>
    <w:tmpl w:val="8EB677D8"/>
    <w:lvl w:ilvl="0" w:tplc="B93A6CB2">
      <w:start w:val="1"/>
      <w:numFmt w:val="bullet"/>
      <w:lvlText w:val=""/>
      <w:lvlJc w:val="left"/>
      <w:pPr>
        <w:tabs>
          <w:tab w:val="num" w:pos="720"/>
        </w:tabs>
        <w:ind w:left="720" w:hanging="360"/>
      </w:pPr>
      <w:rPr>
        <w:rFonts w:ascii="Wingdings" w:hAnsi="Wingdings" w:hint="default"/>
      </w:rPr>
    </w:lvl>
    <w:lvl w:ilvl="1" w:tplc="4F9454B4">
      <w:start w:val="1"/>
      <w:numFmt w:val="bullet"/>
      <w:lvlText w:val=""/>
      <w:lvlJc w:val="left"/>
      <w:pPr>
        <w:tabs>
          <w:tab w:val="num" w:pos="1440"/>
        </w:tabs>
        <w:ind w:left="1440" w:hanging="360"/>
      </w:pPr>
      <w:rPr>
        <w:rFonts w:ascii="Wingdings" w:hAnsi="Wingdings" w:hint="default"/>
      </w:rPr>
    </w:lvl>
    <w:lvl w:ilvl="2" w:tplc="D63EAE1A">
      <w:start w:val="1"/>
      <w:numFmt w:val="bullet"/>
      <w:lvlText w:val=""/>
      <w:lvlJc w:val="left"/>
      <w:pPr>
        <w:tabs>
          <w:tab w:val="num" w:pos="2160"/>
        </w:tabs>
        <w:ind w:left="2160" w:hanging="360"/>
      </w:pPr>
      <w:rPr>
        <w:rFonts w:ascii="Wingdings" w:hAnsi="Wingdings" w:hint="default"/>
      </w:rPr>
    </w:lvl>
    <w:lvl w:ilvl="3" w:tplc="94E497B6">
      <w:start w:val="1"/>
      <w:numFmt w:val="bullet"/>
      <w:lvlText w:val=""/>
      <w:lvlJc w:val="left"/>
      <w:pPr>
        <w:tabs>
          <w:tab w:val="num" w:pos="2880"/>
        </w:tabs>
        <w:ind w:left="2880" w:hanging="360"/>
      </w:pPr>
      <w:rPr>
        <w:rFonts w:ascii="Wingdings" w:hAnsi="Wingdings" w:hint="default"/>
      </w:rPr>
    </w:lvl>
    <w:lvl w:ilvl="4" w:tplc="C68A1814">
      <w:start w:val="1"/>
      <w:numFmt w:val="bullet"/>
      <w:lvlText w:val=""/>
      <w:lvlJc w:val="left"/>
      <w:pPr>
        <w:tabs>
          <w:tab w:val="num" w:pos="3600"/>
        </w:tabs>
        <w:ind w:left="3600" w:hanging="360"/>
      </w:pPr>
      <w:rPr>
        <w:rFonts w:ascii="Wingdings" w:hAnsi="Wingdings" w:hint="default"/>
      </w:rPr>
    </w:lvl>
    <w:lvl w:ilvl="5" w:tplc="1A327936">
      <w:start w:val="1"/>
      <w:numFmt w:val="bullet"/>
      <w:lvlText w:val=""/>
      <w:lvlJc w:val="left"/>
      <w:pPr>
        <w:tabs>
          <w:tab w:val="num" w:pos="4320"/>
        </w:tabs>
        <w:ind w:left="4320" w:hanging="360"/>
      </w:pPr>
      <w:rPr>
        <w:rFonts w:ascii="Wingdings" w:hAnsi="Wingdings" w:hint="default"/>
      </w:rPr>
    </w:lvl>
    <w:lvl w:ilvl="6" w:tplc="8E582D80">
      <w:start w:val="1"/>
      <w:numFmt w:val="bullet"/>
      <w:lvlText w:val=""/>
      <w:lvlJc w:val="left"/>
      <w:pPr>
        <w:tabs>
          <w:tab w:val="num" w:pos="5040"/>
        </w:tabs>
        <w:ind w:left="5040" w:hanging="360"/>
      </w:pPr>
      <w:rPr>
        <w:rFonts w:ascii="Wingdings" w:hAnsi="Wingdings" w:hint="default"/>
      </w:rPr>
    </w:lvl>
    <w:lvl w:ilvl="7" w:tplc="ECDEADD2">
      <w:start w:val="1"/>
      <w:numFmt w:val="bullet"/>
      <w:lvlText w:val=""/>
      <w:lvlJc w:val="left"/>
      <w:pPr>
        <w:tabs>
          <w:tab w:val="num" w:pos="5760"/>
        </w:tabs>
        <w:ind w:left="5760" w:hanging="360"/>
      </w:pPr>
      <w:rPr>
        <w:rFonts w:ascii="Wingdings" w:hAnsi="Wingdings" w:hint="default"/>
      </w:rPr>
    </w:lvl>
    <w:lvl w:ilvl="8" w:tplc="E092041E">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F3F09"/>
    <w:multiLevelType w:val="hybridMultilevel"/>
    <w:tmpl w:val="F9DAA404"/>
    <w:lvl w:ilvl="0" w:tplc="311C6082">
      <w:start w:val="1"/>
      <w:numFmt w:val="bullet"/>
      <w:lvlText w:val=""/>
      <w:lvlJc w:val="left"/>
      <w:pPr>
        <w:ind w:left="720" w:hanging="360"/>
      </w:pPr>
      <w:rPr>
        <w:rFonts w:ascii="Symbol" w:hAnsi="Symbol" w:hint="default"/>
      </w:rPr>
    </w:lvl>
    <w:lvl w:ilvl="1" w:tplc="F8CEA9BE">
      <w:start w:val="1"/>
      <w:numFmt w:val="bullet"/>
      <w:lvlText w:val="o"/>
      <w:lvlJc w:val="left"/>
      <w:pPr>
        <w:ind w:left="1440" w:hanging="360"/>
      </w:pPr>
      <w:rPr>
        <w:rFonts w:ascii="Courier New" w:hAnsi="Courier New" w:cs="Courier New" w:hint="default"/>
      </w:rPr>
    </w:lvl>
    <w:lvl w:ilvl="2" w:tplc="9094F056">
      <w:start w:val="1"/>
      <w:numFmt w:val="bullet"/>
      <w:lvlText w:val=""/>
      <w:lvlJc w:val="left"/>
      <w:pPr>
        <w:ind w:left="2160" w:hanging="360"/>
      </w:pPr>
      <w:rPr>
        <w:rFonts w:ascii="Wingdings" w:hAnsi="Wingdings" w:hint="default"/>
      </w:rPr>
    </w:lvl>
    <w:lvl w:ilvl="3" w:tplc="B486F1C0">
      <w:start w:val="1"/>
      <w:numFmt w:val="bullet"/>
      <w:lvlText w:val=""/>
      <w:lvlJc w:val="left"/>
      <w:pPr>
        <w:ind w:left="2880" w:hanging="360"/>
      </w:pPr>
      <w:rPr>
        <w:rFonts w:ascii="Symbol" w:hAnsi="Symbol" w:hint="default"/>
      </w:rPr>
    </w:lvl>
    <w:lvl w:ilvl="4" w:tplc="E32006AA">
      <w:start w:val="1"/>
      <w:numFmt w:val="bullet"/>
      <w:lvlText w:val="o"/>
      <w:lvlJc w:val="left"/>
      <w:pPr>
        <w:ind w:left="3600" w:hanging="360"/>
      </w:pPr>
      <w:rPr>
        <w:rFonts w:ascii="Courier New" w:hAnsi="Courier New" w:cs="Courier New" w:hint="default"/>
      </w:rPr>
    </w:lvl>
    <w:lvl w:ilvl="5" w:tplc="113A4042">
      <w:start w:val="1"/>
      <w:numFmt w:val="bullet"/>
      <w:lvlText w:val=""/>
      <w:lvlJc w:val="left"/>
      <w:pPr>
        <w:ind w:left="4320" w:hanging="360"/>
      </w:pPr>
      <w:rPr>
        <w:rFonts w:ascii="Wingdings" w:hAnsi="Wingdings" w:hint="default"/>
      </w:rPr>
    </w:lvl>
    <w:lvl w:ilvl="6" w:tplc="8FECBF38">
      <w:start w:val="1"/>
      <w:numFmt w:val="bullet"/>
      <w:lvlText w:val=""/>
      <w:lvlJc w:val="left"/>
      <w:pPr>
        <w:ind w:left="5040" w:hanging="360"/>
      </w:pPr>
      <w:rPr>
        <w:rFonts w:ascii="Symbol" w:hAnsi="Symbol" w:hint="default"/>
      </w:rPr>
    </w:lvl>
    <w:lvl w:ilvl="7" w:tplc="4CD2A5FC">
      <w:start w:val="1"/>
      <w:numFmt w:val="bullet"/>
      <w:lvlText w:val="o"/>
      <w:lvlJc w:val="left"/>
      <w:pPr>
        <w:ind w:left="5760" w:hanging="360"/>
      </w:pPr>
      <w:rPr>
        <w:rFonts w:ascii="Courier New" w:hAnsi="Courier New" w:cs="Courier New" w:hint="default"/>
      </w:rPr>
    </w:lvl>
    <w:lvl w:ilvl="8" w:tplc="591C1818">
      <w:start w:val="1"/>
      <w:numFmt w:val="bullet"/>
      <w:lvlText w:val=""/>
      <w:lvlJc w:val="left"/>
      <w:pPr>
        <w:ind w:left="6480" w:hanging="360"/>
      </w:pPr>
      <w:rPr>
        <w:rFonts w:ascii="Wingdings" w:hAnsi="Wingdings" w:hint="default"/>
      </w:rPr>
    </w:lvl>
  </w:abstractNum>
  <w:abstractNum w:abstractNumId="23" w15:restartNumberingAfterBreak="0">
    <w:nsid w:val="66C97829"/>
    <w:multiLevelType w:val="hybridMultilevel"/>
    <w:tmpl w:val="DC4CD442"/>
    <w:lvl w:ilvl="0" w:tplc="F626BECE">
      <w:start w:val="1"/>
      <w:numFmt w:val="bullet"/>
      <w:lvlText w:val=""/>
      <w:lvlJc w:val="left"/>
      <w:pPr>
        <w:ind w:left="360" w:hanging="360"/>
      </w:pPr>
      <w:rPr>
        <w:rFonts w:ascii="Wingdings" w:hAnsi="Wingdings" w:hint="default"/>
      </w:rPr>
    </w:lvl>
    <w:lvl w:ilvl="1" w:tplc="835618D0" w:tentative="1">
      <w:start w:val="1"/>
      <w:numFmt w:val="bullet"/>
      <w:lvlText w:val="o"/>
      <w:lvlJc w:val="left"/>
      <w:pPr>
        <w:ind w:left="1080" w:hanging="360"/>
      </w:pPr>
      <w:rPr>
        <w:rFonts w:ascii="Courier New" w:hAnsi="Courier New" w:cs="Courier New" w:hint="default"/>
      </w:rPr>
    </w:lvl>
    <w:lvl w:ilvl="2" w:tplc="56101CA4" w:tentative="1">
      <w:start w:val="1"/>
      <w:numFmt w:val="bullet"/>
      <w:lvlText w:val=""/>
      <w:lvlJc w:val="left"/>
      <w:pPr>
        <w:ind w:left="1800" w:hanging="360"/>
      </w:pPr>
      <w:rPr>
        <w:rFonts w:ascii="Wingdings" w:hAnsi="Wingdings" w:hint="default"/>
      </w:rPr>
    </w:lvl>
    <w:lvl w:ilvl="3" w:tplc="04688744" w:tentative="1">
      <w:start w:val="1"/>
      <w:numFmt w:val="bullet"/>
      <w:lvlText w:val=""/>
      <w:lvlJc w:val="left"/>
      <w:pPr>
        <w:ind w:left="2520" w:hanging="360"/>
      </w:pPr>
      <w:rPr>
        <w:rFonts w:ascii="Symbol" w:hAnsi="Symbol" w:hint="default"/>
      </w:rPr>
    </w:lvl>
    <w:lvl w:ilvl="4" w:tplc="BEF692E6" w:tentative="1">
      <w:start w:val="1"/>
      <w:numFmt w:val="bullet"/>
      <w:lvlText w:val="o"/>
      <w:lvlJc w:val="left"/>
      <w:pPr>
        <w:ind w:left="3240" w:hanging="360"/>
      </w:pPr>
      <w:rPr>
        <w:rFonts w:ascii="Courier New" w:hAnsi="Courier New" w:cs="Courier New" w:hint="default"/>
      </w:rPr>
    </w:lvl>
    <w:lvl w:ilvl="5" w:tplc="1AB873A6" w:tentative="1">
      <w:start w:val="1"/>
      <w:numFmt w:val="bullet"/>
      <w:lvlText w:val=""/>
      <w:lvlJc w:val="left"/>
      <w:pPr>
        <w:ind w:left="3960" w:hanging="360"/>
      </w:pPr>
      <w:rPr>
        <w:rFonts w:ascii="Wingdings" w:hAnsi="Wingdings" w:hint="default"/>
      </w:rPr>
    </w:lvl>
    <w:lvl w:ilvl="6" w:tplc="1DFA4060" w:tentative="1">
      <w:start w:val="1"/>
      <w:numFmt w:val="bullet"/>
      <w:lvlText w:val=""/>
      <w:lvlJc w:val="left"/>
      <w:pPr>
        <w:ind w:left="4680" w:hanging="360"/>
      </w:pPr>
      <w:rPr>
        <w:rFonts w:ascii="Symbol" w:hAnsi="Symbol" w:hint="default"/>
      </w:rPr>
    </w:lvl>
    <w:lvl w:ilvl="7" w:tplc="1E201B8E" w:tentative="1">
      <w:start w:val="1"/>
      <w:numFmt w:val="bullet"/>
      <w:lvlText w:val="o"/>
      <w:lvlJc w:val="left"/>
      <w:pPr>
        <w:ind w:left="5400" w:hanging="360"/>
      </w:pPr>
      <w:rPr>
        <w:rFonts w:ascii="Courier New" w:hAnsi="Courier New" w:cs="Courier New" w:hint="default"/>
      </w:rPr>
    </w:lvl>
    <w:lvl w:ilvl="8" w:tplc="62BC2B7E" w:tentative="1">
      <w:start w:val="1"/>
      <w:numFmt w:val="bullet"/>
      <w:lvlText w:val=""/>
      <w:lvlJc w:val="left"/>
      <w:pPr>
        <w:ind w:left="6120" w:hanging="360"/>
      </w:pPr>
      <w:rPr>
        <w:rFonts w:ascii="Wingdings" w:hAnsi="Wingdings" w:hint="default"/>
      </w:rPr>
    </w:lvl>
  </w:abstractNum>
  <w:abstractNum w:abstractNumId="24" w15:restartNumberingAfterBreak="0">
    <w:nsid w:val="6B7F26FD"/>
    <w:multiLevelType w:val="hybridMultilevel"/>
    <w:tmpl w:val="816EE6F4"/>
    <w:lvl w:ilvl="0" w:tplc="35A2DB8C">
      <w:start w:val="5"/>
      <w:numFmt w:val="bullet"/>
      <w:lvlText w:val=""/>
      <w:lvlJc w:val="left"/>
      <w:pPr>
        <w:ind w:left="720" w:hanging="360"/>
      </w:pPr>
      <w:rPr>
        <w:rFonts w:ascii="Symbol" w:eastAsiaTheme="minorHAnsi" w:hAnsi="Symbol" w:cs="Calibri" w:hint="default"/>
        <w:b w:val="0"/>
      </w:rPr>
    </w:lvl>
    <w:lvl w:ilvl="1" w:tplc="437A023A" w:tentative="1">
      <w:start w:val="1"/>
      <w:numFmt w:val="bullet"/>
      <w:lvlText w:val="o"/>
      <w:lvlJc w:val="left"/>
      <w:pPr>
        <w:ind w:left="1440" w:hanging="360"/>
      </w:pPr>
      <w:rPr>
        <w:rFonts w:ascii="Courier New" w:hAnsi="Courier New" w:cs="Courier New" w:hint="default"/>
      </w:rPr>
    </w:lvl>
    <w:lvl w:ilvl="2" w:tplc="E07C7FF2" w:tentative="1">
      <w:start w:val="1"/>
      <w:numFmt w:val="bullet"/>
      <w:lvlText w:val=""/>
      <w:lvlJc w:val="left"/>
      <w:pPr>
        <w:ind w:left="2160" w:hanging="360"/>
      </w:pPr>
      <w:rPr>
        <w:rFonts w:ascii="Wingdings" w:hAnsi="Wingdings" w:hint="default"/>
      </w:rPr>
    </w:lvl>
    <w:lvl w:ilvl="3" w:tplc="05ACFBAA" w:tentative="1">
      <w:start w:val="1"/>
      <w:numFmt w:val="bullet"/>
      <w:lvlText w:val=""/>
      <w:lvlJc w:val="left"/>
      <w:pPr>
        <w:ind w:left="2880" w:hanging="360"/>
      </w:pPr>
      <w:rPr>
        <w:rFonts w:ascii="Symbol" w:hAnsi="Symbol" w:hint="default"/>
      </w:rPr>
    </w:lvl>
    <w:lvl w:ilvl="4" w:tplc="5CE66500" w:tentative="1">
      <w:start w:val="1"/>
      <w:numFmt w:val="bullet"/>
      <w:lvlText w:val="o"/>
      <w:lvlJc w:val="left"/>
      <w:pPr>
        <w:ind w:left="3600" w:hanging="360"/>
      </w:pPr>
      <w:rPr>
        <w:rFonts w:ascii="Courier New" w:hAnsi="Courier New" w:cs="Courier New" w:hint="default"/>
      </w:rPr>
    </w:lvl>
    <w:lvl w:ilvl="5" w:tplc="22961FC2" w:tentative="1">
      <w:start w:val="1"/>
      <w:numFmt w:val="bullet"/>
      <w:lvlText w:val=""/>
      <w:lvlJc w:val="left"/>
      <w:pPr>
        <w:ind w:left="4320" w:hanging="360"/>
      </w:pPr>
      <w:rPr>
        <w:rFonts w:ascii="Wingdings" w:hAnsi="Wingdings" w:hint="default"/>
      </w:rPr>
    </w:lvl>
    <w:lvl w:ilvl="6" w:tplc="B47ED98C" w:tentative="1">
      <w:start w:val="1"/>
      <w:numFmt w:val="bullet"/>
      <w:lvlText w:val=""/>
      <w:lvlJc w:val="left"/>
      <w:pPr>
        <w:ind w:left="5040" w:hanging="360"/>
      </w:pPr>
      <w:rPr>
        <w:rFonts w:ascii="Symbol" w:hAnsi="Symbol" w:hint="default"/>
      </w:rPr>
    </w:lvl>
    <w:lvl w:ilvl="7" w:tplc="6D00FDFA" w:tentative="1">
      <w:start w:val="1"/>
      <w:numFmt w:val="bullet"/>
      <w:lvlText w:val="o"/>
      <w:lvlJc w:val="left"/>
      <w:pPr>
        <w:ind w:left="5760" w:hanging="360"/>
      </w:pPr>
      <w:rPr>
        <w:rFonts w:ascii="Courier New" w:hAnsi="Courier New" w:cs="Courier New" w:hint="default"/>
      </w:rPr>
    </w:lvl>
    <w:lvl w:ilvl="8" w:tplc="E510354A" w:tentative="1">
      <w:start w:val="1"/>
      <w:numFmt w:val="bullet"/>
      <w:lvlText w:val=""/>
      <w:lvlJc w:val="left"/>
      <w:pPr>
        <w:ind w:left="6480" w:hanging="360"/>
      </w:pPr>
      <w:rPr>
        <w:rFonts w:ascii="Wingdings" w:hAnsi="Wingdings" w:hint="default"/>
      </w:rPr>
    </w:lvl>
  </w:abstractNum>
  <w:abstractNum w:abstractNumId="25" w15:restartNumberingAfterBreak="0">
    <w:nsid w:val="7D1E33BE"/>
    <w:multiLevelType w:val="hybridMultilevel"/>
    <w:tmpl w:val="78409C7A"/>
    <w:lvl w:ilvl="0" w:tplc="E93065F6">
      <w:start w:val="1"/>
      <w:numFmt w:val="bullet"/>
      <w:lvlText w:val="•"/>
      <w:lvlJc w:val="left"/>
      <w:pPr>
        <w:tabs>
          <w:tab w:val="num" w:pos="720"/>
        </w:tabs>
        <w:ind w:left="720" w:hanging="360"/>
      </w:pPr>
      <w:rPr>
        <w:rFonts w:ascii="Arial" w:hAnsi="Arial" w:hint="default"/>
      </w:rPr>
    </w:lvl>
    <w:lvl w:ilvl="1" w:tplc="EFE4A878" w:tentative="1">
      <w:start w:val="1"/>
      <w:numFmt w:val="bullet"/>
      <w:lvlText w:val="•"/>
      <w:lvlJc w:val="left"/>
      <w:pPr>
        <w:tabs>
          <w:tab w:val="num" w:pos="1440"/>
        </w:tabs>
        <w:ind w:left="1440" w:hanging="360"/>
      </w:pPr>
      <w:rPr>
        <w:rFonts w:ascii="Arial" w:hAnsi="Arial" w:hint="default"/>
      </w:rPr>
    </w:lvl>
    <w:lvl w:ilvl="2" w:tplc="A5CC3698" w:tentative="1">
      <w:start w:val="1"/>
      <w:numFmt w:val="bullet"/>
      <w:lvlText w:val="•"/>
      <w:lvlJc w:val="left"/>
      <w:pPr>
        <w:tabs>
          <w:tab w:val="num" w:pos="2160"/>
        </w:tabs>
        <w:ind w:left="2160" w:hanging="360"/>
      </w:pPr>
      <w:rPr>
        <w:rFonts w:ascii="Arial" w:hAnsi="Arial" w:hint="default"/>
      </w:rPr>
    </w:lvl>
    <w:lvl w:ilvl="3" w:tplc="F6FE2502" w:tentative="1">
      <w:start w:val="1"/>
      <w:numFmt w:val="bullet"/>
      <w:lvlText w:val="•"/>
      <w:lvlJc w:val="left"/>
      <w:pPr>
        <w:tabs>
          <w:tab w:val="num" w:pos="2880"/>
        </w:tabs>
        <w:ind w:left="2880" w:hanging="360"/>
      </w:pPr>
      <w:rPr>
        <w:rFonts w:ascii="Arial" w:hAnsi="Arial" w:hint="default"/>
      </w:rPr>
    </w:lvl>
    <w:lvl w:ilvl="4" w:tplc="24F05DB0" w:tentative="1">
      <w:start w:val="1"/>
      <w:numFmt w:val="bullet"/>
      <w:lvlText w:val="•"/>
      <w:lvlJc w:val="left"/>
      <w:pPr>
        <w:tabs>
          <w:tab w:val="num" w:pos="3600"/>
        </w:tabs>
        <w:ind w:left="3600" w:hanging="360"/>
      </w:pPr>
      <w:rPr>
        <w:rFonts w:ascii="Arial" w:hAnsi="Arial" w:hint="default"/>
      </w:rPr>
    </w:lvl>
    <w:lvl w:ilvl="5" w:tplc="A194409C" w:tentative="1">
      <w:start w:val="1"/>
      <w:numFmt w:val="bullet"/>
      <w:lvlText w:val="•"/>
      <w:lvlJc w:val="left"/>
      <w:pPr>
        <w:tabs>
          <w:tab w:val="num" w:pos="4320"/>
        </w:tabs>
        <w:ind w:left="4320" w:hanging="360"/>
      </w:pPr>
      <w:rPr>
        <w:rFonts w:ascii="Arial" w:hAnsi="Arial" w:hint="default"/>
      </w:rPr>
    </w:lvl>
    <w:lvl w:ilvl="6" w:tplc="F5FC7E10" w:tentative="1">
      <w:start w:val="1"/>
      <w:numFmt w:val="bullet"/>
      <w:lvlText w:val="•"/>
      <w:lvlJc w:val="left"/>
      <w:pPr>
        <w:tabs>
          <w:tab w:val="num" w:pos="5040"/>
        </w:tabs>
        <w:ind w:left="5040" w:hanging="360"/>
      </w:pPr>
      <w:rPr>
        <w:rFonts w:ascii="Arial" w:hAnsi="Arial" w:hint="default"/>
      </w:rPr>
    </w:lvl>
    <w:lvl w:ilvl="7" w:tplc="C60C3E9C" w:tentative="1">
      <w:start w:val="1"/>
      <w:numFmt w:val="bullet"/>
      <w:lvlText w:val="•"/>
      <w:lvlJc w:val="left"/>
      <w:pPr>
        <w:tabs>
          <w:tab w:val="num" w:pos="5760"/>
        </w:tabs>
        <w:ind w:left="5760" w:hanging="360"/>
      </w:pPr>
      <w:rPr>
        <w:rFonts w:ascii="Arial" w:hAnsi="Arial" w:hint="default"/>
      </w:rPr>
    </w:lvl>
    <w:lvl w:ilvl="8" w:tplc="31B453A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0"/>
  </w:num>
  <w:num w:numId="3">
    <w:abstractNumId w:val="5"/>
  </w:num>
  <w:num w:numId="4">
    <w:abstractNumId w:val="7"/>
  </w:num>
  <w:num w:numId="5">
    <w:abstractNumId w:val="6"/>
  </w:num>
  <w:num w:numId="6">
    <w:abstractNumId w:val="2"/>
  </w:num>
  <w:num w:numId="7">
    <w:abstractNumId w:val="18"/>
  </w:num>
  <w:num w:numId="8">
    <w:abstractNumId w:val="22"/>
  </w:num>
  <w:num w:numId="9">
    <w:abstractNumId w:val="23"/>
  </w:num>
  <w:num w:numId="10">
    <w:abstractNumId w:val="19"/>
  </w:num>
  <w:num w:numId="11">
    <w:abstractNumId w:val="14"/>
  </w:num>
  <w:num w:numId="12">
    <w:abstractNumId w:val="20"/>
  </w:num>
  <w:num w:numId="13">
    <w:abstractNumId w:val="12"/>
  </w:num>
  <w:num w:numId="14">
    <w:abstractNumId w:val="3"/>
  </w:num>
  <w:num w:numId="15">
    <w:abstractNumId w:val="21"/>
  </w:num>
  <w:num w:numId="16">
    <w:abstractNumId w:val="1"/>
  </w:num>
  <w:num w:numId="17">
    <w:abstractNumId w:val="17"/>
  </w:num>
  <w:num w:numId="18">
    <w:abstractNumId w:val="13"/>
  </w:num>
  <w:num w:numId="19">
    <w:abstractNumId w:val="16"/>
  </w:num>
  <w:num w:numId="20">
    <w:abstractNumId w:val="24"/>
  </w:num>
  <w:num w:numId="21">
    <w:abstractNumId w:val="11"/>
  </w:num>
  <w:num w:numId="22">
    <w:abstractNumId w:val="8"/>
  </w:num>
  <w:num w:numId="23">
    <w:abstractNumId w:val="9"/>
  </w:num>
  <w:num w:numId="24">
    <w:abstractNumId w:val="0"/>
  </w:num>
  <w:num w:numId="25">
    <w:abstractNumId w:val="15"/>
  </w:num>
  <w:num w:numId="2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0003"/>
    <w:rsid w:val="00001061"/>
    <w:rsid w:val="00001A6A"/>
    <w:rsid w:val="000027AD"/>
    <w:rsid w:val="0000460A"/>
    <w:rsid w:val="000109E1"/>
    <w:rsid w:val="0001134B"/>
    <w:rsid w:val="000113A8"/>
    <w:rsid w:val="000117E4"/>
    <w:rsid w:val="00011A80"/>
    <w:rsid w:val="00014FD0"/>
    <w:rsid w:val="000152DC"/>
    <w:rsid w:val="0001766D"/>
    <w:rsid w:val="00017BFC"/>
    <w:rsid w:val="0002007D"/>
    <w:rsid w:val="00021FB9"/>
    <w:rsid w:val="00023B23"/>
    <w:rsid w:val="00024809"/>
    <w:rsid w:val="00024F11"/>
    <w:rsid w:val="00025519"/>
    <w:rsid w:val="00025537"/>
    <w:rsid w:val="00032523"/>
    <w:rsid w:val="00033B6D"/>
    <w:rsid w:val="000358D1"/>
    <w:rsid w:val="000360A2"/>
    <w:rsid w:val="000411FB"/>
    <w:rsid w:val="00044392"/>
    <w:rsid w:val="000453E0"/>
    <w:rsid w:val="00046F61"/>
    <w:rsid w:val="00050E93"/>
    <w:rsid w:val="00051F87"/>
    <w:rsid w:val="00052F10"/>
    <w:rsid w:val="00054E73"/>
    <w:rsid w:val="00056420"/>
    <w:rsid w:val="00060928"/>
    <w:rsid w:val="00064D3C"/>
    <w:rsid w:val="0006606D"/>
    <w:rsid w:val="00066BDB"/>
    <w:rsid w:val="00067953"/>
    <w:rsid w:val="000706BA"/>
    <w:rsid w:val="00070B92"/>
    <w:rsid w:val="000718EE"/>
    <w:rsid w:val="00074F7A"/>
    <w:rsid w:val="00075AC0"/>
    <w:rsid w:val="0007674B"/>
    <w:rsid w:val="0007707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44E5"/>
    <w:rsid w:val="000A4A06"/>
    <w:rsid w:val="000A54C8"/>
    <w:rsid w:val="000A7049"/>
    <w:rsid w:val="000B0E51"/>
    <w:rsid w:val="000B0EE8"/>
    <w:rsid w:val="000B3FAE"/>
    <w:rsid w:val="000C2F0B"/>
    <w:rsid w:val="000C32D8"/>
    <w:rsid w:val="000C33AB"/>
    <w:rsid w:val="000C346E"/>
    <w:rsid w:val="000C550D"/>
    <w:rsid w:val="000C75FD"/>
    <w:rsid w:val="000D07B1"/>
    <w:rsid w:val="000D1F9E"/>
    <w:rsid w:val="000D3975"/>
    <w:rsid w:val="000D3AC7"/>
    <w:rsid w:val="000D439D"/>
    <w:rsid w:val="000D5007"/>
    <w:rsid w:val="000D5FE3"/>
    <w:rsid w:val="000D6C98"/>
    <w:rsid w:val="000E0A8A"/>
    <w:rsid w:val="000E2793"/>
    <w:rsid w:val="000E2975"/>
    <w:rsid w:val="000E3D04"/>
    <w:rsid w:val="000E779F"/>
    <w:rsid w:val="000E781C"/>
    <w:rsid w:val="000F031D"/>
    <w:rsid w:val="000F0BD4"/>
    <w:rsid w:val="000F0ECA"/>
    <w:rsid w:val="000F1133"/>
    <w:rsid w:val="000F3EAC"/>
    <w:rsid w:val="000F4A85"/>
    <w:rsid w:val="000F71EE"/>
    <w:rsid w:val="000F7CAB"/>
    <w:rsid w:val="00100AE5"/>
    <w:rsid w:val="00102F4F"/>
    <w:rsid w:val="00103EFA"/>
    <w:rsid w:val="00104C0C"/>
    <w:rsid w:val="00104F9A"/>
    <w:rsid w:val="001051E1"/>
    <w:rsid w:val="00105891"/>
    <w:rsid w:val="001077F9"/>
    <w:rsid w:val="00107DB1"/>
    <w:rsid w:val="00110548"/>
    <w:rsid w:val="00111EDD"/>
    <w:rsid w:val="00120E15"/>
    <w:rsid w:val="001214CE"/>
    <w:rsid w:val="001235DE"/>
    <w:rsid w:val="0012448C"/>
    <w:rsid w:val="00124764"/>
    <w:rsid w:val="00124BF6"/>
    <w:rsid w:val="00125340"/>
    <w:rsid w:val="001253C6"/>
    <w:rsid w:val="001260EE"/>
    <w:rsid w:val="00131AB3"/>
    <w:rsid w:val="00132082"/>
    <w:rsid w:val="00132ED1"/>
    <w:rsid w:val="00133384"/>
    <w:rsid w:val="00133DB6"/>
    <w:rsid w:val="001343A1"/>
    <w:rsid w:val="0013442E"/>
    <w:rsid w:val="00134DB6"/>
    <w:rsid w:val="001353DD"/>
    <w:rsid w:val="001371F0"/>
    <w:rsid w:val="0013763C"/>
    <w:rsid w:val="00141888"/>
    <w:rsid w:val="00141D04"/>
    <w:rsid w:val="00142115"/>
    <w:rsid w:val="0014229A"/>
    <w:rsid w:val="00142DFA"/>
    <w:rsid w:val="00142F71"/>
    <w:rsid w:val="00142F72"/>
    <w:rsid w:val="00144C67"/>
    <w:rsid w:val="00144CD6"/>
    <w:rsid w:val="00144E5B"/>
    <w:rsid w:val="001460C5"/>
    <w:rsid w:val="001472FC"/>
    <w:rsid w:val="001474C5"/>
    <w:rsid w:val="0015200F"/>
    <w:rsid w:val="00153235"/>
    <w:rsid w:val="001537BC"/>
    <w:rsid w:val="00153AEE"/>
    <w:rsid w:val="0015483F"/>
    <w:rsid w:val="00156E60"/>
    <w:rsid w:val="00157873"/>
    <w:rsid w:val="0016061D"/>
    <w:rsid w:val="00160E25"/>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2F81"/>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61C"/>
    <w:rsid w:val="001C1A17"/>
    <w:rsid w:val="001C2385"/>
    <w:rsid w:val="001C3136"/>
    <w:rsid w:val="001C3633"/>
    <w:rsid w:val="001C41B6"/>
    <w:rsid w:val="001C623A"/>
    <w:rsid w:val="001C6C89"/>
    <w:rsid w:val="001D1076"/>
    <w:rsid w:val="001D2ECB"/>
    <w:rsid w:val="001D340E"/>
    <w:rsid w:val="001D3E3C"/>
    <w:rsid w:val="001D4545"/>
    <w:rsid w:val="001E2FAE"/>
    <w:rsid w:val="001E78F9"/>
    <w:rsid w:val="001E7BF7"/>
    <w:rsid w:val="001E7EAF"/>
    <w:rsid w:val="001F447F"/>
    <w:rsid w:val="001F7E3D"/>
    <w:rsid w:val="00200E67"/>
    <w:rsid w:val="00202296"/>
    <w:rsid w:val="00202530"/>
    <w:rsid w:val="0020381C"/>
    <w:rsid w:val="002038AB"/>
    <w:rsid w:val="00204097"/>
    <w:rsid w:val="0020650F"/>
    <w:rsid w:val="00211A0B"/>
    <w:rsid w:val="002127C5"/>
    <w:rsid w:val="0021284F"/>
    <w:rsid w:val="00212AA0"/>
    <w:rsid w:val="00212EA1"/>
    <w:rsid w:val="00213EB1"/>
    <w:rsid w:val="0021439A"/>
    <w:rsid w:val="00214AEE"/>
    <w:rsid w:val="00221CF0"/>
    <w:rsid w:val="00221E9A"/>
    <w:rsid w:val="00222298"/>
    <w:rsid w:val="002242B9"/>
    <w:rsid w:val="002243FE"/>
    <w:rsid w:val="0022458C"/>
    <w:rsid w:val="00224E07"/>
    <w:rsid w:val="00225595"/>
    <w:rsid w:val="00226E0E"/>
    <w:rsid w:val="002270A1"/>
    <w:rsid w:val="00231AEA"/>
    <w:rsid w:val="00232ED7"/>
    <w:rsid w:val="002333C8"/>
    <w:rsid w:val="00233B06"/>
    <w:rsid w:val="00235DE2"/>
    <w:rsid w:val="00241C10"/>
    <w:rsid w:val="00242959"/>
    <w:rsid w:val="00242CED"/>
    <w:rsid w:val="00243AED"/>
    <w:rsid w:val="00244686"/>
    <w:rsid w:val="002454AE"/>
    <w:rsid w:val="00245CA7"/>
    <w:rsid w:val="00245D31"/>
    <w:rsid w:val="00246024"/>
    <w:rsid w:val="002468BF"/>
    <w:rsid w:val="00251589"/>
    <w:rsid w:val="00253EEE"/>
    <w:rsid w:val="00254496"/>
    <w:rsid w:val="00256327"/>
    <w:rsid w:val="00256FF4"/>
    <w:rsid w:val="002618FB"/>
    <w:rsid w:val="002634E2"/>
    <w:rsid w:val="00265FF3"/>
    <w:rsid w:val="00270BFC"/>
    <w:rsid w:val="00270E19"/>
    <w:rsid w:val="00272352"/>
    <w:rsid w:val="002728C0"/>
    <w:rsid w:val="00273894"/>
    <w:rsid w:val="002749A7"/>
    <w:rsid w:val="0027581E"/>
    <w:rsid w:val="00276A46"/>
    <w:rsid w:val="00276E1B"/>
    <w:rsid w:val="002771AE"/>
    <w:rsid w:val="00277311"/>
    <w:rsid w:val="002812C8"/>
    <w:rsid w:val="00282A55"/>
    <w:rsid w:val="00283F3C"/>
    <w:rsid w:val="0028653E"/>
    <w:rsid w:val="002869FE"/>
    <w:rsid w:val="00287C92"/>
    <w:rsid w:val="00291EE0"/>
    <w:rsid w:val="00293213"/>
    <w:rsid w:val="00293EE8"/>
    <w:rsid w:val="00294207"/>
    <w:rsid w:val="00294509"/>
    <w:rsid w:val="00294C82"/>
    <w:rsid w:val="0029598B"/>
    <w:rsid w:val="002977E5"/>
    <w:rsid w:val="002A03DF"/>
    <w:rsid w:val="002A1CFE"/>
    <w:rsid w:val="002A29E8"/>
    <w:rsid w:val="002A2E4B"/>
    <w:rsid w:val="002A60C9"/>
    <w:rsid w:val="002A707F"/>
    <w:rsid w:val="002B0652"/>
    <w:rsid w:val="002B087B"/>
    <w:rsid w:val="002B1900"/>
    <w:rsid w:val="002B3702"/>
    <w:rsid w:val="002B5F94"/>
    <w:rsid w:val="002B665C"/>
    <w:rsid w:val="002B668F"/>
    <w:rsid w:val="002B715B"/>
    <w:rsid w:val="002C1302"/>
    <w:rsid w:val="002C2180"/>
    <w:rsid w:val="002C5AE6"/>
    <w:rsid w:val="002C7CC8"/>
    <w:rsid w:val="002D0C24"/>
    <w:rsid w:val="002D2422"/>
    <w:rsid w:val="002D27C8"/>
    <w:rsid w:val="002D7104"/>
    <w:rsid w:val="002D7650"/>
    <w:rsid w:val="002D76F6"/>
    <w:rsid w:val="002E16E9"/>
    <w:rsid w:val="002E3BD1"/>
    <w:rsid w:val="002E588C"/>
    <w:rsid w:val="002E65A1"/>
    <w:rsid w:val="002E7606"/>
    <w:rsid w:val="002F14D6"/>
    <w:rsid w:val="002F1587"/>
    <w:rsid w:val="002F2535"/>
    <w:rsid w:val="002F325A"/>
    <w:rsid w:val="002F449F"/>
    <w:rsid w:val="002F4B73"/>
    <w:rsid w:val="002F6599"/>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22C"/>
    <w:rsid w:val="00322F85"/>
    <w:rsid w:val="003248FF"/>
    <w:rsid w:val="0032493D"/>
    <w:rsid w:val="00324C9F"/>
    <w:rsid w:val="003254AE"/>
    <w:rsid w:val="00325A0A"/>
    <w:rsid w:val="00326B33"/>
    <w:rsid w:val="003273D3"/>
    <w:rsid w:val="00330C1F"/>
    <w:rsid w:val="00331022"/>
    <w:rsid w:val="003335C1"/>
    <w:rsid w:val="00336147"/>
    <w:rsid w:val="00340828"/>
    <w:rsid w:val="003412FE"/>
    <w:rsid w:val="0035096F"/>
    <w:rsid w:val="003520CA"/>
    <w:rsid w:val="0035439A"/>
    <w:rsid w:val="0036092C"/>
    <w:rsid w:val="00360A85"/>
    <w:rsid w:val="003612BC"/>
    <w:rsid w:val="0036176A"/>
    <w:rsid w:val="00363AF8"/>
    <w:rsid w:val="003645BD"/>
    <w:rsid w:val="00364F24"/>
    <w:rsid w:val="003650AF"/>
    <w:rsid w:val="00365995"/>
    <w:rsid w:val="003668C8"/>
    <w:rsid w:val="00367272"/>
    <w:rsid w:val="0036733B"/>
    <w:rsid w:val="0036771D"/>
    <w:rsid w:val="00371131"/>
    <w:rsid w:val="00371390"/>
    <w:rsid w:val="003715E4"/>
    <w:rsid w:val="003720B1"/>
    <w:rsid w:val="00373659"/>
    <w:rsid w:val="00373A72"/>
    <w:rsid w:val="00373DA1"/>
    <w:rsid w:val="00375D26"/>
    <w:rsid w:val="003765BF"/>
    <w:rsid w:val="003801C5"/>
    <w:rsid w:val="00382A08"/>
    <w:rsid w:val="003856C8"/>
    <w:rsid w:val="00385ABA"/>
    <w:rsid w:val="00386B74"/>
    <w:rsid w:val="00387232"/>
    <w:rsid w:val="00387920"/>
    <w:rsid w:val="0039194F"/>
    <w:rsid w:val="00392205"/>
    <w:rsid w:val="00394570"/>
    <w:rsid w:val="00394C64"/>
    <w:rsid w:val="003951AD"/>
    <w:rsid w:val="00395D24"/>
    <w:rsid w:val="0039616E"/>
    <w:rsid w:val="00396518"/>
    <w:rsid w:val="00397566"/>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5C0"/>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37D0B"/>
    <w:rsid w:val="00444416"/>
    <w:rsid w:val="00445971"/>
    <w:rsid w:val="00453E2A"/>
    <w:rsid w:val="004562EE"/>
    <w:rsid w:val="00456351"/>
    <w:rsid w:val="00456854"/>
    <w:rsid w:val="00456BFD"/>
    <w:rsid w:val="0046206C"/>
    <w:rsid w:val="00462E7F"/>
    <w:rsid w:val="00463DF9"/>
    <w:rsid w:val="00465B0F"/>
    <w:rsid w:val="00467246"/>
    <w:rsid w:val="00471294"/>
    <w:rsid w:val="0047247F"/>
    <w:rsid w:val="00473299"/>
    <w:rsid w:val="0047639C"/>
    <w:rsid w:val="00480BCE"/>
    <w:rsid w:val="004813D2"/>
    <w:rsid w:val="0048245F"/>
    <w:rsid w:val="00482725"/>
    <w:rsid w:val="00482E9C"/>
    <w:rsid w:val="004843DB"/>
    <w:rsid w:val="00490CD9"/>
    <w:rsid w:val="00491926"/>
    <w:rsid w:val="00492C50"/>
    <w:rsid w:val="00495403"/>
    <w:rsid w:val="0049563C"/>
    <w:rsid w:val="00495E66"/>
    <w:rsid w:val="004976BA"/>
    <w:rsid w:val="004A0AF0"/>
    <w:rsid w:val="004A0C72"/>
    <w:rsid w:val="004A275C"/>
    <w:rsid w:val="004A295D"/>
    <w:rsid w:val="004A3AE6"/>
    <w:rsid w:val="004A677A"/>
    <w:rsid w:val="004A74CC"/>
    <w:rsid w:val="004B4676"/>
    <w:rsid w:val="004B5166"/>
    <w:rsid w:val="004B6140"/>
    <w:rsid w:val="004B6D20"/>
    <w:rsid w:val="004B7DB7"/>
    <w:rsid w:val="004C13EB"/>
    <w:rsid w:val="004C36FE"/>
    <w:rsid w:val="004C48CC"/>
    <w:rsid w:val="004C5105"/>
    <w:rsid w:val="004C56D2"/>
    <w:rsid w:val="004C5822"/>
    <w:rsid w:val="004C6F2C"/>
    <w:rsid w:val="004C7D34"/>
    <w:rsid w:val="004D0CA8"/>
    <w:rsid w:val="004D1250"/>
    <w:rsid w:val="004D1778"/>
    <w:rsid w:val="004D46CE"/>
    <w:rsid w:val="004E396A"/>
    <w:rsid w:val="004E435A"/>
    <w:rsid w:val="004E4B2A"/>
    <w:rsid w:val="004E6ECA"/>
    <w:rsid w:val="004E7059"/>
    <w:rsid w:val="004F029D"/>
    <w:rsid w:val="004F0AD1"/>
    <w:rsid w:val="004F10CF"/>
    <w:rsid w:val="004F1813"/>
    <w:rsid w:val="004F32D3"/>
    <w:rsid w:val="004F475C"/>
    <w:rsid w:val="004F5B4E"/>
    <w:rsid w:val="004F6CC0"/>
    <w:rsid w:val="004F7307"/>
    <w:rsid w:val="004F78DE"/>
    <w:rsid w:val="00500621"/>
    <w:rsid w:val="005025ED"/>
    <w:rsid w:val="00504DD0"/>
    <w:rsid w:val="005064A5"/>
    <w:rsid w:val="0050762D"/>
    <w:rsid w:val="00507C0C"/>
    <w:rsid w:val="00510F9E"/>
    <w:rsid w:val="00511046"/>
    <w:rsid w:val="00511763"/>
    <w:rsid w:val="00511F00"/>
    <w:rsid w:val="00514701"/>
    <w:rsid w:val="00514C01"/>
    <w:rsid w:val="00515070"/>
    <w:rsid w:val="0051569C"/>
    <w:rsid w:val="005157D8"/>
    <w:rsid w:val="00516B12"/>
    <w:rsid w:val="005171E4"/>
    <w:rsid w:val="005222C7"/>
    <w:rsid w:val="005275E1"/>
    <w:rsid w:val="0053190D"/>
    <w:rsid w:val="00531F13"/>
    <w:rsid w:val="0053227B"/>
    <w:rsid w:val="00532670"/>
    <w:rsid w:val="00532693"/>
    <w:rsid w:val="005326A1"/>
    <w:rsid w:val="00535ED0"/>
    <w:rsid w:val="005367FF"/>
    <w:rsid w:val="00536843"/>
    <w:rsid w:val="0053743C"/>
    <w:rsid w:val="00540AC8"/>
    <w:rsid w:val="00542A34"/>
    <w:rsid w:val="00542E3A"/>
    <w:rsid w:val="00544F59"/>
    <w:rsid w:val="005461F2"/>
    <w:rsid w:val="005471CB"/>
    <w:rsid w:val="005504EE"/>
    <w:rsid w:val="00551454"/>
    <w:rsid w:val="00551484"/>
    <w:rsid w:val="00552FAD"/>
    <w:rsid w:val="00553031"/>
    <w:rsid w:val="00554457"/>
    <w:rsid w:val="00554F85"/>
    <w:rsid w:val="0055522B"/>
    <w:rsid w:val="00556181"/>
    <w:rsid w:val="005571E9"/>
    <w:rsid w:val="005605F7"/>
    <w:rsid w:val="00560805"/>
    <w:rsid w:val="00560FF2"/>
    <w:rsid w:val="00562235"/>
    <w:rsid w:val="00563189"/>
    <w:rsid w:val="0056402E"/>
    <w:rsid w:val="00564538"/>
    <w:rsid w:val="00565685"/>
    <w:rsid w:val="005672E3"/>
    <w:rsid w:val="00567B37"/>
    <w:rsid w:val="00571971"/>
    <w:rsid w:val="005720F6"/>
    <w:rsid w:val="00573349"/>
    <w:rsid w:val="00576D55"/>
    <w:rsid w:val="00580A13"/>
    <w:rsid w:val="00580ADC"/>
    <w:rsid w:val="00580B70"/>
    <w:rsid w:val="005810DF"/>
    <w:rsid w:val="00582213"/>
    <w:rsid w:val="00582BD2"/>
    <w:rsid w:val="0058393A"/>
    <w:rsid w:val="005840A7"/>
    <w:rsid w:val="0058488D"/>
    <w:rsid w:val="005856F7"/>
    <w:rsid w:val="00585EAA"/>
    <w:rsid w:val="00593649"/>
    <w:rsid w:val="00593B4F"/>
    <w:rsid w:val="0059476C"/>
    <w:rsid w:val="005962AD"/>
    <w:rsid w:val="00596C90"/>
    <w:rsid w:val="005A0CCB"/>
    <w:rsid w:val="005A1F96"/>
    <w:rsid w:val="005A4ED4"/>
    <w:rsid w:val="005A6E73"/>
    <w:rsid w:val="005A71B1"/>
    <w:rsid w:val="005A7FBD"/>
    <w:rsid w:val="005B2C4E"/>
    <w:rsid w:val="005B36B8"/>
    <w:rsid w:val="005B5302"/>
    <w:rsid w:val="005B67C0"/>
    <w:rsid w:val="005C23C4"/>
    <w:rsid w:val="005C33AA"/>
    <w:rsid w:val="005C33D3"/>
    <w:rsid w:val="005C64A4"/>
    <w:rsid w:val="005D0CF3"/>
    <w:rsid w:val="005D1882"/>
    <w:rsid w:val="005D1C50"/>
    <w:rsid w:val="005D1DE2"/>
    <w:rsid w:val="005D5659"/>
    <w:rsid w:val="005D7D47"/>
    <w:rsid w:val="005E09FF"/>
    <w:rsid w:val="005E0F7E"/>
    <w:rsid w:val="005E11D5"/>
    <w:rsid w:val="005E2116"/>
    <w:rsid w:val="005E344F"/>
    <w:rsid w:val="005E5C7E"/>
    <w:rsid w:val="005E670C"/>
    <w:rsid w:val="005F05C2"/>
    <w:rsid w:val="005F1C21"/>
    <w:rsid w:val="005F3BFA"/>
    <w:rsid w:val="005F5870"/>
    <w:rsid w:val="0060118D"/>
    <w:rsid w:val="00603182"/>
    <w:rsid w:val="00603F47"/>
    <w:rsid w:val="006056E2"/>
    <w:rsid w:val="0060746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2BB8"/>
    <w:rsid w:val="00663EAB"/>
    <w:rsid w:val="006646E1"/>
    <w:rsid w:val="00670F2B"/>
    <w:rsid w:val="0067409C"/>
    <w:rsid w:val="006743B4"/>
    <w:rsid w:val="00674509"/>
    <w:rsid w:val="00676C0B"/>
    <w:rsid w:val="0067760A"/>
    <w:rsid w:val="0067778F"/>
    <w:rsid w:val="00680703"/>
    <w:rsid w:val="00681F46"/>
    <w:rsid w:val="00684B42"/>
    <w:rsid w:val="00685685"/>
    <w:rsid w:val="00686B6D"/>
    <w:rsid w:val="00686E01"/>
    <w:rsid w:val="006877B6"/>
    <w:rsid w:val="00687CF4"/>
    <w:rsid w:val="00696611"/>
    <w:rsid w:val="006A049C"/>
    <w:rsid w:val="006A623F"/>
    <w:rsid w:val="006A7388"/>
    <w:rsid w:val="006A73F1"/>
    <w:rsid w:val="006A75C7"/>
    <w:rsid w:val="006B1718"/>
    <w:rsid w:val="006B6654"/>
    <w:rsid w:val="006B79E9"/>
    <w:rsid w:val="006C05CA"/>
    <w:rsid w:val="006C199D"/>
    <w:rsid w:val="006C28FA"/>
    <w:rsid w:val="006C2E29"/>
    <w:rsid w:val="006C50F7"/>
    <w:rsid w:val="006D0142"/>
    <w:rsid w:val="006D0D26"/>
    <w:rsid w:val="006D3BED"/>
    <w:rsid w:val="006D4762"/>
    <w:rsid w:val="006D62A2"/>
    <w:rsid w:val="006D65D3"/>
    <w:rsid w:val="006D71B9"/>
    <w:rsid w:val="006E0608"/>
    <w:rsid w:val="006E1334"/>
    <w:rsid w:val="006E1C8A"/>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76"/>
    <w:rsid w:val="00740D80"/>
    <w:rsid w:val="007416A4"/>
    <w:rsid w:val="007434A8"/>
    <w:rsid w:val="007441FF"/>
    <w:rsid w:val="00744DD7"/>
    <w:rsid w:val="0074544F"/>
    <w:rsid w:val="00746828"/>
    <w:rsid w:val="007507E6"/>
    <w:rsid w:val="00751DD0"/>
    <w:rsid w:val="00753AE4"/>
    <w:rsid w:val="00754237"/>
    <w:rsid w:val="00754A40"/>
    <w:rsid w:val="007554A5"/>
    <w:rsid w:val="007556DE"/>
    <w:rsid w:val="00755AF2"/>
    <w:rsid w:val="00756D9F"/>
    <w:rsid w:val="00760558"/>
    <w:rsid w:val="00760981"/>
    <w:rsid w:val="00761074"/>
    <w:rsid w:val="007618D8"/>
    <w:rsid w:val="0076287C"/>
    <w:rsid w:val="00762A65"/>
    <w:rsid w:val="007639C4"/>
    <w:rsid w:val="0076511C"/>
    <w:rsid w:val="00771B00"/>
    <w:rsid w:val="007724A1"/>
    <w:rsid w:val="007733A3"/>
    <w:rsid w:val="00775D5D"/>
    <w:rsid w:val="00780D26"/>
    <w:rsid w:val="00781E95"/>
    <w:rsid w:val="00782302"/>
    <w:rsid w:val="00786313"/>
    <w:rsid w:val="00786BAB"/>
    <w:rsid w:val="00787C13"/>
    <w:rsid w:val="00790973"/>
    <w:rsid w:val="00790BA2"/>
    <w:rsid w:val="00790ECD"/>
    <w:rsid w:val="00792210"/>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14EC"/>
    <w:rsid w:val="007C27A7"/>
    <w:rsid w:val="007C2DB1"/>
    <w:rsid w:val="007C3DB2"/>
    <w:rsid w:val="007C4109"/>
    <w:rsid w:val="007C5EE7"/>
    <w:rsid w:val="007C60ED"/>
    <w:rsid w:val="007C637F"/>
    <w:rsid w:val="007C77F4"/>
    <w:rsid w:val="007D0CB0"/>
    <w:rsid w:val="007D1C9B"/>
    <w:rsid w:val="007D415A"/>
    <w:rsid w:val="007D71C0"/>
    <w:rsid w:val="007D71C7"/>
    <w:rsid w:val="007E0F0A"/>
    <w:rsid w:val="007E1EB5"/>
    <w:rsid w:val="007E394E"/>
    <w:rsid w:val="007E63B9"/>
    <w:rsid w:val="007F2E40"/>
    <w:rsid w:val="007F4DE7"/>
    <w:rsid w:val="007F74D2"/>
    <w:rsid w:val="00800596"/>
    <w:rsid w:val="00801151"/>
    <w:rsid w:val="008052FC"/>
    <w:rsid w:val="00806F1F"/>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3575"/>
    <w:rsid w:val="008344BA"/>
    <w:rsid w:val="0085168B"/>
    <w:rsid w:val="008517BF"/>
    <w:rsid w:val="00851C86"/>
    <w:rsid w:val="008570B5"/>
    <w:rsid w:val="00862973"/>
    <w:rsid w:val="00863361"/>
    <w:rsid w:val="00863D78"/>
    <w:rsid w:val="00863E02"/>
    <w:rsid w:val="00865724"/>
    <w:rsid w:val="00865808"/>
    <w:rsid w:val="008665FD"/>
    <w:rsid w:val="00866A19"/>
    <w:rsid w:val="008707FD"/>
    <w:rsid w:val="008714BE"/>
    <w:rsid w:val="00871636"/>
    <w:rsid w:val="00872960"/>
    <w:rsid w:val="00874FB2"/>
    <w:rsid w:val="008755E3"/>
    <w:rsid w:val="008758DB"/>
    <w:rsid w:val="00876019"/>
    <w:rsid w:val="00876F94"/>
    <w:rsid w:val="00877746"/>
    <w:rsid w:val="00877B56"/>
    <w:rsid w:val="00880B6A"/>
    <w:rsid w:val="00881214"/>
    <w:rsid w:val="00881A07"/>
    <w:rsid w:val="00881A46"/>
    <w:rsid w:val="008823A6"/>
    <w:rsid w:val="008823EA"/>
    <w:rsid w:val="00884F41"/>
    <w:rsid w:val="00885719"/>
    <w:rsid w:val="0088575F"/>
    <w:rsid w:val="008879EB"/>
    <w:rsid w:val="00887FF9"/>
    <w:rsid w:val="0089191C"/>
    <w:rsid w:val="00891A31"/>
    <w:rsid w:val="00892A4E"/>
    <w:rsid w:val="00892F21"/>
    <w:rsid w:val="00896324"/>
    <w:rsid w:val="00897894"/>
    <w:rsid w:val="008A2753"/>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7C6"/>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01A3"/>
    <w:rsid w:val="0093069C"/>
    <w:rsid w:val="00933147"/>
    <w:rsid w:val="009332A4"/>
    <w:rsid w:val="009333FE"/>
    <w:rsid w:val="009419C3"/>
    <w:rsid w:val="009432BB"/>
    <w:rsid w:val="009458A7"/>
    <w:rsid w:val="009458CE"/>
    <w:rsid w:val="00946056"/>
    <w:rsid w:val="0094618E"/>
    <w:rsid w:val="009471DD"/>
    <w:rsid w:val="00947BF5"/>
    <w:rsid w:val="0095051F"/>
    <w:rsid w:val="009506A8"/>
    <w:rsid w:val="00960D64"/>
    <w:rsid w:val="00961DAF"/>
    <w:rsid w:val="00961F2D"/>
    <w:rsid w:val="00963B4C"/>
    <w:rsid w:val="0096452E"/>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9642B"/>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4305"/>
    <w:rsid w:val="009D5459"/>
    <w:rsid w:val="009D68BA"/>
    <w:rsid w:val="009D6A33"/>
    <w:rsid w:val="009D6C9A"/>
    <w:rsid w:val="009D78DB"/>
    <w:rsid w:val="009E27FB"/>
    <w:rsid w:val="009E3490"/>
    <w:rsid w:val="009E5A18"/>
    <w:rsid w:val="009F0EDD"/>
    <w:rsid w:val="009F119F"/>
    <w:rsid w:val="009F1390"/>
    <w:rsid w:val="009F3067"/>
    <w:rsid w:val="009F4EAA"/>
    <w:rsid w:val="009F748A"/>
    <w:rsid w:val="009F78A1"/>
    <w:rsid w:val="009F7FD5"/>
    <w:rsid w:val="00A01454"/>
    <w:rsid w:val="00A029B5"/>
    <w:rsid w:val="00A05F0C"/>
    <w:rsid w:val="00A06013"/>
    <w:rsid w:val="00A115CD"/>
    <w:rsid w:val="00A116A2"/>
    <w:rsid w:val="00A11890"/>
    <w:rsid w:val="00A11E73"/>
    <w:rsid w:val="00A1456A"/>
    <w:rsid w:val="00A14C14"/>
    <w:rsid w:val="00A1569A"/>
    <w:rsid w:val="00A16568"/>
    <w:rsid w:val="00A168EC"/>
    <w:rsid w:val="00A209EA"/>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6F05"/>
    <w:rsid w:val="00A87F5C"/>
    <w:rsid w:val="00A91116"/>
    <w:rsid w:val="00A91CD3"/>
    <w:rsid w:val="00AA0C01"/>
    <w:rsid w:val="00AA198F"/>
    <w:rsid w:val="00AA2932"/>
    <w:rsid w:val="00AA3291"/>
    <w:rsid w:val="00AA5F95"/>
    <w:rsid w:val="00AA6341"/>
    <w:rsid w:val="00AA6D6C"/>
    <w:rsid w:val="00AA7586"/>
    <w:rsid w:val="00AB02D6"/>
    <w:rsid w:val="00AB15F9"/>
    <w:rsid w:val="00AB25BA"/>
    <w:rsid w:val="00AB2600"/>
    <w:rsid w:val="00AB3186"/>
    <w:rsid w:val="00AB44D2"/>
    <w:rsid w:val="00AC0EF9"/>
    <w:rsid w:val="00AC1701"/>
    <w:rsid w:val="00AC27CE"/>
    <w:rsid w:val="00AC2A3B"/>
    <w:rsid w:val="00AC2E86"/>
    <w:rsid w:val="00AC4478"/>
    <w:rsid w:val="00AC5D5B"/>
    <w:rsid w:val="00AC67E2"/>
    <w:rsid w:val="00AD0495"/>
    <w:rsid w:val="00AD0E57"/>
    <w:rsid w:val="00AD1A7E"/>
    <w:rsid w:val="00AD2644"/>
    <w:rsid w:val="00AD2F7B"/>
    <w:rsid w:val="00AD32DC"/>
    <w:rsid w:val="00AD3849"/>
    <w:rsid w:val="00AD4F64"/>
    <w:rsid w:val="00AD63E9"/>
    <w:rsid w:val="00AD6A29"/>
    <w:rsid w:val="00AE0A30"/>
    <w:rsid w:val="00AE1123"/>
    <w:rsid w:val="00AE1AC4"/>
    <w:rsid w:val="00AE284F"/>
    <w:rsid w:val="00AE48A8"/>
    <w:rsid w:val="00AE5576"/>
    <w:rsid w:val="00AF3967"/>
    <w:rsid w:val="00AF408C"/>
    <w:rsid w:val="00AF4878"/>
    <w:rsid w:val="00AF4C8D"/>
    <w:rsid w:val="00AF6A5B"/>
    <w:rsid w:val="00AF7FBC"/>
    <w:rsid w:val="00B00ACB"/>
    <w:rsid w:val="00B01532"/>
    <w:rsid w:val="00B016CD"/>
    <w:rsid w:val="00B0372F"/>
    <w:rsid w:val="00B03D80"/>
    <w:rsid w:val="00B115E9"/>
    <w:rsid w:val="00B11989"/>
    <w:rsid w:val="00B11A45"/>
    <w:rsid w:val="00B11ED2"/>
    <w:rsid w:val="00B12C1C"/>
    <w:rsid w:val="00B130F0"/>
    <w:rsid w:val="00B14537"/>
    <w:rsid w:val="00B16619"/>
    <w:rsid w:val="00B1750F"/>
    <w:rsid w:val="00B177CB"/>
    <w:rsid w:val="00B21F54"/>
    <w:rsid w:val="00B22405"/>
    <w:rsid w:val="00B224BE"/>
    <w:rsid w:val="00B23CD3"/>
    <w:rsid w:val="00B253E5"/>
    <w:rsid w:val="00B257B4"/>
    <w:rsid w:val="00B26D7B"/>
    <w:rsid w:val="00B27E75"/>
    <w:rsid w:val="00B33147"/>
    <w:rsid w:val="00B339AC"/>
    <w:rsid w:val="00B33AC5"/>
    <w:rsid w:val="00B3531C"/>
    <w:rsid w:val="00B35358"/>
    <w:rsid w:val="00B35B0F"/>
    <w:rsid w:val="00B363A5"/>
    <w:rsid w:val="00B37BF3"/>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0CB0"/>
    <w:rsid w:val="00BD17B8"/>
    <w:rsid w:val="00BD2326"/>
    <w:rsid w:val="00BD5370"/>
    <w:rsid w:val="00BE2693"/>
    <w:rsid w:val="00BE2AFA"/>
    <w:rsid w:val="00BE2DA2"/>
    <w:rsid w:val="00BE3238"/>
    <w:rsid w:val="00BF31DB"/>
    <w:rsid w:val="00BF4421"/>
    <w:rsid w:val="00BF4445"/>
    <w:rsid w:val="00BF445F"/>
    <w:rsid w:val="00BF4FDD"/>
    <w:rsid w:val="00BF559D"/>
    <w:rsid w:val="00BF5950"/>
    <w:rsid w:val="00BF788D"/>
    <w:rsid w:val="00C0011C"/>
    <w:rsid w:val="00C00E59"/>
    <w:rsid w:val="00C01EF3"/>
    <w:rsid w:val="00C01FE2"/>
    <w:rsid w:val="00C0407C"/>
    <w:rsid w:val="00C04847"/>
    <w:rsid w:val="00C063FE"/>
    <w:rsid w:val="00C06655"/>
    <w:rsid w:val="00C079F5"/>
    <w:rsid w:val="00C114BD"/>
    <w:rsid w:val="00C11BA9"/>
    <w:rsid w:val="00C14D64"/>
    <w:rsid w:val="00C17875"/>
    <w:rsid w:val="00C23B08"/>
    <w:rsid w:val="00C24F82"/>
    <w:rsid w:val="00C27735"/>
    <w:rsid w:val="00C27AEB"/>
    <w:rsid w:val="00C27C15"/>
    <w:rsid w:val="00C3149B"/>
    <w:rsid w:val="00C31DD9"/>
    <w:rsid w:val="00C32F28"/>
    <w:rsid w:val="00C33131"/>
    <w:rsid w:val="00C336CD"/>
    <w:rsid w:val="00C3412F"/>
    <w:rsid w:val="00C34700"/>
    <w:rsid w:val="00C351E3"/>
    <w:rsid w:val="00C40482"/>
    <w:rsid w:val="00C420F0"/>
    <w:rsid w:val="00C46301"/>
    <w:rsid w:val="00C46486"/>
    <w:rsid w:val="00C50A9E"/>
    <w:rsid w:val="00C50E25"/>
    <w:rsid w:val="00C52F23"/>
    <w:rsid w:val="00C5324A"/>
    <w:rsid w:val="00C53812"/>
    <w:rsid w:val="00C56980"/>
    <w:rsid w:val="00C60FD4"/>
    <w:rsid w:val="00C63603"/>
    <w:rsid w:val="00C702B3"/>
    <w:rsid w:val="00C70895"/>
    <w:rsid w:val="00C70A7F"/>
    <w:rsid w:val="00C70E30"/>
    <w:rsid w:val="00C720B7"/>
    <w:rsid w:val="00C72A60"/>
    <w:rsid w:val="00C730D0"/>
    <w:rsid w:val="00C7312D"/>
    <w:rsid w:val="00C734D5"/>
    <w:rsid w:val="00C766F3"/>
    <w:rsid w:val="00C77354"/>
    <w:rsid w:val="00C80D42"/>
    <w:rsid w:val="00C8207A"/>
    <w:rsid w:val="00C8395A"/>
    <w:rsid w:val="00C842A9"/>
    <w:rsid w:val="00C8724D"/>
    <w:rsid w:val="00C9120D"/>
    <w:rsid w:val="00C912F9"/>
    <w:rsid w:val="00C9255C"/>
    <w:rsid w:val="00C93D23"/>
    <w:rsid w:val="00C94167"/>
    <w:rsid w:val="00C95FE4"/>
    <w:rsid w:val="00C97459"/>
    <w:rsid w:val="00C979EA"/>
    <w:rsid w:val="00C979FE"/>
    <w:rsid w:val="00CA1401"/>
    <w:rsid w:val="00CA1D8B"/>
    <w:rsid w:val="00CA3DF5"/>
    <w:rsid w:val="00CA3EC8"/>
    <w:rsid w:val="00CA4983"/>
    <w:rsid w:val="00CA5F10"/>
    <w:rsid w:val="00CA7AF2"/>
    <w:rsid w:val="00CB1495"/>
    <w:rsid w:val="00CB1ECB"/>
    <w:rsid w:val="00CB479F"/>
    <w:rsid w:val="00CB5618"/>
    <w:rsid w:val="00CB5C75"/>
    <w:rsid w:val="00CB65B6"/>
    <w:rsid w:val="00CB6D81"/>
    <w:rsid w:val="00CB7BBB"/>
    <w:rsid w:val="00CB7EE6"/>
    <w:rsid w:val="00CC18ED"/>
    <w:rsid w:val="00CC32B5"/>
    <w:rsid w:val="00CC4043"/>
    <w:rsid w:val="00CC51A2"/>
    <w:rsid w:val="00CC6E3B"/>
    <w:rsid w:val="00CC78A4"/>
    <w:rsid w:val="00CC7989"/>
    <w:rsid w:val="00CD14AB"/>
    <w:rsid w:val="00CD1822"/>
    <w:rsid w:val="00CD1DFB"/>
    <w:rsid w:val="00CD2312"/>
    <w:rsid w:val="00CD3AFE"/>
    <w:rsid w:val="00CD4B9F"/>
    <w:rsid w:val="00CD4BE4"/>
    <w:rsid w:val="00CD5226"/>
    <w:rsid w:val="00CD5B2C"/>
    <w:rsid w:val="00CD5D4F"/>
    <w:rsid w:val="00CD6374"/>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612C"/>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948"/>
    <w:rsid w:val="00D51D14"/>
    <w:rsid w:val="00D532AC"/>
    <w:rsid w:val="00D54289"/>
    <w:rsid w:val="00D57E17"/>
    <w:rsid w:val="00D615FC"/>
    <w:rsid w:val="00D63C48"/>
    <w:rsid w:val="00D63FE1"/>
    <w:rsid w:val="00D64CFC"/>
    <w:rsid w:val="00D66255"/>
    <w:rsid w:val="00D6789F"/>
    <w:rsid w:val="00D71448"/>
    <w:rsid w:val="00D71CED"/>
    <w:rsid w:val="00D7267D"/>
    <w:rsid w:val="00D736AB"/>
    <w:rsid w:val="00D740A3"/>
    <w:rsid w:val="00D747AB"/>
    <w:rsid w:val="00D76C2C"/>
    <w:rsid w:val="00D7789E"/>
    <w:rsid w:val="00D77F85"/>
    <w:rsid w:val="00D77FD5"/>
    <w:rsid w:val="00D8003B"/>
    <w:rsid w:val="00D80179"/>
    <w:rsid w:val="00D82C11"/>
    <w:rsid w:val="00D83BF3"/>
    <w:rsid w:val="00D83F19"/>
    <w:rsid w:val="00D87563"/>
    <w:rsid w:val="00D879D0"/>
    <w:rsid w:val="00D90163"/>
    <w:rsid w:val="00D92AB6"/>
    <w:rsid w:val="00D96BE6"/>
    <w:rsid w:val="00D96F2F"/>
    <w:rsid w:val="00D97E8D"/>
    <w:rsid w:val="00D97F2A"/>
    <w:rsid w:val="00DA0398"/>
    <w:rsid w:val="00DA0961"/>
    <w:rsid w:val="00DA1198"/>
    <w:rsid w:val="00DA2078"/>
    <w:rsid w:val="00DA4804"/>
    <w:rsid w:val="00DA540C"/>
    <w:rsid w:val="00DA5C6D"/>
    <w:rsid w:val="00DB0EE4"/>
    <w:rsid w:val="00DB1AEE"/>
    <w:rsid w:val="00DB2121"/>
    <w:rsid w:val="00DB3F4C"/>
    <w:rsid w:val="00DB4E4A"/>
    <w:rsid w:val="00DB6653"/>
    <w:rsid w:val="00DC138D"/>
    <w:rsid w:val="00DC16A7"/>
    <w:rsid w:val="00DC464E"/>
    <w:rsid w:val="00DC53A4"/>
    <w:rsid w:val="00DC6480"/>
    <w:rsid w:val="00DC6DE0"/>
    <w:rsid w:val="00DC6F14"/>
    <w:rsid w:val="00DC7523"/>
    <w:rsid w:val="00DD4D13"/>
    <w:rsid w:val="00DD5028"/>
    <w:rsid w:val="00DD5138"/>
    <w:rsid w:val="00DD59E1"/>
    <w:rsid w:val="00DE08B9"/>
    <w:rsid w:val="00DE0EE6"/>
    <w:rsid w:val="00DE1F1D"/>
    <w:rsid w:val="00DE2A3D"/>
    <w:rsid w:val="00DE4873"/>
    <w:rsid w:val="00DE6A90"/>
    <w:rsid w:val="00DE7759"/>
    <w:rsid w:val="00DF0111"/>
    <w:rsid w:val="00DF23B3"/>
    <w:rsid w:val="00DF2DA8"/>
    <w:rsid w:val="00DF39AB"/>
    <w:rsid w:val="00DF4B50"/>
    <w:rsid w:val="00DF4D70"/>
    <w:rsid w:val="00DF6D21"/>
    <w:rsid w:val="00E037A1"/>
    <w:rsid w:val="00E03A45"/>
    <w:rsid w:val="00E05669"/>
    <w:rsid w:val="00E056DC"/>
    <w:rsid w:val="00E07313"/>
    <w:rsid w:val="00E101CB"/>
    <w:rsid w:val="00E10677"/>
    <w:rsid w:val="00E11A48"/>
    <w:rsid w:val="00E124CD"/>
    <w:rsid w:val="00E126CA"/>
    <w:rsid w:val="00E13C40"/>
    <w:rsid w:val="00E15039"/>
    <w:rsid w:val="00E15989"/>
    <w:rsid w:val="00E15FB6"/>
    <w:rsid w:val="00E17F21"/>
    <w:rsid w:val="00E2102D"/>
    <w:rsid w:val="00E21733"/>
    <w:rsid w:val="00E21B62"/>
    <w:rsid w:val="00E21BBA"/>
    <w:rsid w:val="00E2634A"/>
    <w:rsid w:val="00E314DC"/>
    <w:rsid w:val="00E326F3"/>
    <w:rsid w:val="00E32CFE"/>
    <w:rsid w:val="00E339A0"/>
    <w:rsid w:val="00E33A1C"/>
    <w:rsid w:val="00E36A35"/>
    <w:rsid w:val="00E40627"/>
    <w:rsid w:val="00E41ED2"/>
    <w:rsid w:val="00E43949"/>
    <w:rsid w:val="00E445B8"/>
    <w:rsid w:val="00E46000"/>
    <w:rsid w:val="00E503B5"/>
    <w:rsid w:val="00E50C78"/>
    <w:rsid w:val="00E51353"/>
    <w:rsid w:val="00E532C1"/>
    <w:rsid w:val="00E54BA9"/>
    <w:rsid w:val="00E55381"/>
    <w:rsid w:val="00E56595"/>
    <w:rsid w:val="00E56AB0"/>
    <w:rsid w:val="00E610B7"/>
    <w:rsid w:val="00E62BDB"/>
    <w:rsid w:val="00E63B99"/>
    <w:rsid w:val="00E6524A"/>
    <w:rsid w:val="00E665D8"/>
    <w:rsid w:val="00E66B9A"/>
    <w:rsid w:val="00E66BA3"/>
    <w:rsid w:val="00E6783B"/>
    <w:rsid w:val="00E721F4"/>
    <w:rsid w:val="00E74FE9"/>
    <w:rsid w:val="00E75A41"/>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2D8A"/>
    <w:rsid w:val="00EB346F"/>
    <w:rsid w:val="00EB3AA0"/>
    <w:rsid w:val="00EB41A5"/>
    <w:rsid w:val="00EB43F7"/>
    <w:rsid w:val="00EB7F0D"/>
    <w:rsid w:val="00EC0A7C"/>
    <w:rsid w:val="00EC2054"/>
    <w:rsid w:val="00EC561F"/>
    <w:rsid w:val="00EC57DC"/>
    <w:rsid w:val="00EC628A"/>
    <w:rsid w:val="00ED01C3"/>
    <w:rsid w:val="00ED210D"/>
    <w:rsid w:val="00ED3320"/>
    <w:rsid w:val="00ED3873"/>
    <w:rsid w:val="00ED72B4"/>
    <w:rsid w:val="00EE117B"/>
    <w:rsid w:val="00EE28BA"/>
    <w:rsid w:val="00EE34E1"/>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2741"/>
    <w:rsid w:val="00F133A3"/>
    <w:rsid w:val="00F14194"/>
    <w:rsid w:val="00F1475C"/>
    <w:rsid w:val="00F14F50"/>
    <w:rsid w:val="00F23422"/>
    <w:rsid w:val="00F24A43"/>
    <w:rsid w:val="00F25432"/>
    <w:rsid w:val="00F25A6E"/>
    <w:rsid w:val="00F27BB0"/>
    <w:rsid w:val="00F30AD4"/>
    <w:rsid w:val="00F3141F"/>
    <w:rsid w:val="00F3173C"/>
    <w:rsid w:val="00F344C7"/>
    <w:rsid w:val="00F36D02"/>
    <w:rsid w:val="00F40C89"/>
    <w:rsid w:val="00F420EA"/>
    <w:rsid w:val="00F42389"/>
    <w:rsid w:val="00F42979"/>
    <w:rsid w:val="00F432C0"/>
    <w:rsid w:val="00F43D62"/>
    <w:rsid w:val="00F457DD"/>
    <w:rsid w:val="00F47FC9"/>
    <w:rsid w:val="00F50EA4"/>
    <w:rsid w:val="00F5129A"/>
    <w:rsid w:val="00F52404"/>
    <w:rsid w:val="00F5356A"/>
    <w:rsid w:val="00F5450F"/>
    <w:rsid w:val="00F567BF"/>
    <w:rsid w:val="00F61D79"/>
    <w:rsid w:val="00F63BEE"/>
    <w:rsid w:val="00F67341"/>
    <w:rsid w:val="00F676C8"/>
    <w:rsid w:val="00F702BF"/>
    <w:rsid w:val="00F70615"/>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97F2C"/>
    <w:rsid w:val="00FA429E"/>
    <w:rsid w:val="00FB748C"/>
    <w:rsid w:val="00FB7545"/>
    <w:rsid w:val="00FC1FBB"/>
    <w:rsid w:val="00FC2E50"/>
    <w:rsid w:val="00FC2F10"/>
    <w:rsid w:val="00FC75C5"/>
    <w:rsid w:val="00FC7FEF"/>
    <w:rsid w:val="00FD1E91"/>
    <w:rsid w:val="00FD2074"/>
    <w:rsid w:val="00FD2D3E"/>
    <w:rsid w:val="00FD52AB"/>
    <w:rsid w:val="00FD5926"/>
    <w:rsid w:val="00FD6A78"/>
    <w:rsid w:val="00FE1C1F"/>
    <w:rsid w:val="00FE24E8"/>
    <w:rsid w:val="00FE28D3"/>
    <w:rsid w:val="00FE32B4"/>
    <w:rsid w:val="00FE331E"/>
    <w:rsid w:val="00FE5330"/>
    <w:rsid w:val="00FE6161"/>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95CB"/>
  <w15:docId w15:val="{19C872C2-2E35-4AC3-9706-6179890B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05F7"/>
    <w:pPr>
      <w:bidi/>
    </w:pPr>
    <w:rPr>
      <w:rFonts w:ascii="Calibri" w:hAnsi="Calibri" w:cs="Calibri"/>
    </w:rPr>
  </w:style>
  <w:style w:type="paragraph" w:styleId="1">
    <w:name w:val="heading 1"/>
    <w:basedOn w:val="a0"/>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80703"/>
    <w:pPr>
      <w:spacing w:after="0" w:line="240" w:lineRule="auto"/>
    </w:pPr>
    <w:rPr>
      <w:rFonts w:ascii="Tahoma" w:hAnsi="Tahoma" w:cs="Tahoma"/>
      <w:sz w:val="16"/>
      <w:szCs w:val="16"/>
    </w:rPr>
  </w:style>
  <w:style w:type="character" w:customStyle="1" w:styleId="a5">
    <w:name w:val="טקסט בלונים תו"/>
    <w:basedOn w:val="a1"/>
    <w:link w:val="a4"/>
    <w:uiPriority w:val="99"/>
    <w:semiHidden/>
    <w:rsid w:val="00680703"/>
    <w:rPr>
      <w:rFonts w:ascii="Tahoma" w:hAnsi="Tahoma" w:cs="Tahoma"/>
      <w:sz w:val="16"/>
      <w:szCs w:val="16"/>
    </w:rPr>
  </w:style>
  <w:style w:type="paragraph" w:styleId="a6">
    <w:name w:val="List Paragraph"/>
    <w:basedOn w:val="a0"/>
    <w:link w:val="a7"/>
    <w:uiPriority w:val="34"/>
    <w:qFormat/>
    <w:rsid w:val="00167449"/>
    <w:pPr>
      <w:ind w:left="720"/>
      <w:contextualSpacing/>
    </w:pPr>
  </w:style>
  <w:style w:type="character" w:styleId="a8">
    <w:name w:val="annotation reference"/>
    <w:basedOn w:val="a1"/>
    <w:unhideWhenUsed/>
    <w:rsid w:val="00EB43F7"/>
    <w:rPr>
      <w:sz w:val="16"/>
      <w:szCs w:val="16"/>
    </w:rPr>
  </w:style>
  <w:style w:type="paragraph" w:styleId="a9">
    <w:name w:val="annotation text"/>
    <w:basedOn w:val="a0"/>
    <w:link w:val="aa"/>
    <w:unhideWhenUsed/>
    <w:rsid w:val="00EB43F7"/>
    <w:pPr>
      <w:spacing w:line="240" w:lineRule="auto"/>
    </w:pPr>
    <w:rPr>
      <w:sz w:val="20"/>
      <w:szCs w:val="20"/>
    </w:rPr>
  </w:style>
  <w:style w:type="character" w:customStyle="1" w:styleId="aa">
    <w:name w:val="טקסט הערה תו"/>
    <w:basedOn w:val="a1"/>
    <w:link w:val="a9"/>
    <w:rsid w:val="00EB43F7"/>
    <w:rPr>
      <w:sz w:val="20"/>
      <w:szCs w:val="20"/>
    </w:rPr>
  </w:style>
  <w:style w:type="paragraph" w:styleId="ab">
    <w:name w:val="annotation subject"/>
    <w:basedOn w:val="a9"/>
    <w:next w:val="a9"/>
    <w:link w:val="ac"/>
    <w:uiPriority w:val="99"/>
    <w:semiHidden/>
    <w:unhideWhenUsed/>
    <w:rsid w:val="00EB43F7"/>
    <w:rPr>
      <w:b/>
      <w:bCs/>
    </w:rPr>
  </w:style>
  <w:style w:type="character" w:customStyle="1" w:styleId="ac">
    <w:name w:val="נושא הערה תו"/>
    <w:basedOn w:val="aa"/>
    <w:link w:val="ab"/>
    <w:uiPriority w:val="99"/>
    <w:semiHidden/>
    <w:rsid w:val="00EB43F7"/>
    <w:rPr>
      <w:b/>
      <w:bCs/>
      <w:sz w:val="20"/>
      <w:szCs w:val="20"/>
    </w:rPr>
  </w:style>
  <w:style w:type="character" w:styleId="Hyperlink">
    <w:name w:val="Hyperlink"/>
    <w:basedOn w:val="a1"/>
    <w:uiPriority w:val="99"/>
    <w:unhideWhenUsed/>
    <w:rsid w:val="00242CED"/>
    <w:rPr>
      <w:color w:val="0000FF" w:themeColor="hyperlink"/>
      <w:u w:val="single"/>
    </w:rPr>
  </w:style>
  <w:style w:type="paragraph" w:styleId="ad">
    <w:name w:val="header"/>
    <w:basedOn w:val="a0"/>
    <w:link w:val="ae"/>
    <w:uiPriority w:val="99"/>
    <w:unhideWhenUsed/>
    <w:rsid w:val="008755E3"/>
    <w:pPr>
      <w:tabs>
        <w:tab w:val="center" w:pos="4153"/>
        <w:tab w:val="right" w:pos="8306"/>
      </w:tabs>
      <w:spacing w:after="0" w:line="240" w:lineRule="auto"/>
    </w:pPr>
  </w:style>
  <w:style w:type="character" w:customStyle="1" w:styleId="ae">
    <w:name w:val="כותרת עליונה תו"/>
    <w:basedOn w:val="a1"/>
    <w:link w:val="ad"/>
    <w:uiPriority w:val="99"/>
    <w:rsid w:val="008755E3"/>
  </w:style>
  <w:style w:type="paragraph" w:styleId="af">
    <w:name w:val="footer"/>
    <w:basedOn w:val="a0"/>
    <w:link w:val="af0"/>
    <w:uiPriority w:val="99"/>
    <w:unhideWhenUsed/>
    <w:rsid w:val="008755E3"/>
    <w:pPr>
      <w:tabs>
        <w:tab w:val="center" w:pos="4153"/>
        <w:tab w:val="right" w:pos="8306"/>
      </w:tabs>
      <w:spacing w:after="0" w:line="240" w:lineRule="auto"/>
    </w:pPr>
  </w:style>
  <w:style w:type="character" w:customStyle="1" w:styleId="af0">
    <w:name w:val="כותרת תחתונה תו"/>
    <w:basedOn w:val="a1"/>
    <w:link w:val="af"/>
    <w:uiPriority w:val="99"/>
    <w:rsid w:val="008755E3"/>
  </w:style>
  <w:style w:type="character" w:styleId="FollowedHyperlink">
    <w:name w:val="FollowedHyperlink"/>
    <w:basedOn w:val="a1"/>
    <w:uiPriority w:val="99"/>
    <w:semiHidden/>
    <w:unhideWhenUsed/>
    <w:rsid w:val="00AC5D5B"/>
    <w:rPr>
      <w:color w:val="800080" w:themeColor="followedHyperlink"/>
      <w:u w:val="single"/>
    </w:rPr>
  </w:style>
  <w:style w:type="paragraph" w:styleId="af1">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0"/>
    <w:link w:val="af2"/>
    <w:uiPriority w:val="99"/>
    <w:unhideWhenUsed/>
    <w:qFormat/>
    <w:rsid w:val="006E5D28"/>
    <w:pPr>
      <w:spacing w:after="0" w:line="240" w:lineRule="auto"/>
    </w:pPr>
    <w:rPr>
      <w:sz w:val="20"/>
      <w:szCs w:val="20"/>
    </w:rPr>
  </w:style>
  <w:style w:type="character" w:customStyle="1" w:styleId="af2">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1"/>
    <w:link w:val="af1"/>
    <w:uiPriority w:val="99"/>
    <w:rsid w:val="006E5D28"/>
    <w:rPr>
      <w:sz w:val="20"/>
      <w:szCs w:val="20"/>
    </w:rPr>
  </w:style>
  <w:style w:type="character" w:styleId="af3">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6E5D28"/>
    <w:rPr>
      <w:vertAlign w:val="superscript"/>
    </w:rPr>
  </w:style>
  <w:style w:type="table" w:styleId="af4">
    <w:name w:val="Table Grid"/>
    <w:basedOn w:val="a2"/>
    <w:uiPriority w:val="5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A71B6D"/>
    <w:rPr>
      <w:color w:val="605E5C"/>
      <w:shd w:val="clear" w:color="auto" w:fill="E1DFDD"/>
    </w:rPr>
  </w:style>
  <w:style w:type="paragraph" w:styleId="af5">
    <w:name w:val="Revision"/>
    <w:hidden/>
    <w:uiPriority w:val="99"/>
    <w:semiHidden/>
    <w:rsid w:val="0074544F"/>
    <w:pPr>
      <w:spacing w:after="0" w:line="240" w:lineRule="auto"/>
    </w:pPr>
  </w:style>
  <w:style w:type="paragraph" w:styleId="NormalWeb">
    <w:name w:val="Normal (Web)"/>
    <w:basedOn w:val="a0"/>
    <w:uiPriority w:val="99"/>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פיסקת רשימה תו"/>
    <w:basedOn w:val="a1"/>
    <w:link w:val="a6"/>
    <w:uiPriority w:val="34"/>
    <w:locked/>
    <w:rsid w:val="00C95FE4"/>
  </w:style>
  <w:style w:type="character" w:styleId="af6">
    <w:name w:val="Strong"/>
    <w:basedOn w:val="a1"/>
    <w:uiPriority w:val="22"/>
    <w:qFormat/>
    <w:rsid w:val="00DC16A7"/>
    <w:rPr>
      <w:b/>
      <w:bCs/>
    </w:rPr>
  </w:style>
  <w:style w:type="character" w:customStyle="1" w:styleId="ui-provider">
    <w:name w:val="ui-provider"/>
    <w:basedOn w:val="a1"/>
    <w:rsid w:val="00CA1D8B"/>
  </w:style>
  <w:style w:type="character" w:customStyle="1" w:styleId="10">
    <w:name w:val="כותרת 1 תו"/>
    <w:basedOn w:val="a1"/>
    <w:link w:val="1"/>
    <w:uiPriority w:val="9"/>
    <w:rsid w:val="00482E9C"/>
    <w:rPr>
      <w:rFonts w:ascii="Times New Roman" w:eastAsia="Times New Roman" w:hAnsi="Times New Roman" w:cs="Times New Roman"/>
      <w:b/>
      <w:bCs/>
      <w:kern w:val="36"/>
      <w:sz w:val="48"/>
      <w:szCs w:val="48"/>
    </w:rPr>
  </w:style>
  <w:style w:type="paragraph" w:customStyle="1" w:styleId="af7">
    <w:name w:val="כותרת ראשית"/>
    <w:basedOn w:val="a0"/>
    <w:next w:val="a0"/>
    <w:link w:val="af8"/>
    <w:qFormat/>
    <w:rsid w:val="0096452E"/>
    <w:pPr>
      <w:spacing w:before="120" w:after="240" w:line="360" w:lineRule="auto"/>
      <w:ind w:left="23"/>
      <w:contextualSpacing/>
      <w:jc w:val="center"/>
      <w:outlineLvl w:val="0"/>
    </w:pPr>
    <w:rPr>
      <w:rFonts w:ascii="David" w:hAnsi="David" w:cs="David"/>
      <w:b/>
      <w:bCs/>
      <w:spacing w:val="5"/>
      <w:kern w:val="28"/>
      <w:sz w:val="28"/>
      <w:szCs w:val="28"/>
    </w:rPr>
  </w:style>
  <w:style w:type="paragraph" w:customStyle="1" w:styleId="a">
    <w:name w:val="כותרת משנה ממוספרת"/>
    <w:basedOn w:val="a0"/>
    <w:next w:val="a0"/>
    <w:link w:val="af9"/>
    <w:qFormat/>
    <w:rsid w:val="0096452E"/>
    <w:pPr>
      <w:keepNext/>
      <w:numPr>
        <w:numId w:val="18"/>
      </w:numPr>
      <w:spacing w:before="240" w:after="120" w:line="360" w:lineRule="auto"/>
      <w:contextualSpacing/>
      <w:jc w:val="both"/>
    </w:pPr>
    <w:rPr>
      <w:rFonts w:asciiTheme="minorHAnsi" w:eastAsiaTheme="minorEastAsia" w:hAnsiTheme="minorHAnsi" w:cstheme="minorHAnsi"/>
      <w:bCs/>
      <w:sz w:val="28"/>
      <w:szCs w:val="24"/>
    </w:rPr>
  </w:style>
  <w:style w:type="character" w:customStyle="1" w:styleId="af8">
    <w:name w:val="כותרת ראשית תו"/>
    <w:basedOn w:val="a1"/>
    <w:link w:val="af7"/>
    <w:rsid w:val="0096452E"/>
    <w:rPr>
      <w:rFonts w:ascii="David" w:hAnsi="David" w:cs="David"/>
      <w:b/>
      <w:bCs/>
      <w:spacing w:val="5"/>
      <w:kern w:val="28"/>
      <w:sz w:val="28"/>
      <w:szCs w:val="28"/>
    </w:rPr>
  </w:style>
  <w:style w:type="paragraph" w:customStyle="1" w:styleId="11">
    <w:name w:val="כותרת משנה רמה 1"/>
    <w:basedOn w:val="a0"/>
    <w:next w:val="a0"/>
    <w:link w:val="12"/>
    <w:qFormat/>
    <w:rsid w:val="0096452E"/>
    <w:pPr>
      <w:keepNext/>
      <w:spacing w:before="240" w:after="120" w:line="360" w:lineRule="auto"/>
      <w:ind w:left="23"/>
      <w:contextualSpacing/>
      <w:jc w:val="both"/>
      <w:outlineLvl w:val="0"/>
    </w:pPr>
    <w:rPr>
      <w:rFonts w:ascii="David" w:eastAsia="Calibri" w:hAnsi="David" w:cs="David"/>
      <w:b/>
      <w:bCs/>
      <w:sz w:val="24"/>
      <w:szCs w:val="24"/>
    </w:rPr>
  </w:style>
  <w:style w:type="character" w:customStyle="1" w:styleId="af9">
    <w:name w:val="כותרת משנה ממוספרת תו"/>
    <w:basedOn w:val="a1"/>
    <w:link w:val="a"/>
    <w:rsid w:val="0096452E"/>
    <w:rPr>
      <w:rFonts w:eastAsiaTheme="minorEastAsia" w:cstheme="minorHAnsi"/>
      <w:bCs/>
      <w:sz w:val="28"/>
      <w:szCs w:val="24"/>
    </w:rPr>
  </w:style>
  <w:style w:type="character" w:customStyle="1" w:styleId="12">
    <w:name w:val="כותרת משנה רמה 1 תו"/>
    <w:basedOn w:val="a1"/>
    <w:link w:val="11"/>
    <w:rsid w:val="0096452E"/>
    <w:rPr>
      <w:rFonts w:ascii="David" w:eastAsia="Calibri" w:hAnsi="David" w:cs="David"/>
      <w:b/>
      <w:bCs/>
      <w:sz w:val="24"/>
      <w:szCs w:val="24"/>
    </w:rPr>
  </w:style>
  <w:style w:type="character" w:customStyle="1" w:styleId="UnresolvedMention2">
    <w:name w:val="Unresolved Mention2"/>
    <w:basedOn w:val="a1"/>
    <w:uiPriority w:val="99"/>
    <w:semiHidden/>
    <w:unhideWhenUsed/>
    <w:rsid w:val="00C7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6384-D868-4D7A-8DF9-80753EA30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FBCADE-083D-4AC3-A135-DB1B1A4E1AF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DCE06ACB-2FD9-475C-ADCE-2D7128EDCE64}">
  <ds:schemaRefs>
    <ds:schemaRef ds:uri="http://schemas.microsoft.com/sharepoint/v3/contenttype/forms"/>
  </ds:schemaRefs>
</ds:datastoreItem>
</file>

<file path=customXml/itemProps4.xml><?xml version="1.0" encoding="utf-8"?>
<ds:datastoreItem xmlns:ds="http://schemas.openxmlformats.org/officeDocument/2006/customXml" ds:itemID="{7F5562B0-449D-4F5A-BB00-084C5C3A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6999</Characters>
  <Application>Microsoft Office Word</Application>
  <DocSecurity>0</DocSecurity>
  <Lines>58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נמרוד כהן</dc:creator>
  <cp:lastModifiedBy>אילנית שרון</cp:lastModifiedBy>
  <cp:revision>2</cp:revision>
  <dcterms:created xsi:type="dcterms:W3CDTF">2026-01-18T07:52:00Z</dcterms:created>
  <dcterms:modified xsi:type="dcterms:W3CDTF">2026-01-18T07:52:00Z</dcterms:modified>
</cp:coreProperties>
</file>