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294" w:rsidRPr="006B5294" w:rsidRDefault="00753056" w:rsidP="00753056">
      <w:pPr>
        <w:pStyle w:val="1"/>
        <w:numPr>
          <w:ilvl w:val="0"/>
          <w:numId w:val="0"/>
        </w:numPr>
        <w:tabs>
          <w:tab w:val="left" w:pos="180"/>
        </w:tabs>
        <w:bidi w:val="0"/>
        <w:spacing w:line="240" w:lineRule="auto"/>
        <w:ind w:right="32"/>
        <w:jc w:val="center"/>
        <w:rPr>
          <w:rFonts w:ascii="Calibri" w:hAnsi="Calibri" w:cs="Calibri"/>
          <w:lang w:eastAsia="en-US"/>
        </w:rPr>
      </w:pPr>
      <w:r w:rsidRPr="009638B4">
        <w:rPr>
          <w:rFonts w:cstheme="majorBidi"/>
          <w:noProof/>
        </w:rPr>
        <w:drawing>
          <wp:inline distT="0" distB="0" distL="0" distR="0" wp14:anchorId="7C328A11" wp14:editId="39E79979">
            <wp:extent cx="975360" cy="975360"/>
            <wp:effectExtent l="0" t="0" r="0" b="0"/>
            <wp:docPr id="1" name="Picture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rsidR="00753056" w:rsidRPr="00A93FAB" w:rsidRDefault="00753056" w:rsidP="00753056">
      <w:pPr>
        <w:spacing w:line="300" w:lineRule="atLeast"/>
        <w:jc w:val="center"/>
        <w:rPr>
          <w:rFonts w:asciiTheme="minorHAnsi" w:eastAsia="Times New Roman" w:hAnsiTheme="minorHAnsi" w:cstheme="minorHAnsi"/>
          <w:b/>
          <w:bCs/>
        </w:rPr>
      </w:pPr>
      <w:r w:rsidRPr="00A93FAB">
        <w:rPr>
          <w:rFonts w:asciiTheme="minorHAnsi" w:eastAsia="Times New Roman" w:hAnsiTheme="minorHAnsi" w:cstheme="minorHAnsi"/>
          <w:b/>
          <w:bCs/>
        </w:rPr>
        <w:t>BANK OF ISRAEL</w:t>
      </w:r>
    </w:p>
    <w:p w:rsidR="00753056" w:rsidRPr="00A93FAB" w:rsidRDefault="00753056" w:rsidP="00753056">
      <w:pPr>
        <w:spacing w:line="300" w:lineRule="atLeast"/>
        <w:jc w:val="center"/>
        <w:rPr>
          <w:rFonts w:asciiTheme="minorHAnsi" w:eastAsia="Times New Roman" w:hAnsiTheme="minorHAnsi" w:cstheme="minorHAnsi"/>
        </w:rPr>
      </w:pPr>
      <w:r w:rsidRPr="00A93FAB">
        <w:rPr>
          <w:rFonts w:asciiTheme="minorHAnsi" w:eastAsia="Times New Roman" w:hAnsiTheme="minorHAnsi" w:cstheme="minorHAnsi"/>
        </w:rPr>
        <w:t>Office of the Spokesperson and Economic Information</w:t>
      </w:r>
    </w:p>
    <w:p w:rsidR="00753056" w:rsidRPr="00A93FAB" w:rsidRDefault="00753056" w:rsidP="00753056">
      <w:pPr>
        <w:jc w:val="both"/>
        <w:rPr>
          <w:rFonts w:asciiTheme="minorHAnsi" w:hAnsiTheme="minorHAnsi" w:cstheme="minorHAnsi"/>
        </w:rPr>
      </w:pPr>
      <w:r w:rsidRPr="00A93FAB">
        <w:rPr>
          <w:rFonts w:asciiTheme="minorHAnsi" w:hAnsiTheme="minorHAnsi" w:cstheme="minorHAnsi"/>
        </w:rPr>
        <w:br/>
      </w:r>
    </w:p>
    <w:p w:rsidR="006B5294" w:rsidRDefault="006B5294" w:rsidP="006B5294">
      <w:pPr>
        <w:pStyle w:val="1"/>
        <w:numPr>
          <w:ilvl w:val="0"/>
          <w:numId w:val="0"/>
        </w:numPr>
        <w:tabs>
          <w:tab w:val="left" w:pos="180"/>
        </w:tabs>
        <w:bidi w:val="0"/>
        <w:spacing w:line="240" w:lineRule="auto"/>
        <w:ind w:right="32"/>
        <w:jc w:val="right"/>
        <w:rPr>
          <w:rFonts w:ascii="Calibri" w:hAnsi="Calibri" w:cs="Calibri"/>
          <w:lang w:eastAsia="en-US"/>
        </w:rPr>
      </w:pPr>
    </w:p>
    <w:p w:rsidR="00753056" w:rsidRPr="006B5294" w:rsidRDefault="00753056" w:rsidP="00753056">
      <w:pPr>
        <w:pStyle w:val="1"/>
        <w:numPr>
          <w:ilvl w:val="0"/>
          <w:numId w:val="0"/>
        </w:numPr>
        <w:tabs>
          <w:tab w:val="left" w:pos="180"/>
        </w:tabs>
        <w:bidi w:val="0"/>
        <w:spacing w:line="240" w:lineRule="auto"/>
        <w:ind w:right="32"/>
        <w:jc w:val="center"/>
        <w:rPr>
          <w:rFonts w:ascii="Calibri" w:hAnsi="Calibri" w:cs="Calibri"/>
          <w:rtl/>
          <w:lang w:eastAsia="en-US"/>
        </w:rPr>
      </w:pPr>
    </w:p>
    <w:p w:rsidR="006A415B" w:rsidRPr="006B5294" w:rsidRDefault="006A415B" w:rsidP="006B5294">
      <w:pPr>
        <w:pStyle w:val="aa"/>
        <w:bidi w:val="0"/>
        <w:spacing w:line="240" w:lineRule="auto"/>
        <w:rPr>
          <w:rFonts w:ascii="Calibri" w:hAnsi="Calibri" w:cs="Calibri"/>
        </w:rPr>
      </w:pPr>
    </w:p>
    <w:p w:rsidR="006A415B" w:rsidRPr="006B5294" w:rsidRDefault="006A415B" w:rsidP="006B5294">
      <w:pPr>
        <w:pStyle w:val="aa"/>
        <w:bidi w:val="0"/>
        <w:spacing w:line="240" w:lineRule="auto"/>
        <w:jc w:val="left"/>
        <w:rPr>
          <w:rFonts w:ascii="Calibri" w:hAnsi="Calibri" w:cs="Calibri"/>
        </w:rPr>
      </w:pPr>
      <w:r w:rsidRPr="006B5294">
        <w:rPr>
          <w:rFonts w:ascii="Calibri" w:hAnsi="Calibri" w:cs="Calibri"/>
        </w:rPr>
        <w:t>Press Release</w:t>
      </w:r>
      <w:r w:rsidR="00753056">
        <w:rPr>
          <w:rFonts w:ascii="Calibri" w:hAnsi="Calibri" w:cs="Calibri"/>
        </w:rPr>
        <w:t>:</w:t>
      </w:r>
    </w:p>
    <w:p w:rsidR="006A415B" w:rsidRPr="006B5294" w:rsidRDefault="006A415B" w:rsidP="006B5294">
      <w:pPr>
        <w:jc w:val="center"/>
        <w:rPr>
          <w:rFonts w:ascii="Calibri" w:hAnsi="Calibri" w:cs="Calibri"/>
          <w:b/>
          <w:bCs/>
          <w:rtl/>
        </w:rPr>
      </w:pPr>
    </w:p>
    <w:p w:rsidR="006B5294" w:rsidRPr="006B5294" w:rsidRDefault="006A415B" w:rsidP="006B5294">
      <w:pPr>
        <w:ind w:left="680"/>
        <w:jc w:val="center"/>
        <w:rPr>
          <w:rFonts w:ascii="Calibri" w:hAnsi="Calibri" w:cs="Calibri"/>
          <w:b/>
          <w:bCs/>
          <w:sz w:val="28"/>
          <w:szCs w:val="28"/>
        </w:rPr>
      </w:pPr>
      <w:r w:rsidRPr="006B5294">
        <w:rPr>
          <w:rFonts w:ascii="Calibri" w:hAnsi="Calibri" w:cs="Calibri"/>
          <w:b/>
          <w:bCs/>
          <w:sz w:val="28"/>
          <w:szCs w:val="28"/>
        </w:rPr>
        <w:t xml:space="preserve">The Monetary Committee decides on </w:t>
      </w:r>
      <w:r w:rsidR="00823117" w:rsidRPr="006B5294">
        <w:rPr>
          <w:rFonts w:ascii="Calibri" w:hAnsi="Calibri" w:cs="Calibri"/>
          <w:b/>
          <w:bCs/>
          <w:sz w:val="28"/>
          <w:szCs w:val="28"/>
        </w:rPr>
        <w:t>August 28, 2024</w:t>
      </w:r>
      <w:r w:rsidR="006B5294" w:rsidRPr="006B5294">
        <w:rPr>
          <w:rFonts w:ascii="Calibri" w:hAnsi="Calibri" w:cs="Calibri"/>
          <w:b/>
          <w:bCs/>
          <w:sz w:val="28"/>
          <w:szCs w:val="28"/>
        </w:rPr>
        <w:t xml:space="preserve"> to leave the interest rate unchanged at 4.5 percent</w:t>
      </w:r>
    </w:p>
    <w:p w:rsidR="006A415B" w:rsidRPr="006B5294" w:rsidRDefault="006B5294" w:rsidP="00823117">
      <w:pPr>
        <w:jc w:val="center"/>
        <w:rPr>
          <w:rFonts w:ascii="Calibri" w:hAnsi="Calibri" w:cs="Calibri"/>
          <w:b/>
          <w:bCs/>
        </w:rPr>
      </w:pPr>
      <w:r w:rsidRPr="006B5294">
        <w:rPr>
          <w:rFonts w:ascii="Calibri" w:hAnsi="Calibri" w:cs="Calibri"/>
          <w:b/>
          <w:bCs/>
        </w:rPr>
        <w:t xml:space="preserve"> </w:t>
      </w:r>
      <w:r w:rsidR="006A415B" w:rsidRPr="006B5294">
        <w:rPr>
          <w:rFonts w:ascii="Calibri" w:hAnsi="Calibri" w:cs="Calibri"/>
          <w:b/>
          <w:bCs/>
        </w:rPr>
        <w:t xml:space="preserve"> </w:t>
      </w:r>
    </w:p>
    <w:p w:rsidR="000512B0" w:rsidRPr="006B5294" w:rsidRDefault="000512B0" w:rsidP="00C2592B">
      <w:pPr>
        <w:jc w:val="both"/>
        <w:rPr>
          <w:rFonts w:ascii="Calibri" w:hAnsi="Calibri" w:cs="Calibri"/>
        </w:rPr>
      </w:pPr>
    </w:p>
    <w:p w:rsidR="00A34B91" w:rsidRPr="006B5294" w:rsidRDefault="00A34B91" w:rsidP="00387836">
      <w:pPr>
        <w:pStyle w:val="ac"/>
        <w:numPr>
          <w:ilvl w:val="0"/>
          <w:numId w:val="13"/>
        </w:numPr>
        <w:bidi w:val="0"/>
        <w:spacing w:line="240" w:lineRule="auto"/>
        <w:ind w:right="259"/>
        <w:rPr>
          <w:rFonts w:ascii="Calibri" w:hAnsi="Calibri" w:cs="Calibri"/>
          <w:b/>
          <w:bCs/>
        </w:rPr>
      </w:pPr>
      <w:r w:rsidRPr="006B5294">
        <w:rPr>
          <w:rFonts w:ascii="Calibri" w:hAnsi="Calibri" w:cs="Calibri"/>
          <w:b/>
          <w:bCs/>
        </w:rPr>
        <w:t xml:space="preserve">Since the outbreak of the </w:t>
      </w:r>
      <w:r w:rsidR="00387836" w:rsidRPr="006B5294">
        <w:rPr>
          <w:rFonts w:ascii="Calibri" w:hAnsi="Calibri" w:cs="Calibri"/>
          <w:b/>
          <w:bCs/>
        </w:rPr>
        <w:t>war</w:t>
      </w:r>
      <w:r w:rsidRPr="006B5294">
        <w:rPr>
          <w:rFonts w:ascii="Calibri" w:hAnsi="Calibri" w:cs="Calibri"/>
          <w:b/>
          <w:bCs/>
        </w:rPr>
        <w:t>, and in recent months in particular, geopolitical uncertainty and its economic ramifications ha</w:t>
      </w:r>
      <w:r w:rsidR="000970A9" w:rsidRPr="006B5294">
        <w:rPr>
          <w:rFonts w:ascii="Calibri" w:hAnsi="Calibri" w:cs="Calibri"/>
          <w:b/>
          <w:bCs/>
        </w:rPr>
        <w:t xml:space="preserve">ve </w:t>
      </w:r>
      <w:r w:rsidRPr="006B5294">
        <w:rPr>
          <w:rFonts w:ascii="Calibri" w:hAnsi="Calibri" w:cs="Calibri"/>
          <w:b/>
          <w:bCs/>
        </w:rPr>
        <w:t xml:space="preserve">increased. These, alongside the fiscal uncertainty, </w:t>
      </w:r>
      <w:proofErr w:type="gramStart"/>
      <w:r w:rsidRPr="006B5294">
        <w:rPr>
          <w:rFonts w:ascii="Calibri" w:hAnsi="Calibri" w:cs="Calibri"/>
          <w:b/>
          <w:bCs/>
        </w:rPr>
        <w:t>are also reflected</w:t>
      </w:r>
      <w:proofErr w:type="gramEnd"/>
      <w:r w:rsidRPr="006B5294">
        <w:rPr>
          <w:rFonts w:ascii="Calibri" w:hAnsi="Calibri" w:cs="Calibri"/>
          <w:b/>
          <w:bCs/>
        </w:rPr>
        <w:t xml:space="preserve"> in the high yield spreads between Israeli government bonds and US bonds, and in CDS spreads that are near record levels. </w:t>
      </w:r>
    </w:p>
    <w:p w:rsidR="00A34B91" w:rsidRPr="006B5294" w:rsidRDefault="00CB5BCC" w:rsidP="00B863E2">
      <w:pPr>
        <w:pStyle w:val="ac"/>
        <w:numPr>
          <w:ilvl w:val="0"/>
          <w:numId w:val="13"/>
        </w:numPr>
        <w:bidi w:val="0"/>
        <w:spacing w:line="240" w:lineRule="auto"/>
        <w:ind w:right="259"/>
        <w:rPr>
          <w:rFonts w:ascii="Calibri" w:hAnsi="Calibri" w:cs="Calibri"/>
          <w:b/>
          <w:bCs/>
        </w:rPr>
      </w:pPr>
      <w:r w:rsidRPr="006B5294">
        <w:rPr>
          <w:rFonts w:ascii="Calibri" w:hAnsi="Calibri" w:cs="Calibri"/>
          <w:b/>
          <w:bCs/>
        </w:rPr>
        <w:t>I</w:t>
      </w:r>
      <w:r w:rsidR="00A34B91" w:rsidRPr="006B5294">
        <w:rPr>
          <w:rFonts w:ascii="Calibri" w:hAnsi="Calibri" w:cs="Calibri"/>
          <w:b/>
          <w:bCs/>
        </w:rPr>
        <w:t>nflation has been on an upward trend in recent months</w:t>
      </w:r>
      <w:r w:rsidRPr="006B5294">
        <w:rPr>
          <w:rFonts w:ascii="Calibri" w:hAnsi="Calibri" w:cs="Calibri"/>
          <w:b/>
          <w:bCs/>
        </w:rPr>
        <w:t xml:space="preserve"> and is slightly above the upper bound of the target range. </w:t>
      </w:r>
      <w:r w:rsidR="00A34B91" w:rsidRPr="006B5294">
        <w:rPr>
          <w:rFonts w:ascii="Calibri" w:hAnsi="Calibri" w:cs="Calibri"/>
          <w:b/>
          <w:bCs/>
        </w:rPr>
        <w:t xml:space="preserve">The </w:t>
      </w:r>
      <w:r w:rsidRPr="006B5294">
        <w:rPr>
          <w:rFonts w:ascii="Calibri" w:hAnsi="Calibri" w:cs="Calibri"/>
          <w:b/>
          <w:bCs/>
        </w:rPr>
        <w:t xml:space="preserve">rise </w:t>
      </w:r>
      <w:r w:rsidR="00A34B91" w:rsidRPr="006B5294">
        <w:rPr>
          <w:rFonts w:ascii="Calibri" w:hAnsi="Calibri" w:cs="Calibri"/>
          <w:b/>
          <w:bCs/>
        </w:rPr>
        <w:t xml:space="preserve">in </w:t>
      </w:r>
      <w:r w:rsidRPr="006B5294">
        <w:rPr>
          <w:rFonts w:ascii="Calibri" w:hAnsi="Calibri" w:cs="Calibri"/>
          <w:b/>
          <w:bCs/>
        </w:rPr>
        <w:t xml:space="preserve">the </w:t>
      </w:r>
      <w:r w:rsidR="00A34B91" w:rsidRPr="006B5294">
        <w:rPr>
          <w:rFonts w:ascii="Calibri" w:hAnsi="Calibri" w:cs="Calibri"/>
          <w:b/>
          <w:bCs/>
        </w:rPr>
        <w:t xml:space="preserve">inflation </w:t>
      </w:r>
      <w:r w:rsidRPr="006B5294">
        <w:rPr>
          <w:rFonts w:ascii="Calibri" w:hAnsi="Calibri" w:cs="Calibri"/>
          <w:b/>
          <w:bCs/>
        </w:rPr>
        <w:t xml:space="preserve">rate </w:t>
      </w:r>
      <w:r w:rsidR="00A34B91" w:rsidRPr="006B5294">
        <w:rPr>
          <w:rFonts w:ascii="Calibri" w:hAnsi="Calibri" w:cs="Calibri"/>
          <w:b/>
          <w:bCs/>
        </w:rPr>
        <w:t xml:space="preserve">primarily reflects the </w:t>
      </w:r>
      <w:r w:rsidRPr="006B5294">
        <w:rPr>
          <w:rFonts w:ascii="Calibri" w:hAnsi="Calibri" w:cs="Calibri"/>
          <w:b/>
          <w:bCs/>
        </w:rPr>
        <w:t xml:space="preserve">increase in the </w:t>
      </w:r>
      <w:r w:rsidR="00A34B91" w:rsidRPr="006B5294">
        <w:rPr>
          <w:rFonts w:ascii="Calibri" w:hAnsi="Calibri" w:cs="Calibri"/>
          <w:b/>
          <w:bCs/>
        </w:rPr>
        <w:t xml:space="preserve">rate of </w:t>
      </w:r>
      <w:r w:rsidRPr="006B5294">
        <w:rPr>
          <w:rFonts w:ascii="Calibri" w:hAnsi="Calibri" w:cs="Calibri"/>
          <w:b/>
          <w:bCs/>
        </w:rPr>
        <w:t xml:space="preserve">change </w:t>
      </w:r>
      <w:r w:rsidR="00985CD7" w:rsidRPr="006B5294">
        <w:rPr>
          <w:rFonts w:ascii="Calibri" w:hAnsi="Calibri" w:cs="Calibri"/>
          <w:b/>
          <w:bCs/>
        </w:rPr>
        <w:t xml:space="preserve">in prices </w:t>
      </w:r>
      <w:r w:rsidRPr="006B5294">
        <w:rPr>
          <w:rFonts w:ascii="Calibri" w:hAnsi="Calibri" w:cs="Calibri"/>
          <w:b/>
          <w:bCs/>
        </w:rPr>
        <w:t xml:space="preserve">of </w:t>
      </w:r>
      <w:r w:rsidR="00985CD7" w:rsidRPr="006B5294">
        <w:rPr>
          <w:rFonts w:ascii="Calibri" w:hAnsi="Calibri" w:cs="Calibri"/>
          <w:b/>
          <w:bCs/>
        </w:rPr>
        <w:t xml:space="preserve">the </w:t>
      </w:r>
      <w:proofErr w:type="spellStart"/>
      <w:r w:rsidRPr="006B5294">
        <w:rPr>
          <w:rFonts w:ascii="Calibri" w:hAnsi="Calibri" w:cs="Calibri"/>
          <w:b/>
          <w:bCs/>
        </w:rPr>
        <w:t>nontradable</w:t>
      </w:r>
      <w:proofErr w:type="spellEnd"/>
      <w:r w:rsidRPr="006B5294">
        <w:rPr>
          <w:rFonts w:ascii="Calibri" w:hAnsi="Calibri" w:cs="Calibri"/>
          <w:b/>
          <w:bCs/>
        </w:rPr>
        <w:t xml:space="preserve"> components.</w:t>
      </w:r>
    </w:p>
    <w:p w:rsidR="00A34B91" w:rsidRPr="006B5294" w:rsidRDefault="00A34B91" w:rsidP="00B863E2">
      <w:pPr>
        <w:pStyle w:val="ac"/>
        <w:numPr>
          <w:ilvl w:val="0"/>
          <w:numId w:val="13"/>
        </w:numPr>
        <w:bidi w:val="0"/>
        <w:spacing w:line="240" w:lineRule="auto"/>
        <w:ind w:right="259"/>
        <w:rPr>
          <w:rFonts w:ascii="Calibri" w:hAnsi="Calibri" w:cs="Calibri"/>
          <w:b/>
          <w:bCs/>
        </w:rPr>
      </w:pPr>
      <w:r w:rsidRPr="006B5294">
        <w:rPr>
          <w:rFonts w:ascii="Calibri" w:hAnsi="Calibri" w:cs="Calibri"/>
          <w:b/>
          <w:bCs/>
        </w:rPr>
        <w:t xml:space="preserve">Since the previous interest rate decision, the shekel has remained unchanged against the dollar and </w:t>
      </w:r>
      <w:r w:rsidR="00CB5BCC" w:rsidRPr="006B5294">
        <w:rPr>
          <w:rFonts w:ascii="Calibri" w:hAnsi="Calibri" w:cs="Calibri"/>
          <w:b/>
          <w:bCs/>
        </w:rPr>
        <w:t xml:space="preserve">has </w:t>
      </w:r>
      <w:r w:rsidRPr="006B5294">
        <w:rPr>
          <w:rFonts w:ascii="Calibri" w:hAnsi="Calibri" w:cs="Calibri"/>
          <w:b/>
          <w:bCs/>
        </w:rPr>
        <w:t>weakened by about 3 percent vis-à-vis the euro</w:t>
      </w:r>
      <w:r w:rsidR="00CB5BCC" w:rsidRPr="006B5294">
        <w:rPr>
          <w:rFonts w:ascii="Calibri" w:hAnsi="Calibri" w:cs="Calibri"/>
          <w:b/>
          <w:bCs/>
        </w:rPr>
        <w:t xml:space="preserve"> </w:t>
      </w:r>
      <w:r w:rsidRPr="006B5294">
        <w:rPr>
          <w:rFonts w:ascii="Calibri" w:hAnsi="Calibri" w:cs="Calibri"/>
          <w:b/>
          <w:bCs/>
        </w:rPr>
        <w:t>and by 1</w:t>
      </w:r>
      <w:r w:rsidR="00CB5BCC" w:rsidRPr="006B5294">
        <w:rPr>
          <w:rFonts w:ascii="Calibri" w:hAnsi="Calibri" w:cs="Calibri"/>
          <w:b/>
          <w:bCs/>
        </w:rPr>
        <w:t>.4</w:t>
      </w:r>
      <w:r w:rsidRPr="006B5294">
        <w:rPr>
          <w:rFonts w:ascii="Calibri" w:hAnsi="Calibri" w:cs="Calibri"/>
          <w:b/>
          <w:bCs/>
        </w:rPr>
        <w:t xml:space="preserve"> percent in nominal effective exchange rate terms.</w:t>
      </w:r>
    </w:p>
    <w:p w:rsidR="00DF60FF" w:rsidRPr="006B5294" w:rsidRDefault="009E4057" w:rsidP="00B863E2">
      <w:pPr>
        <w:pStyle w:val="ac"/>
        <w:numPr>
          <w:ilvl w:val="0"/>
          <w:numId w:val="13"/>
        </w:numPr>
        <w:bidi w:val="0"/>
        <w:spacing w:line="240" w:lineRule="auto"/>
        <w:ind w:right="259"/>
        <w:rPr>
          <w:rFonts w:ascii="Calibri" w:hAnsi="Calibri" w:cs="Calibri"/>
          <w:b/>
          <w:bCs/>
        </w:rPr>
      </w:pPr>
      <w:r w:rsidRPr="006B5294">
        <w:rPr>
          <w:rFonts w:ascii="Calibri" w:hAnsi="Calibri" w:cs="Calibri"/>
          <w:b/>
          <w:bCs/>
        </w:rPr>
        <w:t xml:space="preserve">In the housing market, home prices </w:t>
      </w:r>
      <w:r w:rsidR="00DF60FF" w:rsidRPr="006B5294">
        <w:rPr>
          <w:rFonts w:ascii="Calibri" w:hAnsi="Calibri" w:cs="Calibri"/>
          <w:b/>
          <w:bCs/>
        </w:rPr>
        <w:t xml:space="preserve">and new mortgage </w:t>
      </w:r>
      <w:r w:rsidR="00A2455D" w:rsidRPr="006B5294">
        <w:rPr>
          <w:rFonts w:ascii="Calibri" w:hAnsi="Calibri" w:cs="Calibri"/>
          <w:b/>
          <w:bCs/>
        </w:rPr>
        <w:t xml:space="preserve">volume </w:t>
      </w:r>
      <w:r w:rsidR="00984AE2" w:rsidRPr="006B5294">
        <w:rPr>
          <w:rFonts w:ascii="Calibri" w:hAnsi="Calibri" w:cs="Calibri"/>
          <w:b/>
          <w:bCs/>
        </w:rPr>
        <w:t xml:space="preserve">continue to </w:t>
      </w:r>
      <w:r w:rsidRPr="006B5294">
        <w:rPr>
          <w:rFonts w:ascii="Calibri" w:hAnsi="Calibri" w:cs="Calibri"/>
          <w:b/>
          <w:bCs/>
        </w:rPr>
        <w:t>increase</w:t>
      </w:r>
      <w:r w:rsidR="00DF60FF" w:rsidRPr="006B5294">
        <w:rPr>
          <w:rFonts w:ascii="Calibri" w:hAnsi="Calibri" w:cs="Calibri"/>
          <w:b/>
          <w:bCs/>
        </w:rPr>
        <w:t xml:space="preserve">. </w:t>
      </w:r>
      <w:r w:rsidR="00A2455D" w:rsidRPr="006B5294">
        <w:rPr>
          <w:rFonts w:ascii="Calibri" w:hAnsi="Calibri" w:cs="Calibri"/>
          <w:b/>
          <w:bCs/>
        </w:rPr>
        <w:t>The constraints on a</w:t>
      </w:r>
      <w:r w:rsidR="00DF60FF" w:rsidRPr="006B5294">
        <w:rPr>
          <w:rFonts w:ascii="Calibri" w:hAnsi="Calibri" w:cs="Calibri"/>
          <w:b/>
          <w:bCs/>
        </w:rPr>
        <w:t>ctivity in the construction industry</w:t>
      </w:r>
      <w:r w:rsidR="00A2455D" w:rsidRPr="006B5294">
        <w:rPr>
          <w:rFonts w:ascii="Calibri" w:hAnsi="Calibri" w:cs="Calibri"/>
          <w:b/>
          <w:bCs/>
        </w:rPr>
        <w:t>, in view of the war, are still significant</w:t>
      </w:r>
      <w:r w:rsidR="00207FB2" w:rsidRPr="006B5294">
        <w:rPr>
          <w:rFonts w:ascii="Calibri" w:hAnsi="Calibri" w:cs="Calibri"/>
          <w:b/>
          <w:bCs/>
        </w:rPr>
        <w:t>,</w:t>
      </w:r>
      <w:r w:rsidR="00A2455D" w:rsidRPr="006B5294">
        <w:rPr>
          <w:rFonts w:ascii="Calibri" w:hAnsi="Calibri" w:cs="Calibri"/>
          <w:b/>
          <w:bCs/>
        </w:rPr>
        <w:t xml:space="preserve"> and construction industry activity is recovering slowly.</w:t>
      </w:r>
    </w:p>
    <w:p w:rsidR="00A34B91" w:rsidRPr="006B5294" w:rsidRDefault="00A2455D" w:rsidP="00892236">
      <w:pPr>
        <w:pStyle w:val="ac"/>
        <w:numPr>
          <w:ilvl w:val="0"/>
          <w:numId w:val="13"/>
        </w:numPr>
        <w:bidi w:val="0"/>
        <w:spacing w:line="240" w:lineRule="auto"/>
        <w:ind w:right="259"/>
        <w:rPr>
          <w:rFonts w:ascii="Calibri" w:hAnsi="Calibri" w:cs="Calibri"/>
          <w:b/>
          <w:bCs/>
        </w:rPr>
      </w:pPr>
      <w:r w:rsidRPr="006B5294">
        <w:rPr>
          <w:rFonts w:ascii="Calibri" w:hAnsi="Calibri" w:cs="Calibri"/>
          <w:b/>
          <w:bCs/>
        </w:rPr>
        <w:t xml:space="preserve">In the labor market, there </w:t>
      </w:r>
      <w:r w:rsidR="00A34B91" w:rsidRPr="006B5294">
        <w:rPr>
          <w:rFonts w:ascii="Calibri" w:hAnsi="Calibri" w:cs="Calibri"/>
          <w:b/>
          <w:bCs/>
        </w:rPr>
        <w:t xml:space="preserve">is a </w:t>
      </w:r>
      <w:r w:rsidRPr="006B5294">
        <w:rPr>
          <w:rFonts w:ascii="Calibri" w:hAnsi="Calibri" w:cs="Calibri"/>
          <w:b/>
          <w:bCs/>
        </w:rPr>
        <w:t xml:space="preserve">labor </w:t>
      </w:r>
      <w:r w:rsidR="00A34B91" w:rsidRPr="006B5294">
        <w:rPr>
          <w:rFonts w:ascii="Calibri" w:hAnsi="Calibri" w:cs="Calibri"/>
          <w:b/>
          <w:bCs/>
        </w:rPr>
        <w:t xml:space="preserve">supply </w:t>
      </w:r>
      <w:r w:rsidRPr="006B5294">
        <w:rPr>
          <w:rFonts w:ascii="Calibri" w:hAnsi="Calibri" w:cs="Calibri"/>
          <w:b/>
          <w:bCs/>
        </w:rPr>
        <w:t>constraint due to the impact of the war</w:t>
      </w:r>
      <w:r w:rsidR="00892236" w:rsidRPr="006B5294">
        <w:rPr>
          <w:rFonts w:ascii="Calibri" w:hAnsi="Calibri" w:cs="Calibri"/>
          <w:b/>
          <w:bCs/>
        </w:rPr>
        <w:t xml:space="preserve">, </w:t>
      </w:r>
      <w:r w:rsidRPr="006B5294">
        <w:rPr>
          <w:rFonts w:ascii="Calibri" w:hAnsi="Calibri" w:cs="Calibri"/>
          <w:b/>
          <w:bCs/>
        </w:rPr>
        <w:t>and there has been an increase in the number of job vacancies and a decline in the unemployment rate.</w:t>
      </w:r>
    </w:p>
    <w:p w:rsidR="00937C76" w:rsidRPr="006B5294" w:rsidRDefault="00892236" w:rsidP="00892236">
      <w:pPr>
        <w:pStyle w:val="ac"/>
        <w:numPr>
          <w:ilvl w:val="0"/>
          <w:numId w:val="13"/>
        </w:numPr>
        <w:bidi w:val="0"/>
        <w:spacing w:line="240" w:lineRule="auto"/>
        <w:ind w:right="259"/>
        <w:rPr>
          <w:rFonts w:ascii="Calibri" w:hAnsi="Calibri" w:cs="Calibri"/>
          <w:b/>
          <w:bCs/>
        </w:rPr>
      </w:pPr>
      <w:r w:rsidRPr="006B5294">
        <w:rPr>
          <w:rFonts w:ascii="Calibri" w:hAnsi="Calibri" w:cs="Calibri"/>
          <w:b/>
          <w:bCs/>
        </w:rPr>
        <w:t>Worldwide, e</w:t>
      </w:r>
      <w:r w:rsidR="00937C76" w:rsidRPr="006B5294">
        <w:rPr>
          <w:rFonts w:ascii="Calibri" w:hAnsi="Calibri" w:cs="Calibri"/>
          <w:b/>
          <w:bCs/>
        </w:rPr>
        <w:t xml:space="preserve">conomic activity continues to expand, the inflation rate is moderating, and the markets are expecting several interest rate reductions </w:t>
      </w:r>
      <w:r w:rsidR="00B45345" w:rsidRPr="006B5294">
        <w:rPr>
          <w:rFonts w:ascii="Calibri" w:hAnsi="Calibri" w:cs="Calibri"/>
          <w:b/>
          <w:bCs/>
        </w:rPr>
        <w:t xml:space="preserve">over the course of the </w:t>
      </w:r>
      <w:r w:rsidR="00937C76" w:rsidRPr="006B5294">
        <w:rPr>
          <w:rFonts w:ascii="Calibri" w:hAnsi="Calibri" w:cs="Calibri"/>
          <w:b/>
          <w:bCs/>
        </w:rPr>
        <w:t>year by the Fed and the ECB.</w:t>
      </w:r>
    </w:p>
    <w:p w:rsidR="00CD5043" w:rsidRPr="006B5294" w:rsidRDefault="00CD5043" w:rsidP="00CD5043">
      <w:pPr>
        <w:rPr>
          <w:rFonts w:ascii="Calibri" w:hAnsi="Calibri" w:cs="Calibri"/>
          <w:b/>
          <w:bCs/>
          <w:rtl/>
        </w:rPr>
      </w:pPr>
    </w:p>
    <w:p w:rsidR="002919ED" w:rsidRPr="006B5294" w:rsidRDefault="003E2FB9" w:rsidP="00CD5043">
      <w:pPr>
        <w:ind w:left="-270" w:right="265"/>
        <w:jc w:val="both"/>
        <w:rPr>
          <w:rFonts w:ascii="Calibri" w:hAnsi="Calibri" w:cs="Calibri"/>
          <w:b/>
          <w:bCs/>
        </w:rPr>
      </w:pPr>
      <w:r w:rsidRPr="006B5294">
        <w:rPr>
          <w:rFonts w:ascii="Calibri" w:hAnsi="Calibri" w:cs="Calibri"/>
          <w:b/>
          <w:bCs/>
        </w:rPr>
        <w:t xml:space="preserve">In view of the </w:t>
      </w:r>
      <w:r w:rsidR="00DF60FF" w:rsidRPr="006B5294">
        <w:rPr>
          <w:rFonts w:ascii="Calibri" w:hAnsi="Calibri" w:cs="Calibri"/>
          <w:b/>
          <w:bCs/>
        </w:rPr>
        <w:t xml:space="preserve">continuing </w:t>
      </w:r>
      <w:r w:rsidRPr="006B5294">
        <w:rPr>
          <w:rFonts w:ascii="Calibri" w:hAnsi="Calibri" w:cs="Calibri"/>
          <w:b/>
          <w:bCs/>
        </w:rPr>
        <w:t xml:space="preserve">war, the Monetary Committee’s policy is focusing on stabilizing the markets and reducing uncertainty, </w:t>
      </w:r>
      <w:r w:rsidR="008D5EB4" w:rsidRPr="006B5294">
        <w:rPr>
          <w:rFonts w:ascii="Calibri" w:hAnsi="Calibri" w:cs="Calibri"/>
          <w:b/>
          <w:bCs/>
        </w:rPr>
        <w:t>alongside price stability and supporting economic activity.</w:t>
      </w:r>
      <w:r w:rsidR="00195AC7" w:rsidRPr="006B5294">
        <w:rPr>
          <w:rFonts w:ascii="Calibri" w:hAnsi="Calibri" w:cs="Calibri"/>
          <w:b/>
          <w:bCs/>
        </w:rPr>
        <w:t xml:space="preserve"> </w:t>
      </w:r>
      <w:r w:rsidR="008D5EB4" w:rsidRPr="006B5294">
        <w:rPr>
          <w:rFonts w:ascii="Calibri" w:hAnsi="Calibri" w:cs="Calibri"/>
          <w:b/>
          <w:bCs/>
        </w:rPr>
        <w:t>The interest rate path</w:t>
      </w:r>
      <w:r w:rsidRPr="006B5294">
        <w:rPr>
          <w:rFonts w:ascii="Calibri" w:hAnsi="Calibri" w:cs="Calibri"/>
          <w:b/>
          <w:bCs/>
        </w:rPr>
        <w:t xml:space="preserve"> will be determined in accordance with</w:t>
      </w:r>
      <w:r w:rsidR="00560CDB" w:rsidRPr="006B5294">
        <w:rPr>
          <w:rFonts w:ascii="Calibri" w:hAnsi="Calibri" w:cs="Calibri"/>
          <w:b/>
          <w:bCs/>
        </w:rPr>
        <w:t xml:space="preserve"> the convergence of inflation to its target, continued stability in the</w:t>
      </w:r>
      <w:r w:rsidR="00851499" w:rsidRPr="006B5294">
        <w:rPr>
          <w:rFonts w:ascii="Calibri" w:hAnsi="Calibri" w:cs="Calibri"/>
          <w:b/>
          <w:bCs/>
        </w:rPr>
        <w:t xml:space="preserve"> </w:t>
      </w:r>
      <w:r w:rsidR="008D5EB4" w:rsidRPr="006B5294">
        <w:rPr>
          <w:rFonts w:ascii="Calibri" w:hAnsi="Calibri" w:cs="Calibri"/>
          <w:b/>
          <w:bCs/>
        </w:rPr>
        <w:t>financial markets</w:t>
      </w:r>
      <w:r w:rsidR="00560CDB" w:rsidRPr="006B5294">
        <w:rPr>
          <w:rFonts w:ascii="Calibri" w:hAnsi="Calibri" w:cs="Calibri"/>
          <w:b/>
          <w:bCs/>
        </w:rPr>
        <w:t xml:space="preserve">, </w:t>
      </w:r>
      <w:r w:rsidR="008D5EB4" w:rsidRPr="006B5294">
        <w:rPr>
          <w:rFonts w:ascii="Calibri" w:hAnsi="Calibri" w:cs="Calibri"/>
          <w:b/>
          <w:bCs/>
        </w:rPr>
        <w:t>economic activity</w:t>
      </w:r>
      <w:r w:rsidR="00560CDB" w:rsidRPr="006B5294">
        <w:rPr>
          <w:rFonts w:ascii="Calibri" w:hAnsi="Calibri" w:cs="Calibri"/>
          <w:b/>
          <w:bCs/>
        </w:rPr>
        <w:t>, and fiscal policy</w:t>
      </w:r>
      <w:r w:rsidR="008D5EB4" w:rsidRPr="006B5294">
        <w:rPr>
          <w:rFonts w:ascii="Calibri" w:hAnsi="Calibri" w:cs="Calibri"/>
          <w:b/>
          <w:bCs/>
        </w:rPr>
        <w:t>.</w:t>
      </w:r>
    </w:p>
    <w:p w:rsidR="00514240" w:rsidRPr="006B5294" w:rsidRDefault="00514240" w:rsidP="00C2592B">
      <w:pPr>
        <w:jc w:val="both"/>
        <w:rPr>
          <w:rFonts w:ascii="Calibri" w:hAnsi="Calibri" w:cs="Calibri"/>
          <w:b/>
          <w:bCs/>
        </w:rPr>
      </w:pPr>
    </w:p>
    <w:p w:rsidR="002E392D" w:rsidRPr="006B5294" w:rsidRDefault="002E392D" w:rsidP="00C2592B">
      <w:pPr>
        <w:jc w:val="both"/>
        <w:rPr>
          <w:rFonts w:ascii="Calibri" w:hAnsi="Calibri" w:cs="Calibri"/>
        </w:rPr>
      </w:pPr>
    </w:p>
    <w:p w:rsidR="003844AF" w:rsidRPr="006B5294" w:rsidRDefault="003844AF" w:rsidP="00387836">
      <w:pPr>
        <w:ind w:left="-270" w:right="265"/>
        <w:jc w:val="both"/>
        <w:rPr>
          <w:rFonts w:ascii="Calibri" w:hAnsi="Calibri" w:cs="Calibri"/>
        </w:rPr>
      </w:pPr>
      <w:r w:rsidRPr="006B5294">
        <w:rPr>
          <w:rFonts w:ascii="Calibri" w:hAnsi="Calibri" w:cs="Calibri"/>
        </w:rPr>
        <w:t xml:space="preserve">Since the outbreak of the </w:t>
      </w:r>
      <w:r w:rsidR="00387836" w:rsidRPr="006B5294">
        <w:rPr>
          <w:rFonts w:ascii="Calibri" w:hAnsi="Calibri" w:cs="Calibri"/>
        </w:rPr>
        <w:t>war</w:t>
      </w:r>
      <w:r w:rsidRPr="006B5294">
        <w:rPr>
          <w:rFonts w:ascii="Calibri" w:hAnsi="Calibri" w:cs="Calibri"/>
        </w:rPr>
        <w:t xml:space="preserve">, and in recent months in particular, </w:t>
      </w:r>
      <w:r w:rsidR="009775A1" w:rsidRPr="006B5294">
        <w:rPr>
          <w:rFonts w:ascii="Calibri" w:hAnsi="Calibri" w:cs="Calibri"/>
        </w:rPr>
        <w:t xml:space="preserve">geopolitical uncertainty and its economic ramifications </w:t>
      </w:r>
      <w:r w:rsidR="001D4876" w:rsidRPr="006B5294">
        <w:rPr>
          <w:rFonts w:ascii="Calibri" w:hAnsi="Calibri" w:cs="Calibri"/>
        </w:rPr>
        <w:t xml:space="preserve">have </w:t>
      </w:r>
      <w:r w:rsidR="009775A1" w:rsidRPr="006B5294">
        <w:rPr>
          <w:rFonts w:ascii="Calibri" w:hAnsi="Calibri" w:cs="Calibri"/>
        </w:rPr>
        <w:t xml:space="preserve">increased. These, alongside the fiscal uncertainty, </w:t>
      </w:r>
      <w:proofErr w:type="gramStart"/>
      <w:r w:rsidR="009775A1" w:rsidRPr="006B5294">
        <w:rPr>
          <w:rFonts w:ascii="Calibri" w:hAnsi="Calibri" w:cs="Calibri"/>
        </w:rPr>
        <w:t>are also reflected</w:t>
      </w:r>
      <w:proofErr w:type="gramEnd"/>
      <w:r w:rsidR="009775A1" w:rsidRPr="006B5294">
        <w:rPr>
          <w:rFonts w:ascii="Calibri" w:hAnsi="Calibri" w:cs="Calibri"/>
        </w:rPr>
        <w:t xml:space="preserve"> </w:t>
      </w:r>
      <w:r w:rsidR="009775A1" w:rsidRPr="006B5294">
        <w:rPr>
          <w:rFonts w:ascii="Calibri" w:hAnsi="Calibri" w:cs="Calibri"/>
        </w:rPr>
        <w:lastRenderedPageBreak/>
        <w:t xml:space="preserve">in the </w:t>
      </w:r>
      <w:r w:rsidRPr="006B5294">
        <w:rPr>
          <w:rFonts w:ascii="Calibri" w:hAnsi="Calibri" w:cs="Calibri"/>
        </w:rPr>
        <w:t>high yield spreads between Israeli government bonds and US bonds, and in CDS spreads that are near record levels</w:t>
      </w:r>
      <w:r w:rsidR="009775A1" w:rsidRPr="006B5294">
        <w:rPr>
          <w:rFonts w:ascii="Calibri" w:hAnsi="Calibri" w:cs="Calibri"/>
        </w:rPr>
        <w:t xml:space="preserve">. The level of economic activity is </w:t>
      </w:r>
      <w:r w:rsidR="003978C2" w:rsidRPr="006B5294">
        <w:rPr>
          <w:rFonts w:ascii="Calibri" w:hAnsi="Calibri" w:cs="Calibri"/>
        </w:rPr>
        <w:t xml:space="preserve">lower than the trend line and even lower than its level in the corresponding quarter of 2023, and </w:t>
      </w:r>
      <w:proofErr w:type="gramStart"/>
      <w:r w:rsidR="003978C2" w:rsidRPr="006B5294">
        <w:rPr>
          <w:rFonts w:ascii="Calibri" w:hAnsi="Calibri" w:cs="Calibri"/>
        </w:rPr>
        <w:t>is greatly impacted</w:t>
      </w:r>
      <w:proofErr w:type="gramEnd"/>
      <w:r w:rsidR="003978C2" w:rsidRPr="006B5294">
        <w:rPr>
          <w:rFonts w:ascii="Calibri" w:hAnsi="Calibri" w:cs="Calibri"/>
        </w:rPr>
        <w:t xml:space="preserve"> by supply limitations.</w:t>
      </w:r>
    </w:p>
    <w:p w:rsidR="00A34B91" w:rsidRPr="006B5294" w:rsidRDefault="00A34B91" w:rsidP="00CD5043">
      <w:pPr>
        <w:ind w:left="-270" w:right="265"/>
        <w:jc w:val="both"/>
        <w:rPr>
          <w:rFonts w:ascii="Calibri" w:hAnsi="Calibri" w:cs="Calibri"/>
        </w:rPr>
      </w:pPr>
    </w:p>
    <w:p w:rsidR="0054460C" w:rsidRPr="006B5294" w:rsidRDefault="009775A1" w:rsidP="004B2D83">
      <w:pPr>
        <w:ind w:left="-270" w:right="265"/>
        <w:jc w:val="both"/>
        <w:rPr>
          <w:rFonts w:ascii="Calibri" w:hAnsi="Calibri" w:cs="Calibri"/>
        </w:rPr>
      </w:pPr>
      <w:r w:rsidRPr="006B5294">
        <w:rPr>
          <w:rFonts w:ascii="Calibri" w:hAnsi="Calibri" w:cs="Calibri"/>
        </w:rPr>
        <w:t>The i</w:t>
      </w:r>
      <w:r w:rsidR="003978C2" w:rsidRPr="006B5294">
        <w:rPr>
          <w:rFonts w:ascii="Calibri" w:hAnsi="Calibri" w:cs="Calibri"/>
        </w:rPr>
        <w:t xml:space="preserve">nflation </w:t>
      </w:r>
      <w:r w:rsidRPr="006B5294">
        <w:rPr>
          <w:rFonts w:ascii="Calibri" w:hAnsi="Calibri" w:cs="Calibri"/>
        </w:rPr>
        <w:t xml:space="preserve">environment has been on </w:t>
      </w:r>
      <w:r w:rsidR="003978C2" w:rsidRPr="006B5294">
        <w:rPr>
          <w:rFonts w:ascii="Calibri" w:hAnsi="Calibri" w:cs="Calibri"/>
        </w:rPr>
        <w:t>an upward trend in recent months</w:t>
      </w:r>
      <w:r w:rsidRPr="006B5294">
        <w:rPr>
          <w:rFonts w:ascii="Calibri" w:hAnsi="Calibri" w:cs="Calibri"/>
        </w:rPr>
        <w:t xml:space="preserve">. </w:t>
      </w:r>
      <w:r w:rsidR="003978C2" w:rsidRPr="006B5294">
        <w:rPr>
          <w:rFonts w:ascii="Calibri" w:hAnsi="Calibri" w:cs="Calibri"/>
        </w:rPr>
        <w:t xml:space="preserve">The CPI </w:t>
      </w:r>
      <w:r w:rsidR="001D4876" w:rsidRPr="006B5294">
        <w:rPr>
          <w:rFonts w:ascii="Calibri" w:hAnsi="Calibri" w:cs="Calibri"/>
        </w:rPr>
        <w:t xml:space="preserve">increased by 0.1 percent for June </w:t>
      </w:r>
      <w:r w:rsidR="00332016" w:rsidRPr="006B5294">
        <w:rPr>
          <w:rFonts w:ascii="Calibri" w:hAnsi="Calibri" w:cs="Calibri"/>
        </w:rPr>
        <w:t xml:space="preserve">and </w:t>
      </w:r>
      <w:r w:rsidR="001D4876" w:rsidRPr="006B5294">
        <w:rPr>
          <w:rFonts w:ascii="Calibri" w:hAnsi="Calibri" w:cs="Calibri"/>
        </w:rPr>
        <w:t xml:space="preserve">by </w:t>
      </w:r>
      <w:r w:rsidR="00A34B91" w:rsidRPr="006B5294">
        <w:rPr>
          <w:rFonts w:ascii="Calibri" w:hAnsi="Calibri" w:cs="Calibri"/>
        </w:rPr>
        <w:t>0.6 percent</w:t>
      </w:r>
      <w:r w:rsidR="001D4876" w:rsidRPr="006B5294">
        <w:rPr>
          <w:rFonts w:ascii="Calibri" w:hAnsi="Calibri" w:cs="Calibri"/>
        </w:rPr>
        <w:t xml:space="preserve"> for July</w:t>
      </w:r>
      <w:r w:rsidR="00A34B91" w:rsidRPr="006B5294">
        <w:rPr>
          <w:rFonts w:ascii="Calibri" w:hAnsi="Calibri" w:cs="Calibri"/>
        </w:rPr>
        <w:t>. T</w:t>
      </w:r>
      <w:r w:rsidR="003978C2" w:rsidRPr="006B5294">
        <w:rPr>
          <w:rFonts w:ascii="Calibri" w:hAnsi="Calibri" w:cs="Calibri"/>
        </w:rPr>
        <w:t xml:space="preserve">he inflation rate over the </w:t>
      </w:r>
      <w:r w:rsidR="00A34B91" w:rsidRPr="006B5294">
        <w:rPr>
          <w:rFonts w:ascii="Calibri" w:hAnsi="Calibri" w:cs="Calibri"/>
        </w:rPr>
        <w:t xml:space="preserve">past </w:t>
      </w:r>
      <w:r w:rsidR="003978C2" w:rsidRPr="006B5294">
        <w:rPr>
          <w:rFonts w:ascii="Calibri" w:hAnsi="Calibri" w:cs="Calibri"/>
        </w:rPr>
        <w:t xml:space="preserve">12 months is 3.2 percent, slightly above the upper bound of the target </w:t>
      </w:r>
      <w:r w:rsidR="003978C2" w:rsidRPr="006B5294">
        <w:rPr>
          <w:rFonts w:ascii="Calibri" w:hAnsi="Calibri" w:cs="Calibri"/>
          <w:b/>
          <w:bCs/>
        </w:rPr>
        <w:t>(Figure 1)</w:t>
      </w:r>
      <w:r w:rsidR="003978C2" w:rsidRPr="006B5294">
        <w:rPr>
          <w:rFonts w:ascii="Calibri" w:hAnsi="Calibri" w:cs="Calibri"/>
        </w:rPr>
        <w:t xml:space="preserve">. Net of </w:t>
      </w:r>
      <w:proofErr w:type="gramStart"/>
      <w:r w:rsidR="003978C2" w:rsidRPr="006B5294">
        <w:rPr>
          <w:rFonts w:ascii="Calibri" w:hAnsi="Calibri" w:cs="Calibri"/>
        </w:rPr>
        <w:t>energy and fruit</w:t>
      </w:r>
      <w:proofErr w:type="gramEnd"/>
      <w:r w:rsidR="003978C2" w:rsidRPr="006B5294">
        <w:rPr>
          <w:rFonts w:ascii="Calibri" w:hAnsi="Calibri" w:cs="Calibri"/>
        </w:rPr>
        <w:t xml:space="preserve"> and vegetables, inflation is at a year over year pace of 2.8 percent</w:t>
      </w:r>
      <w:r w:rsidRPr="006B5294">
        <w:rPr>
          <w:rFonts w:ascii="Calibri" w:hAnsi="Calibri" w:cs="Calibri"/>
        </w:rPr>
        <w:t xml:space="preserve"> </w:t>
      </w:r>
      <w:r w:rsidR="003978C2" w:rsidRPr="006B5294">
        <w:rPr>
          <w:rFonts w:ascii="Calibri" w:hAnsi="Calibri" w:cs="Calibri"/>
          <w:b/>
          <w:bCs/>
        </w:rPr>
        <w:t>(Figure 2)</w:t>
      </w:r>
      <w:r w:rsidR="003978C2" w:rsidRPr="006B5294">
        <w:rPr>
          <w:rFonts w:ascii="Calibri" w:hAnsi="Calibri" w:cs="Calibri"/>
        </w:rPr>
        <w:t>.</w:t>
      </w:r>
      <w:r w:rsidR="0071424E" w:rsidRPr="006B5294">
        <w:rPr>
          <w:rFonts w:ascii="Calibri" w:hAnsi="Calibri" w:cs="Calibri"/>
        </w:rPr>
        <w:t xml:space="preserve"> The increase in inflation primarily reflects </w:t>
      </w:r>
      <w:r w:rsidR="00A34B91" w:rsidRPr="006B5294">
        <w:rPr>
          <w:rFonts w:ascii="Calibri" w:hAnsi="Calibri" w:cs="Calibri"/>
        </w:rPr>
        <w:t xml:space="preserve">the increase in the </w:t>
      </w:r>
      <w:r w:rsidR="0071424E" w:rsidRPr="006B5294">
        <w:rPr>
          <w:rFonts w:ascii="Calibri" w:hAnsi="Calibri" w:cs="Calibri"/>
        </w:rPr>
        <w:t xml:space="preserve">rate of </w:t>
      </w:r>
      <w:r w:rsidR="00A34B91" w:rsidRPr="006B5294">
        <w:rPr>
          <w:rFonts w:ascii="Calibri" w:hAnsi="Calibri" w:cs="Calibri"/>
        </w:rPr>
        <w:t xml:space="preserve">change in </w:t>
      </w:r>
      <w:r w:rsidR="00332016" w:rsidRPr="006B5294">
        <w:rPr>
          <w:rFonts w:ascii="Calibri" w:hAnsi="Calibri" w:cs="Calibri"/>
        </w:rPr>
        <w:t xml:space="preserve">prices of </w:t>
      </w:r>
      <w:proofErr w:type="spellStart"/>
      <w:r w:rsidR="0071424E" w:rsidRPr="006B5294">
        <w:rPr>
          <w:rFonts w:ascii="Calibri" w:hAnsi="Calibri" w:cs="Calibri"/>
        </w:rPr>
        <w:t>nontradable</w:t>
      </w:r>
      <w:proofErr w:type="spellEnd"/>
      <w:r w:rsidR="0071424E" w:rsidRPr="006B5294">
        <w:rPr>
          <w:rFonts w:ascii="Calibri" w:hAnsi="Calibri" w:cs="Calibri"/>
        </w:rPr>
        <w:t xml:space="preserve"> components, which is 3.4 percent</w:t>
      </w:r>
      <w:r w:rsidRPr="006B5294">
        <w:rPr>
          <w:rFonts w:ascii="Calibri" w:hAnsi="Calibri" w:cs="Calibri"/>
        </w:rPr>
        <w:t xml:space="preserve"> in annual terms</w:t>
      </w:r>
      <w:r w:rsidR="0071424E" w:rsidRPr="006B5294">
        <w:rPr>
          <w:rFonts w:ascii="Calibri" w:hAnsi="Calibri" w:cs="Calibri"/>
        </w:rPr>
        <w:t>,</w:t>
      </w:r>
      <w:r w:rsidRPr="006B5294">
        <w:rPr>
          <w:rFonts w:ascii="Calibri" w:hAnsi="Calibri" w:cs="Calibri"/>
        </w:rPr>
        <w:t xml:space="preserve"> and 5.4 percent in the past 3 months (in annual terms). </w:t>
      </w:r>
      <w:r w:rsidR="00651161" w:rsidRPr="006B5294">
        <w:rPr>
          <w:rFonts w:ascii="Calibri" w:hAnsi="Calibri" w:cs="Calibri"/>
        </w:rPr>
        <w:t xml:space="preserve">In contrast, the </w:t>
      </w:r>
      <w:r w:rsidR="00A34B91" w:rsidRPr="006B5294">
        <w:rPr>
          <w:rFonts w:ascii="Calibri" w:hAnsi="Calibri" w:cs="Calibri"/>
        </w:rPr>
        <w:t xml:space="preserve">inflation </w:t>
      </w:r>
      <w:r w:rsidR="00651161" w:rsidRPr="006B5294">
        <w:rPr>
          <w:rFonts w:ascii="Calibri" w:hAnsi="Calibri" w:cs="Calibri"/>
        </w:rPr>
        <w:t xml:space="preserve">rate of </w:t>
      </w:r>
      <w:proofErr w:type="spellStart"/>
      <w:r w:rsidR="00651161" w:rsidRPr="006B5294">
        <w:rPr>
          <w:rFonts w:ascii="Calibri" w:hAnsi="Calibri" w:cs="Calibri"/>
        </w:rPr>
        <w:t>tradables</w:t>
      </w:r>
      <w:proofErr w:type="spellEnd"/>
      <w:r w:rsidR="00651161" w:rsidRPr="006B5294">
        <w:rPr>
          <w:rFonts w:ascii="Calibri" w:hAnsi="Calibri" w:cs="Calibri"/>
        </w:rPr>
        <w:t xml:space="preserve"> has been relatively stable</w:t>
      </w:r>
      <w:r w:rsidR="008D1D87" w:rsidRPr="006B5294">
        <w:rPr>
          <w:rFonts w:ascii="Calibri" w:hAnsi="Calibri" w:cs="Calibri"/>
        </w:rPr>
        <w:t xml:space="preserve"> </w:t>
      </w:r>
      <w:r w:rsidR="00651161" w:rsidRPr="006B5294">
        <w:rPr>
          <w:rFonts w:ascii="Calibri" w:hAnsi="Calibri" w:cs="Calibri"/>
        </w:rPr>
        <w:t xml:space="preserve">in recent months, and was 2.6 percent in July </w:t>
      </w:r>
      <w:r w:rsidR="00651161" w:rsidRPr="006B5294">
        <w:rPr>
          <w:rFonts w:ascii="Calibri" w:hAnsi="Calibri" w:cs="Calibri"/>
          <w:b/>
          <w:bCs/>
        </w:rPr>
        <w:t>(Figure</w:t>
      </w:r>
      <w:r w:rsidR="00332016" w:rsidRPr="006B5294">
        <w:rPr>
          <w:rFonts w:ascii="Calibri" w:hAnsi="Calibri" w:cs="Calibri"/>
          <w:b/>
          <w:bCs/>
        </w:rPr>
        <w:t>s 3–</w:t>
      </w:r>
      <w:r w:rsidR="00651161" w:rsidRPr="006B5294">
        <w:rPr>
          <w:rFonts w:ascii="Calibri" w:hAnsi="Calibri" w:cs="Calibri"/>
          <w:b/>
          <w:bCs/>
        </w:rPr>
        <w:t>4)</w:t>
      </w:r>
      <w:r w:rsidR="00651161" w:rsidRPr="006B5294">
        <w:rPr>
          <w:rFonts w:ascii="Calibri" w:hAnsi="Calibri" w:cs="Calibri"/>
        </w:rPr>
        <w:t>.</w:t>
      </w:r>
      <w:r w:rsidR="00A34B91" w:rsidRPr="006B5294">
        <w:rPr>
          <w:rFonts w:ascii="Calibri" w:hAnsi="Calibri" w:cs="Calibri"/>
        </w:rPr>
        <w:t xml:space="preserve"> </w:t>
      </w:r>
      <w:proofErr w:type="gramStart"/>
      <w:r w:rsidR="00D339E5" w:rsidRPr="006B5294">
        <w:rPr>
          <w:rFonts w:ascii="Calibri" w:hAnsi="Calibri" w:cs="Calibri"/>
        </w:rPr>
        <w:t xml:space="preserve">Inflation </w:t>
      </w:r>
      <w:r w:rsidR="00A34B91" w:rsidRPr="006B5294">
        <w:rPr>
          <w:rFonts w:ascii="Calibri" w:hAnsi="Calibri" w:cs="Calibri"/>
        </w:rPr>
        <w:t xml:space="preserve">expectations </w:t>
      </w:r>
      <w:r w:rsidR="00D339E5" w:rsidRPr="006B5294">
        <w:rPr>
          <w:rFonts w:ascii="Calibri" w:hAnsi="Calibri" w:cs="Calibri"/>
        </w:rPr>
        <w:t xml:space="preserve">for the coming year </w:t>
      </w:r>
      <w:r w:rsidRPr="006B5294">
        <w:rPr>
          <w:rFonts w:ascii="Calibri" w:hAnsi="Calibri" w:cs="Calibri"/>
        </w:rPr>
        <w:t xml:space="preserve">increased and are </w:t>
      </w:r>
      <w:r w:rsidR="00D339E5" w:rsidRPr="006B5294">
        <w:rPr>
          <w:rFonts w:ascii="Calibri" w:hAnsi="Calibri" w:cs="Calibri"/>
        </w:rPr>
        <w:t>around the upper bound of the target.</w:t>
      </w:r>
      <w:proofErr w:type="gramEnd"/>
      <w:r w:rsidR="00D339E5" w:rsidRPr="006B5294">
        <w:rPr>
          <w:rFonts w:ascii="Calibri" w:hAnsi="Calibri" w:cs="Calibri"/>
        </w:rPr>
        <w:t xml:space="preserve"> One</w:t>
      </w:r>
      <w:r w:rsidRPr="006B5294">
        <w:rPr>
          <w:rFonts w:ascii="Calibri" w:hAnsi="Calibri" w:cs="Calibri"/>
        </w:rPr>
        <w:t>-</w:t>
      </w:r>
      <w:r w:rsidR="00D339E5" w:rsidRPr="006B5294">
        <w:rPr>
          <w:rFonts w:ascii="Calibri" w:hAnsi="Calibri" w:cs="Calibri"/>
        </w:rPr>
        <w:t xml:space="preserve">year inflation expectations </w:t>
      </w:r>
      <w:r w:rsidRPr="006B5294">
        <w:rPr>
          <w:rFonts w:ascii="Calibri" w:hAnsi="Calibri" w:cs="Calibri"/>
        </w:rPr>
        <w:t>derived from the capital market are volatile, and are at 2.8 percent</w:t>
      </w:r>
      <w:r w:rsidR="00610A83" w:rsidRPr="006B5294">
        <w:rPr>
          <w:rFonts w:ascii="Calibri" w:hAnsi="Calibri" w:cs="Calibri"/>
        </w:rPr>
        <w:t>.</w:t>
      </w:r>
      <w:r w:rsidR="00A34B91" w:rsidRPr="006B5294">
        <w:rPr>
          <w:rFonts w:ascii="Calibri" w:hAnsi="Calibri" w:cs="Calibri"/>
        </w:rPr>
        <w:t xml:space="preserve"> </w:t>
      </w:r>
      <w:r w:rsidR="00610A83" w:rsidRPr="006B5294">
        <w:rPr>
          <w:rFonts w:ascii="Calibri" w:hAnsi="Calibri" w:cs="Calibri"/>
        </w:rPr>
        <w:t xml:space="preserve">Forecasters </w:t>
      </w:r>
      <w:r w:rsidR="00A34B91" w:rsidRPr="006B5294">
        <w:rPr>
          <w:rFonts w:ascii="Calibri" w:hAnsi="Calibri" w:cs="Calibri"/>
        </w:rPr>
        <w:t xml:space="preserve">project </w:t>
      </w:r>
      <w:r w:rsidR="00610A83" w:rsidRPr="006B5294">
        <w:rPr>
          <w:rFonts w:ascii="Calibri" w:hAnsi="Calibri" w:cs="Calibri"/>
        </w:rPr>
        <w:t>that annual inflation will remain above the upper bound of the target range in the coming months, will increase in the beginning of 2025 (among other reasons due to the expected increase in VAT),</w:t>
      </w:r>
      <w:r w:rsidR="00B421DC" w:rsidRPr="006B5294">
        <w:rPr>
          <w:rFonts w:ascii="Calibri" w:hAnsi="Calibri" w:cs="Calibri"/>
        </w:rPr>
        <w:t xml:space="preserve"> </w:t>
      </w:r>
      <w:r w:rsidR="00610A83" w:rsidRPr="006B5294">
        <w:rPr>
          <w:rFonts w:ascii="Calibri" w:hAnsi="Calibri" w:cs="Calibri"/>
        </w:rPr>
        <w:t xml:space="preserve">and will then moderate to around the upper bound of the target </w:t>
      </w:r>
      <w:r w:rsidR="00A34B91" w:rsidRPr="006B5294">
        <w:rPr>
          <w:rFonts w:ascii="Calibri" w:hAnsi="Calibri" w:cs="Calibri"/>
        </w:rPr>
        <w:t xml:space="preserve">rate in the middle of 2025 </w:t>
      </w:r>
      <w:r w:rsidR="00610A83" w:rsidRPr="006B5294">
        <w:rPr>
          <w:rFonts w:ascii="Calibri" w:hAnsi="Calibri" w:cs="Calibri"/>
          <w:b/>
          <w:bCs/>
        </w:rPr>
        <w:t>(Figure 5)</w:t>
      </w:r>
      <w:r w:rsidR="00610A83" w:rsidRPr="006B5294">
        <w:rPr>
          <w:rFonts w:ascii="Calibri" w:hAnsi="Calibri" w:cs="Calibri"/>
        </w:rPr>
        <w:t>.</w:t>
      </w:r>
      <w:r w:rsidR="0054460C" w:rsidRPr="006B5294">
        <w:rPr>
          <w:rFonts w:ascii="Calibri" w:hAnsi="Calibri" w:cs="Calibri"/>
        </w:rPr>
        <w:t xml:space="preserve"> The Committee assesses that there are several risks for a possible acceleration in inflation: geopolitical developments and their impact on economic activity, shekel depreciation, prolonged supply limitations on activity, and fiscal developments.</w:t>
      </w:r>
    </w:p>
    <w:p w:rsidR="009775A1" w:rsidRPr="006B5294" w:rsidRDefault="009775A1" w:rsidP="009775A1">
      <w:pPr>
        <w:jc w:val="both"/>
        <w:rPr>
          <w:rFonts w:ascii="Calibri" w:hAnsi="Calibri" w:cs="Calibri"/>
        </w:rPr>
      </w:pPr>
    </w:p>
    <w:p w:rsidR="002E5CE8" w:rsidRPr="006B5294" w:rsidRDefault="00610A83" w:rsidP="00387836">
      <w:pPr>
        <w:ind w:left="-270" w:right="265"/>
        <w:jc w:val="both"/>
        <w:rPr>
          <w:rFonts w:ascii="Calibri" w:hAnsi="Calibri" w:cs="Calibri"/>
        </w:rPr>
      </w:pPr>
      <w:r w:rsidRPr="006B5294">
        <w:rPr>
          <w:rFonts w:ascii="Calibri" w:hAnsi="Calibri" w:cs="Calibri"/>
        </w:rPr>
        <w:t xml:space="preserve">Against the background of the various developments in the war and the geopolitical environment, increased volatility </w:t>
      </w:r>
      <w:proofErr w:type="gramStart"/>
      <w:r w:rsidR="001D1135" w:rsidRPr="006B5294">
        <w:rPr>
          <w:rFonts w:ascii="Calibri" w:hAnsi="Calibri" w:cs="Calibri"/>
        </w:rPr>
        <w:t>can be seen</w:t>
      </w:r>
      <w:proofErr w:type="gramEnd"/>
      <w:r w:rsidR="001D1135" w:rsidRPr="006B5294">
        <w:rPr>
          <w:rFonts w:ascii="Calibri" w:hAnsi="Calibri" w:cs="Calibri"/>
        </w:rPr>
        <w:t xml:space="preserve"> </w:t>
      </w:r>
      <w:r w:rsidRPr="006B5294">
        <w:rPr>
          <w:rFonts w:ascii="Calibri" w:hAnsi="Calibri" w:cs="Calibri"/>
        </w:rPr>
        <w:t>in the foreign exchange market. Since the previous interest rate decision, the shekel has remained unchanged again</w:t>
      </w:r>
      <w:r w:rsidR="00590DC7" w:rsidRPr="006B5294">
        <w:rPr>
          <w:rFonts w:ascii="Calibri" w:hAnsi="Calibri" w:cs="Calibri"/>
        </w:rPr>
        <w:t xml:space="preserve">st </w:t>
      </w:r>
      <w:r w:rsidRPr="006B5294">
        <w:rPr>
          <w:rFonts w:ascii="Calibri" w:hAnsi="Calibri" w:cs="Calibri"/>
        </w:rPr>
        <w:t>the dollar</w:t>
      </w:r>
      <w:r w:rsidR="00B94D45" w:rsidRPr="006B5294">
        <w:rPr>
          <w:rFonts w:ascii="Calibri" w:hAnsi="Calibri" w:cs="Calibri"/>
        </w:rPr>
        <w:t xml:space="preserve">, </w:t>
      </w:r>
      <w:r w:rsidRPr="006B5294">
        <w:rPr>
          <w:rFonts w:ascii="Calibri" w:hAnsi="Calibri" w:cs="Calibri"/>
        </w:rPr>
        <w:t>and weakened by about 3 percent vis-à-vis the euro, and by about 1</w:t>
      </w:r>
      <w:r w:rsidR="00B94D45" w:rsidRPr="006B5294">
        <w:rPr>
          <w:rFonts w:ascii="Calibri" w:hAnsi="Calibri" w:cs="Calibri"/>
        </w:rPr>
        <w:t xml:space="preserve">.4 </w:t>
      </w:r>
      <w:r w:rsidRPr="006B5294">
        <w:rPr>
          <w:rFonts w:ascii="Calibri" w:hAnsi="Calibri" w:cs="Calibri"/>
        </w:rPr>
        <w:t xml:space="preserve">percent </w:t>
      </w:r>
      <w:r w:rsidR="00590DC7" w:rsidRPr="006B5294">
        <w:rPr>
          <w:rFonts w:ascii="Calibri" w:hAnsi="Calibri" w:cs="Calibri"/>
        </w:rPr>
        <w:t>in nominal effective exchange rate terms.</w:t>
      </w:r>
    </w:p>
    <w:p w:rsidR="003B74B5" w:rsidRPr="006B5294" w:rsidRDefault="003B74B5" w:rsidP="00CD5043">
      <w:pPr>
        <w:ind w:left="-270" w:right="265"/>
        <w:jc w:val="both"/>
        <w:rPr>
          <w:rFonts w:ascii="Calibri" w:hAnsi="Calibri" w:cs="Calibri"/>
        </w:rPr>
      </w:pPr>
    </w:p>
    <w:p w:rsidR="003B74B5" w:rsidRPr="006B5294" w:rsidRDefault="003B74B5" w:rsidP="00064AC9">
      <w:pPr>
        <w:ind w:left="-270" w:right="265"/>
        <w:jc w:val="both"/>
        <w:rPr>
          <w:rFonts w:ascii="Calibri" w:hAnsi="Calibri" w:cs="Calibri"/>
        </w:rPr>
      </w:pPr>
      <w:r w:rsidRPr="006B5294">
        <w:rPr>
          <w:rFonts w:ascii="Calibri" w:hAnsi="Calibri" w:cs="Calibri"/>
        </w:rPr>
        <w:t>National Accounts data indicate that GDP expanded in the second quarter of 2024</w:t>
      </w:r>
      <w:r w:rsidR="001D1135" w:rsidRPr="006B5294">
        <w:rPr>
          <w:rFonts w:ascii="Calibri" w:hAnsi="Calibri" w:cs="Calibri"/>
        </w:rPr>
        <w:t xml:space="preserve"> by a moderate rate of </w:t>
      </w:r>
      <w:r w:rsidRPr="006B5294">
        <w:rPr>
          <w:rFonts w:ascii="Calibri" w:hAnsi="Calibri" w:cs="Calibri"/>
        </w:rPr>
        <w:t xml:space="preserve">0.3 percent in quarterly terms (1.2 percent in annual terms) </w:t>
      </w:r>
      <w:r w:rsidRPr="006B5294">
        <w:rPr>
          <w:rFonts w:ascii="Calibri" w:hAnsi="Calibri" w:cs="Calibri"/>
          <w:b/>
          <w:bCs/>
        </w:rPr>
        <w:t>(Table 1)</w:t>
      </w:r>
      <w:r w:rsidRPr="006B5294">
        <w:rPr>
          <w:rFonts w:ascii="Calibri" w:hAnsi="Calibri" w:cs="Calibri"/>
        </w:rPr>
        <w:t xml:space="preserve">. The moderate rate of growth in the second quarter distanced GDP from </w:t>
      </w:r>
      <w:r w:rsidR="00387836" w:rsidRPr="006B5294">
        <w:rPr>
          <w:rFonts w:ascii="Calibri" w:hAnsi="Calibri" w:cs="Calibri"/>
        </w:rPr>
        <w:t xml:space="preserve">its </w:t>
      </w:r>
      <w:r w:rsidRPr="006B5294">
        <w:rPr>
          <w:rFonts w:ascii="Calibri" w:hAnsi="Calibri" w:cs="Calibri"/>
        </w:rPr>
        <w:t>trend line, and its level is below the trend line by about 3 percent, and by about 5 percent for business sector product</w:t>
      </w:r>
      <w:r w:rsidR="001D1135" w:rsidRPr="006B5294">
        <w:rPr>
          <w:rFonts w:ascii="Calibri" w:hAnsi="Calibri" w:cs="Calibri"/>
        </w:rPr>
        <w:t xml:space="preserve"> </w:t>
      </w:r>
      <w:r w:rsidR="001D1135" w:rsidRPr="006B5294">
        <w:rPr>
          <w:rFonts w:ascii="Calibri" w:hAnsi="Calibri" w:cs="Calibri"/>
          <w:b/>
          <w:bCs/>
        </w:rPr>
        <w:t xml:space="preserve">(Figure </w:t>
      </w:r>
      <w:r w:rsidR="00064AC9" w:rsidRPr="006B5294">
        <w:rPr>
          <w:rFonts w:ascii="Calibri" w:hAnsi="Calibri" w:cs="Calibri"/>
          <w:b/>
          <w:bCs/>
        </w:rPr>
        <w:t>10</w:t>
      </w:r>
      <w:r w:rsidR="001D1135" w:rsidRPr="006B5294">
        <w:rPr>
          <w:rFonts w:ascii="Calibri" w:hAnsi="Calibri" w:cs="Calibri"/>
          <w:b/>
          <w:bCs/>
        </w:rPr>
        <w:t>)</w:t>
      </w:r>
      <w:r w:rsidRPr="006B5294">
        <w:rPr>
          <w:rFonts w:ascii="Calibri" w:hAnsi="Calibri" w:cs="Calibri"/>
        </w:rPr>
        <w:t xml:space="preserve">. In parallel, GDP data </w:t>
      </w:r>
      <w:proofErr w:type="gramStart"/>
      <w:r w:rsidRPr="006B5294">
        <w:rPr>
          <w:rFonts w:ascii="Calibri" w:hAnsi="Calibri" w:cs="Calibri"/>
        </w:rPr>
        <w:t>were revised</w:t>
      </w:r>
      <w:proofErr w:type="gramEnd"/>
      <w:r w:rsidRPr="006B5294">
        <w:rPr>
          <w:rFonts w:ascii="Calibri" w:hAnsi="Calibri" w:cs="Calibri"/>
        </w:rPr>
        <w:t xml:space="preserve"> upward for </w:t>
      </w:r>
      <w:r w:rsidR="00743B49" w:rsidRPr="006B5294">
        <w:rPr>
          <w:rFonts w:ascii="Calibri" w:hAnsi="Calibri" w:cs="Calibri"/>
        </w:rPr>
        <w:t xml:space="preserve">the fourth quarter of </w:t>
      </w:r>
      <w:r w:rsidR="00387836" w:rsidRPr="006B5294">
        <w:rPr>
          <w:rFonts w:ascii="Calibri" w:hAnsi="Calibri" w:cs="Calibri"/>
        </w:rPr>
        <w:t>2023</w:t>
      </w:r>
      <w:r w:rsidR="00743B49" w:rsidRPr="006B5294">
        <w:rPr>
          <w:rFonts w:ascii="Calibri" w:hAnsi="Calibri" w:cs="Calibri"/>
        </w:rPr>
        <w:t xml:space="preserve"> </w:t>
      </w:r>
      <w:r w:rsidR="00387836" w:rsidRPr="006B5294">
        <w:rPr>
          <w:rFonts w:ascii="Calibri" w:hAnsi="Calibri" w:cs="Calibri"/>
        </w:rPr>
        <w:t xml:space="preserve">and </w:t>
      </w:r>
      <w:r w:rsidR="00743B49" w:rsidRPr="006B5294">
        <w:rPr>
          <w:rFonts w:ascii="Calibri" w:hAnsi="Calibri" w:cs="Calibri"/>
        </w:rPr>
        <w:t xml:space="preserve">the first quarter of </w:t>
      </w:r>
      <w:r w:rsidR="00387836" w:rsidRPr="006B5294">
        <w:rPr>
          <w:rFonts w:ascii="Calibri" w:hAnsi="Calibri" w:cs="Calibri"/>
        </w:rPr>
        <w:t>2024</w:t>
      </w:r>
      <w:r w:rsidRPr="006B5294">
        <w:rPr>
          <w:rFonts w:ascii="Calibri" w:hAnsi="Calibri" w:cs="Calibri"/>
        </w:rPr>
        <w:t>,</w:t>
      </w:r>
      <w:r w:rsidR="00687B41" w:rsidRPr="006B5294">
        <w:rPr>
          <w:rFonts w:ascii="Calibri" w:hAnsi="Calibri" w:cs="Calibri"/>
        </w:rPr>
        <w:t xml:space="preserve"> which partly offset the deviation from the trend line </w:t>
      </w:r>
      <w:r w:rsidR="00387836" w:rsidRPr="006B5294">
        <w:rPr>
          <w:rFonts w:ascii="Calibri" w:hAnsi="Calibri" w:cs="Calibri"/>
        </w:rPr>
        <w:t>for the</w:t>
      </w:r>
      <w:r w:rsidR="00687B41" w:rsidRPr="006B5294">
        <w:rPr>
          <w:rFonts w:ascii="Calibri" w:hAnsi="Calibri" w:cs="Calibri"/>
        </w:rPr>
        <w:t xml:space="preserve"> second quarter data. </w:t>
      </w:r>
      <w:proofErr w:type="gramStart"/>
      <w:r w:rsidRPr="006B5294">
        <w:rPr>
          <w:rFonts w:ascii="Calibri" w:hAnsi="Calibri" w:cs="Calibri"/>
        </w:rPr>
        <w:t xml:space="preserve">Supply limitations, primarily in view of the </w:t>
      </w:r>
      <w:r w:rsidR="00692AD4" w:rsidRPr="006B5294">
        <w:rPr>
          <w:rFonts w:ascii="Calibri" w:hAnsi="Calibri" w:cs="Calibri"/>
        </w:rPr>
        <w:t xml:space="preserve">shortage of workers, </w:t>
      </w:r>
      <w:r w:rsidR="00AB742C" w:rsidRPr="006B5294">
        <w:rPr>
          <w:rFonts w:ascii="Calibri" w:hAnsi="Calibri" w:cs="Calibri"/>
        </w:rPr>
        <w:t xml:space="preserve">particularly </w:t>
      </w:r>
      <w:r w:rsidR="00692AD4" w:rsidRPr="006B5294">
        <w:rPr>
          <w:rFonts w:ascii="Calibri" w:hAnsi="Calibri" w:cs="Calibri"/>
        </w:rPr>
        <w:t>in the construction industry</w:t>
      </w:r>
      <w:r w:rsidR="00064AC9" w:rsidRPr="006B5294">
        <w:rPr>
          <w:rFonts w:ascii="Calibri" w:hAnsi="Calibri" w:cs="Calibri"/>
        </w:rPr>
        <w:t xml:space="preserve"> </w:t>
      </w:r>
      <w:r w:rsidR="00064AC9" w:rsidRPr="006B5294">
        <w:rPr>
          <w:rFonts w:ascii="Calibri" w:hAnsi="Calibri" w:cs="Calibri"/>
          <w:b/>
          <w:bCs/>
        </w:rPr>
        <w:t>(Figure 16a)</w:t>
      </w:r>
      <w:r w:rsidR="00692AD4" w:rsidRPr="006B5294">
        <w:rPr>
          <w:rFonts w:ascii="Calibri" w:hAnsi="Calibri" w:cs="Calibri"/>
        </w:rPr>
        <w:t xml:space="preserve">, are a main factor in the gap </w:t>
      </w:r>
      <w:r w:rsidR="00387836" w:rsidRPr="006B5294">
        <w:rPr>
          <w:rFonts w:ascii="Calibri" w:hAnsi="Calibri" w:cs="Calibri"/>
        </w:rPr>
        <w:t xml:space="preserve">of GDP </w:t>
      </w:r>
      <w:r w:rsidR="00692AD4" w:rsidRPr="006B5294">
        <w:rPr>
          <w:rFonts w:ascii="Calibri" w:hAnsi="Calibri" w:cs="Calibri"/>
        </w:rPr>
        <w:t xml:space="preserve">from </w:t>
      </w:r>
      <w:r w:rsidR="00387836" w:rsidRPr="006B5294">
        <w:rPr>
          <w:rFonts w:ascii="Calibri" w:hAnsi="Calibri" w:cs="Calibri"/>
        </w:rPr>
        <w:t xml:space="preserve">its </w:t>
      </w:r>
      <w:r w:rsidR="002C1FDC" w:rsidRPr="006B5294">
        <w:rPr>
          <w:rFonts w:ascii="Calibri" w:hAnsi="Calibri" w:cs="Calibri"/>
        </w:rPr>
        <w:t xml:space="preserve">growth </w:t>
      </w:r>
      <w:r w:rsidR="00692AD4" w:rsidRPr="006B5294">
        <w:rPr>
          <w:rFonts w:ascii="Calibri" w:hAnsi="Calibri" w:cs="Calibri"/>
        </w:rPr>
        <w:t>trend</w:t>
      </w:r>
      <w:r w:rsidR="002C1FDC" w:rsidRPr="006B5294">
        <w:rPr>
          <w:rFonts w:ascii="Calibri" w:hAnsi="Calibri" w:cs="Calibri"/>
        </w:rPr>
        <w:t xml:space="preserve"> line</w:t>
      </w:r>
      <w:r w:rsidR="00692AD4" w:rsidRPr="006B5294">
        <w:rPr>
          <w:rFonts w:ascii="Calibri" w:hAnsi="Calibri" w:cs="Calibri"/>
        </w:rPr>
        <w:t xml:space="preserve">, and it is expected that this will not contract as long as </w:t>
      </w:r>
      <w:r w:rsidR="001F4AD7" w:rsidRPr="006B5294">
        <w:rPr>
          <w:rFonts w:ascii="Calibri" w:hAnsi="Calibri" w:cs="Calibri"/>
        </w:rPr>
        <w:t xml:space="preserve">the </w:t>
      </w:r>
      <w:r w:rsidR="00692AD4" w:rsidRPr="006B5294">
        <w:rPr>
          <w:rFonts w:ascii="Calibri" w:hAnsi="Calibri" w:cs="Calibri"/>
        </w:rPr>
        <w:t xml:space="preserve">shortage of non-Israeli workers, </w:t>
      </w:r>
      <w:r w:rsidR="001F4AD7" w:rsidRPr="006B5294">
        <w:rPr>
          <w:rFonts w:ascii="Calibri" w:hAnsi="Calibri" w:cs="Calibri"/>
        </w:rPr>
        <w:t xml:space="preserve">the considerable </w:t>
      </w:r>
      <w:r w:rsidR="00AB742C" w:rsidRPr="006B5294">
        <w:rPr>
          <w:rFonts w:ascii="Calibri" w:hAnsi="Calibri" w:cs="Calibri"/>
        </w:rPr>
        <w:t xml:space="preserve">mobilization </w:t>
      </w:r>
      <w:r w:rsidR="001F4AD7" w:rsidRPr="006B5294">
        <w:rPr>
          <w:rFonts w:ascii="Calibri" w:hAnsi="Calibri" w:cs="Calibri"/>
        </w:rPr>
        <w:t xml:space="preserve">of the reserves, and the limitations on activity </w:t>
      </w:r>
      <w:r w:rsidR="00AB742C" w:rsidRPr="006B5294">
        <w:rPr>
          <w:rFonts w:ascii="Calibri" w:hAnsi="Calibri" w:cs="Calibri"/>
        </w:rPr>
        <w:t xml:space="preserve">in </w:t>
      </w:r>
      <w:r w:rsidR="001F4AD7" w:rsidRPr="006B5294">
        <w:rPr>
          <w:rFonts w:ascii="Calibri" w:hAnsi="Calibri" w:cs="Calibri"/>
        </w:rPr>
        <w:t xml:space="preserve">the Northern border area </w:t>
      </w:r>
      <w:r w:rsidR="00692AD4" w:rsidRPr="006B5294">
        <w:rPr>
          <w:rFonts w:ascii="Calibri" w:hAnsi="Calibri" w:cs="Calibri"/>
        </w:rPr>
        <w:t>continue.</w:t>
      </w:r>
      <w:proofErr w:type="gramEnd"/>
      <w:r w:rsidR="00C44E1E" w:rsidRPr="006B5294">
        <w:rPr>
          <w:rFonts w:ascii="Calibri" w:hAnsi="Calibri" w:cs="Calibri"/>
        </w:rPr>
        <w:t xml:space="preserve"> Most of the uses are below their trend, and in particular investments and exports, while public consumption </w:t>
      </w:r>
      <w:r w:rsidR="00AB742C" w:rsidRPr="006B5294">
        <w:rPr>
          <w:rFonts w:ascii="Calibri" w:hAnsi="Calibri" w:cs="Calibri"/>
        </w:rPr>
        <w:t xml:space="preserve">remains </w:t>
      </w:r>
      <w:r w:rsidR="00C44E1E" w:rsidRPr="006B5294">
        <w:rPr>
          <w:rFonts w:ascii="Calibri" w:hAnsi="Calibri" w:cs="Calibri"/>
        </w:rPr>
        <w:t xml:space="preserve">high. This trend, alongside the increase in inflation, is consistent with an economy </w:t>
      </w:r>
      <w:r w:rsidR="00AB742C" w:rsidRPr="006B5294">
        <w:rPr>
          <w:rFonts w:ascii="Calibri" w:hAnsi="Calibri" w:cs="Calibri"/>
        </w:rPr>
        <w:t xml:space="preserve">characterized by </w:t>
      </w:r>
      <w:r w:rsidR="00C44E1E" w:rsidRPr="006B5294">
        <w:rPr>
          <w:rFonts w:ascii="Calibri" w:hAnsi="Calibri" w:cs="Calibri"/>
        </w:rPr>
        <w:t>supply limitations on activity, and in particular in view of the fiscal expansion deriving from the war.</w:t>
      </w:r>
    </w:p>
    <w:p w:rsidR="003844AF" w:rsidRPr="006B5294" w:rsidRDefault="003844AF" w:rsidP="00CD5043">
      <w:pPr>
        <w:ind w:left="-270" w:right="265"/>
        <w:jc w:val="both"/>
        <w:rPr>
          <w:rFonts w:ascii="Calibri" w:hAnsi="Calibri" w:cs="Calibri"/>
        </w:rPr>
      </w:pPr>
    </w:p>
    <w:p w:rsidR="00E17FE1" w:rsidRPr="006B5294" w:rsidRDefault="00312446" w:rsidP="00DF0415">
      <w:pPr>
        <w:ind w:left="-270" w:right="265"/>
        <w:jc w:val="both"/>
        <w:rPr>
          <w:rFonts w:ascii="Calibri" w:hAnsi="Calibri" w:cs="Calibri"/>
        </w:rPr>
      </w:pPr>
      <w:r w:rsidRPr="006B5294">
        <w:rPr>
          <w:rFonts w:ascii="Calibri" w:hAnsi="Calibri" w:cs="Calibri"/>
        </w:rPr>
        <w:t xml:space="preserve">Current indicators of the state of economic activity </w:t>
      </w:r>
      <w:r w:rsidR="00F445A7" w:rsidRPr="006B5294">
        <w:rPr>
          <w:rFonts w:ascii="Calibri" w:hAnsi="Calibri" w:cs="Calibri"/>
        </w:rPr>
        <w:t xml:space="preserve">point to </w:t>
      </w:r>
      <w:r w:rsidRPr="006B5294">
        <w:rPr>
          <w:rFonts w:ascii="Calibri" w:hAnsi="Calibri" w:cs="Calibri"/>
        </w:rPr>
        <w:t xml:space="preserve">continued moderate </w:t>
      </w:r>
      <w:r w:rsidR="0095576D" w:rsidRPr="006B5294">
        <w:rPr>
          <w:rFonts w:ascii="Calibri" w:hAnsi="Calibri" w:cs="Calibri"/>
        </w:rPr>
        <w:t xml:space="preserve">growth </w:t>
      </w:r>
      <w:r w:rsidRPr="006B5294">
        <w:rPr>
          <w:rFonts w:ascii="Calibri" w:hAnsi="Calibri" w:cs="Calibri"/>
        </w:rPr>
        <w:t xml:space="preserve">of activity in July–August. The aggregate balance of the Business Tendency Survey </w:t>
      </w:r>
      <w:r w:rsidR="0095576D" w:rsidRPr="006B5294">
        <w:rPr>
          <w:rFonts w:ascii="Calibri" w:hAnsi="Calibri" w:cs="Calibri"/>
        </w:rPr>
        <w:t xml:space="preserve">conducted </w:t>
      </w:r>
      <w:r w:rsidRPr="006B5294">
        <w:rPr>
          <w:rFonts w:ascii="Calibri" w:hAnsi="Calibri" w:cs="Calibri"/>
        </w:rPr>
        <w:t>by the Central Bureau of Statistics for July indicates continued slight improvement in companies’ economic situation</w:t>
      </w:r>
      <w:r w:rsidR="0095576D" w:rsidRPr="006B5294">
        <w:rPr>
          <w:rFonts w:ascii="Calibri" w:hAnsi="Calibri" w:cs="Calibri"/>
        </w:rPr>
        <w:t xml:space="preserve"> </w:t>
      </w:r>
      <w:r w:rsidR="0095576D" w:rsidRPr="006B5294">
        <w:rPr>
          <w:rFonts w:ascii="Calibri" w:hAnsi="Calibri" w:cs="Calibri"/>
          <w:b/>
          <w:bCs/>
        </w:rPr>
        <w:t>(Figure 11)</w:t>
      </w:r>
      <w:r w:rsidRPr="006B5294">
        <w:rPr>
          <w:rFonts w:ascii="Calibri" w:hAnsi="Calibri" w:cs="Calibri"/>
        </w:rPr>
        <w:t xml:space="preserve">. However, the net balance is lower than </w:t>
      </w:r>
      <w:r w:rsidR="003345FF" w:rsidRPr="006B5294">
        <w:rPr>
          <w:rFonts w:ascii="Calibri" w:hAnsi="Calibri" w:cs="Calibri"/>
        </w:rPr>
        <w:t xml:space="preserve">its level before the war. </w:t>
      </w:r>
      <w:r w:rsidR="003345FF" w:rsidRPr="006B5294">
        <w:rPr>
          <w:rFonts w:ascii="Calibri" w:hAnsi="Calibri" w:cs="Calibri"/>
        </w:rPr>
        <w:lastRenderedPageBreak/>
        <w:t xml:space="preserve">The most notable gap in activity compared to before the war </w:t>
      </w:r>
      <w:proofErr w:type="gramStart"/>
      <w:r w:rsidR="003345FF" w:rsidRPr="006B5294">
        <w:rPr>
          <w:rFonts w:ascii="Calibri" w:hAnsi="Calibri" w:cs="Calibri"/>
        </w:rPr>
        <w:t>is reported</w:t>
      </w:r>
      <w:proofErr w:type="gramEnd"/>
      <w:r w:rsidR="003345FF" w:rsidRPr="006B5294">
        <w:rPr>
          <w:rFonts w:ascii="Calibri" w:hAnsi="Calibri" w:cs="Calibri"/>
        </w:rPr>
        <w:t xml:space="preserve"> in the construction and accommodation industries</w:t>
      </w:r>
      <w:r w:rsidR="004F5714" w:rsidRPr="006B5294">
        <w:rPr>
          <w:rFonts w:ascii="Calibri" w:hAnsi="Calibri" w:cs="Calibri"/>
        </w:rPr>
        <w:t xml:space="preserve">. However, </w:t>
      </w:r>
      <w:r w:rsidR="00F21517" w:rsidRPr="006B5294">
        <w:rPr>
          <w:rFonts w:ascii="Calibri" w:hAnsi="Calibri" w:cs="Calibri"/>
        </w:rPr>
        <w:t xml:space="preserve">in other industries as well, economic activity has not yet returned to routine </w:t>
      </w:r>
      <w:r w:rsidR="00F21517" w:rsidRPr="006B5294">
        <w:rPr>
          <w:rFonts w:ascii="Calibri" w:hAnsi="Calibri" w:cs="Calibri"/>
          <w:b/>
          <w:bCs/>
        </w:rPr>
        <w:t xml:space="preserve">(Figure </w:t>
      </w:r>
      <w:r w:rsidR="00DF0415" w:rsidRPr="006B5294">
        <w:rPr>
          <w:rFonts w:ascii="Calibri" w:hAnsi="Calibri" w:cs="Calibri"/>
          <w:b/>
          <w:bCs/>
        </w:rPr>
        <w:t>2</w:t>
      </w:r>
      <w:r w:rsidR="00F21517" w:rsidRPr="006B5294">
        <w:rPr>
          <w:rFonts w:ascii="Calibri" w:hAnsi="Calibri" w:cs="Calibri"/>
          <w:b/>
          <w:bCs/>
        </w:rPr>
        <w:t>5)</w:t>
      </w:r>
      <w:r w:rsidR="00F21517" w:rsidRPr="006B5294">
        <w:rPr>
          <w:rFonts w:ascii="Calibri" w:hAnsi="Calibri" w:cs="Calibri"/>
        </w:rPr>
        <w:t>. Business Tendency Survey data for July indicate that there are supply limitations at a higher level than before the war, particularly in the construction industry, while demand limitations remai</w:t>
      </w:r>
      <w:r w:rsidR="00F445A7" w:rsidRPr="006B5294">
        <w:rPr>
          <w:rFonts w:ascii="Calibri" w:hAnsi="Calibri" w:cs="Calibri"/>
        </w:rPr>
        <w:t>n</w:t>
      </w:r>
      <w:r w:rsidR="00F21517" w:rsidRPr="006B5294">
        <w:rPr>
          <w:rFonts w:ascii="Calibri" w:hAnsi="Calibri" w:cs="Calibri"/>
        </w:rPr>
        <w:t>ed</w:t>
      </w:r>
      <w:r w:rsidR="00F445A7" w:rsidRPr="006B5294">
        <w:rPr>
          <w:rFonts w:ascii="Calibri" w:hAnsi="Calibri" w:cs="Calibri"/>
        </w:rPr>
        <w:t xml:space="preserve"> </w:t>
      </w:r>
      <w:r w:rsidR="00F21517" w:rsidRPr="006B5294">
        <w:rPr>
          <w:rFonts w:ascii="Calibri" w:hAnsi="Calibri" w:cs="Calibri"/>
        </w:rPr>
        <w:t xml:space="preserve">mainly in the </w:t>
      </w:r>
      <w:r w:rsidR="0007573A" w:rsidRPr="006B5294">
        <w:rPr>
          <w:rFonts w:ascii="Calibri" w:hAnsi="Calibri" w:cs="Calibri"/>
        </w:rPr>
        <w:t xml:space="preserve">accommodation </w:t>
      </w:r>
      <w:r w:rsidR="00F21517" w:rsidRPr="006B5294">
        <w:rPr>
          <w:rFonts w:ascii="Calibri" w:hAnsi="Calibri" w:cs="Calibri"/>
        </w:rPr>
        <w:t xml:space="preserve">and transport industries, which </w:t>
      </w:r>
      <w:proofErr w:type="gramStart"/>
      <w:r w:rsidR="00F21517" w:rsidRPr="006B5294">
        <w:rPr>
          <w:rFonts w:ascii="Calibri" w:hAnsi="Calibri" w:cs="Calibri"/>
        </w:rPr>
        <w:t>are impacted</w:t>
      </w:r>
      <w:proofErr w:type="gramEnd"/>
      <w:r w:rsidR="00F21517" w:rsidRPr="006B5294">
        <w:rPr>
          <w:rFonts w:ascii="Calibri" w:hAnsi="Calibri" w:cs="Calibri"/>
        </w:rPr>
        <w:t xml:space="preserve"> by the sharp decline in tourism. </w:t>
      </w:r>
      <w:r w:rsidR="00F445A7" w:rsidRPr="006B5294">
        <w:rPr>
          <w:rFonts w:ascii="Calibri" w:hAnsi="Calibri" w:cs="Calibri"/>
        </w:rPr>
        <w:t>C</w:t>
      </w:r>
      <w:r w:rsidR="00F21517" w:rsidRPr="006B5294">
        <w:rPr>
          <w:rFonts w:ascii="Calibri" w:hAnsi="Calibri" w:cs="Calibri"/>
        </w:rPr>
        <w:t xml:space="preserve">redit card </w:t>
      </w:r>
      <w:r w:rsidR="00F445A7" w:rsidRPr="006B5294">
        <w:rPr>
          <w:rFonts w:ascii="Calibri" w:hAnsi="Calibri" w:cs="Calibri"/>
        </w:rPr>
        <w:t xml:space="preserve">expenditure volume </w:t>
      </w:r>
      <w:r w:rsidR="00F21517" w:rsidRPr="006B5294">
        <w:rPr>
          <w:rFonts w:ascii="Calibri" w:hAnsi="Calibri" w:cs="Calibri"/>
        </w:rPr>
        <w:t xml:space="preserve">has remained stable since the beginning of the third quarter, after the sharp decline recorded in the beginning of the war and the </w:t>
      </w:r>
      <w:r w:rsidR="0076076E" w:rsidRPr="006B5294">
        <w:rPr>
          <w:rFonts w:ascii="Calibri" w:hAnsi="Calibri" w:cs="Calibri"/>
        </w:rPr>
        <w:t xml:space="preserve">recovery that followed </w:t>
      </w:r>
      <w:r w:rsidR="0076076E" w:rsidRPr="006B5294">
        <w:rPr>
          <w:rFonts w:ascii="Calibri" w:hAnsi="Calibri" w:cs="Calibri"/>
          <w:b/>
          <w:bCs/>
        </w:rPr>
        <w:t xml:space="preserve">(Figure </w:t>
      </w:r>
      <w:r w:rsidR="00DF0415" w:rsidRPr="006B5294">
        <w:rPr>
          <w:rFonts w:ascii="Calibri" w:hAnsi="Calibri" w:cs="Calibri"/>
          <w:b/>
          <w:bCs/>
        </w:rPr>
        <w:t>12</w:t>
      </w:r>
      <w:r w:rsidR="0076076E" w:rsidRPr="006B5294">
        <w:rPr>
          <w:rFonts w:ascii="Calibri" w:hAnsi="Calibri" w:cs="Calibri"/>
          <w:b/>
          <w:bCs/>
        </w:rPr>
        <w:t>)</w:t>
      </w:r>
      <w:r w:rsidR="0076076E" w:rsidRPr="006B5294">
        <w:rPr>
          <w:rFonts w:ascii="Calibri" w:hAnsi="Calibri" w:cs="Calibri"/>
        </w:rPr>
        <w:t>. Foreign trade data indicate that goods exports and imports (excluding diamonds) increased in July</w:t>
      </w:r>
      <w:r w:rsidR="0007573A" w:rsidRPr="006B5294">
        <w:rPr>
          <w:rFonts w:ascii="Calibri" w:hAnsi="Calibri" w:cs="Calibri"/>
        </w:rPr>
        <w:t xml:space="preserve"> </w:t>
      </w:r>
      <w:r w:rsidR="0007573A" w:rsidRPr="006B5294">
        <w:rPr>
          <w:rFonts w:ascii="Calibri" w:hAnsi="Calibri" w:cs="Calibri"/>
          <w:b/>
          <w:bCs/>
        </w:rPr>
        <w:t xml:space="preserve">(Figure </w:t>
      </w:r>
      <w:r w:rsidR="00DF0415" w:rsidRPr="006B5294">
        <w:rPr>
          <w:rFonts w:ascii="Calibri" w:hAnsi="Calibri" w:cs="Calibri"/>
          <w:b/>
          <w:bCs/>
        </w:rPr>
        <w:t>20</w:t>
      </w:r>
      <w:r w:rsidR="0007573A" w:rsidRPr="006B5294">
        <w:rPr>
          <w:rFonts w:ascii="Calibri" w:hAnsi="Calibri" w:cs="Calibri"/>
          <w:b/>
          <w:bCs/>
        </w:rPr>
        <w:t>)</w:t>
      </w:r>
      <w:r w:rsidR="0076076E" w:rsidRPr="006B5294">
        <w:rPr>
          <w:rFonts w:ascii="Calibri" w:hAnsi="Calibri" w:cs="Calibri"/>
        </w:rPr>
        <w:t>.</w:t>
      </w:r>
    </w:p>
    <w:p w:rsidR="00A72A29" w:rsidRPr="006B5294" w:rsidRDefault="00A72A29" w:rsidP="00F445A7">
      <w:pPr>
        <w:jc w:val="both"/>
        <w:rPr>
          <w:rFonts w:ascii="Calibri" w:hAnsi="Calibri" w:cs="Calibri"/>
        </w:rPr>
      </w:pPr>
    </w:p>
    <w:p w:rsidR="00244C15" w:rsidRPr="006B5294" w:rsidRDefault="00086CE6" w:rsidP="002C1FDC">
      <w:pPr>
        <w:ind w:left="-270" w:right="265"/>
        <w:jc w:val="both"/>
        <w:rPr>
          <w:rFonts w:ascii="Calibri" w:hAnsi="Calibri" w:cs="Calibri"/>
        </w:rPr>
      </w:pPr>
      <w:r w:rsidRPr="006B5294">
        <w:rPr>
          <w:rFonts w:ascii="Calibri" w:hAnsi="Calibri" w:cs="Calibri"/>
        </w:rPr>
        <w:t>The cumulative deficit in the government budget in the past 12 months continued to increase in July, totaling</w:t>
      </w:r>
      <w:r w:rsidR="00E17FE1" w:rsidRPr="006B5294">
        <w:rPr>
          <w:rFonts w:ascii="Calibri" w:hAnsi="Calibri" w:cs="Calibri"/>
        </w:rPr>
        <w:t xml:space="preserve"> 8.1 percent of GDP. To the extent that there </w:t>
      </w:r>
      <w:proofErr w:type="gramStart"/>
      <w:r w:rsidR="00E17FE1" w:rsidRPr="006B5294">
        <w:rPr>
          <w:rFonts w:ascii="Calibri" w:hAnsi="Calibri" w:cs="Calibri"/>
        </w:rPr>
        <w:t>won’t</w:t>
      </w:r>
      <w:proofErr w:type="gramEnd"/>
      <w:r w:rsidR="00E17FE1" w:rsidRPr="006B5294">
        <w:rPr>
          <w:rFonts w:ascii="Calibri" w:hAnsi="Calibri" w:cs="Calibri"/>
        </w:rPr>
        <w:t xml:space="preserve"> be additional unexpected additions to the defense budget, it is expected to be 6.6 percent at the end of 2024.</w:t>
      </w:r>
      <w:r w:rsidR="00A72A29" w:rsidRPr="006B5294">
        <w:rPr>
          <w:rFonts w:ascii="Calibri" w:hAnsi="Calibri" w:cs="Calibri"/>
        </w:rPr>
        <w:t xml:space="preserve"> The uncertainty surrounding the State budget for 2025, and the </w:t>
      </w:r>
      <w:r w:rsidR="002C1FDC" w:rsidRPr="006B5294">
        <w:rPr>
          <w:rFonts w:ascii="Calibri" w:hAnsi="Calibri" w:cs="Calibri"/>
        </w:rPr>
        <w:t xml:space="preserve">implementation </w:t>
      </w:r>
      <w:r w:rsidR="00A72A29" w:rsidRPr="006B5294">
        <w:rPr>
          <w:rFonts w:ascii="Calibri" w:hAnsi="Calibri" w:cs="Calibri"/>
        </w:rPr>
        <w:t>of adjustments required to reduce the deficit on an ongoing basis, contributes to an increase in the risk premium and is liable to weigh on the return of inflation to its target.</w:t>
      </w:r>
    </w:p>
    <w:p w:rsidR="00244C15" w:rsidRPr="006B5294" w:rsidRDefault="00244C15" w:rsidP="00244C15">
      <w:pPr>
        <w:ind w:left="-270" w:right="265"/>
        <w:jc w:val="both"/>
        <w:rPr>
          <w:rFonts w:ascii="Calibri" w:hAnsi="Calibri" w:cs="Calibri"/>
        </w:rPr>
      </w:pPr>
    </w:p>
    <w:p w:rsidR="008A0DA3" w:rsidRPr="006B5294" w:rsidRDefault="00E17FE1" w:rsidP="00B53C5C">
      <w:pPr>
        <w:ind w:left="-270" w:right="265"/>
        <w:jc w:val="both"/>
        <w:rPr>
          <w:rFonts w:ascii="Calibri" w:hAnsi="Calibri" w:cs="Calibri"/>
        </w:rPr>
      </w:pPr>
      <w:r w:rsidRPr="006B5294">
        <w:rPr>
          <w:rFonts w:ascii="Calibri" w:hAnsi="Calibri" w:cs="Calibri"/>
        </w:rPr>
        <w:t xml:space="preserve">There is a supply limitation in the </w:t>
      </w:r>
      <w:r w:rsidR="00244C15" w:rsidRPr="006B5294">
        <w:rPr>
          <w:rFonts w:ascii="Calibri" w:hAnsi="Calibri" w:cs="Calibri"/>
        </w:rPr>
        <w:t xml:space="preserve">labor </w:t>
      </w:r>
      <w:r w:rsidRPr="006B5294">
        <w:rPr>
          <w:rFonts w:ascii="Calibri" w:hAnsi="Calibri" w:cs="Calibri"/>
        </w:rPr>
        <w:t xml:space="preserve">market, among other things </w:t>
      </w:r>
      <w:r w:rsidR="008A0DA3" w:rsidRPr="006B5294">
        <w:rPr>
          <w:rFonts w:ascii="Calibri" w:hAnsi="Calibri" w:cs="Calibri"/>
        </w:rPr>
        <w:t xml:space="preserve">in view of </w:t>
      </w:r>
      <w:r w:rsidR="00244C15" w:rsidRPr="006B5294">
        <w:rPr>
          <w:rFonts w:ascii="Calibri" w:hAnsi="Calibri" w:cs="Calibri"/>
        </w:rPr>
        <w:t xml:space="preserve">the </w:t>
      </w:r>
      <w:r w:rsidR="008A0DA3" w:rsidRPr="006B5294">
        <w:rPr>
          <w:rFonts w:ascii="Calibri" w:hAnsi="Calibri" w:cs="Calibri"/>
        </w:rPr>
        <w:t xml:space="preserve">shortage of non-Israeli workers and the absence of workers who are </w:t>
      </w:r>
      <w:r w:rsidR="002C1FDC" w:rsidRPr="006B5294">
        <w:rPr>
          <w:rFonts w:ascii="Calibri" w:hAnsi="Calibri" w:cs="Calibri"/>
        </w:rPr>
        <w:t xml:space="preserve">on reserve duty </w:t>
      </w:r>
      <w:r w:rsidR="008A0DA3" w:rsidRPr="006B5294">
        <w:rPr>
          <w:rFonts w:ascii="Calibri" w:hAnsi="Calibri" w:cs="Calibri"/>
        </w:rPr>
        <w:t xml:space="preserve">in the security forces </w:t>
      </w:r>
      <w:r w:rsidR="00244C15" w:rsidRPr="006B5294">
        <w:rPr>
          <w:rFonts w:ascii="Calibri" w:hAnsi="Calibri" w:cs="Calibri"/>
        </w:rPr>
        <w:t xml:space="preserve">or </w:t>
      </w:r>
      <w:proofErr w:type="gramStart"/>
      <w:r w:rsidR="002C1FDC" w:rsidRPr="006B5294">
        <w:rPr>
          <w:rFonts w:ascii="Calibri" w:hAnsi="Calibri" w:cs="Calibri"/>
        </w:rPr>
        <w:t xml:space="preserve">were </w:t>
      </w:r>
      <w:r w:rsidR="009A55FE" w:rsidRPr="006B5294">
        <w:rPr>
          <w:rFonts w:ascii="Calibri" w:hAnsi="Calibri" w:cs="Calibri"/>
        </w:rPr>
        <w:t>employed</w:t>
      </w:r>
      <w:proofErr w:type="gramEnd"/>
      <w:r w:rsidR="00244C15" w:rsidRPr="006B5294">
        <w:rPr>
          <w:rFonts w:ascii="Calibri" w:hAnsi="Calibri" w:cs="Calibri"/>
        </w:rPr>
        <w:t xml:space="preserve"> in the </w:t>
      </w:r>
      <w:r w:rsidR="008A0DA3" w:rsidRPr="006B5294">
        <w:rPr>
          <w:rFonts w:ascii="Calibri" w:hAnsi="Calibri" w:cs="Calibri"/>
        </w:rPr>
        <w:t>Northern border</w:t>
      </w:r>
      <w:r w:rsidR="00244C15" w:rsidRPr="006B5294">
        <w:rPr>
          <w:rFonts w:ascii="Calibri" w:hAnsi="Calibri" w:cs="Calibri"/>
        </w:rPr>
        <w:t xml:space="preserve"> area, which contribute</w:t>
      </w:r>
      <w:r w:rsidR="003E4D9E" w:rsidRPr="006B5294">
        <w:rPr>
          <w:rFonts w:ascii="Calibri" w:hAnsi="Calibri" w:cs="Calibri"/>
        </w:rPr>
        <w:t>s</w:t>
      </w:r>
      <w:r w:rsidR="00244C15" w:rsidRPr="006B5294">
        <w:rPr>
          <w:rFonts w:ascii="Calibri" w:hAnsi="Calibri" w:cs="Calibri"/>
        </w:rPr>
        <w:t xml:space="preserve"> to a tight labor market. </w:t>
      </w:r>
      <w:r w:rsidR="008A0DA3" w:rsidRPr="006B5294">
        <w:rPr>
          <w:rFonts w:ascii="Calibri" w:hAnsi="Calibri" w:cs="Calibri"/>
        </w:rPr>
        <w:t>The employment rate in July among ages 15</w:t>
      </w:r>
      <w:r w:rsidR="003E4D9E" w:rsidRPr="006B5294">
        <w:rPr>
          <w:rFonts w:ascii="Calibri" w:hAnsi="Calibri" w:cs="Calibri"/>
        </w:rPr>
        <w:t xml:space="preserve"> and older </w:t>
      </w:r>
      <w:r w:rsidR="008A0DA3" w:rsidRPr="006B5294">
        <w:rPr>
          <w:rFonts w:ascii="Calibri" w:hAnsi="Calibri" w:cs="Calibri"/>
        </w:rPr>
        <w:t xml:space="preserve">was 61 percent, compared to 60.8 percent in June (seasonally adjusted). The moderate decline in the </w:t>
      </w:r>
      <w:r w:rsidR="00244C15" w:rsidRPr="006B5294">
        <w:rPr>
          <w:rFonts w:ascii="Calibri" w:hAnsi="Calibri" w:cs="Calibri"/>
        </w:rPr>
        <w:t xml:space="preserve">broad </w:t>
      </w:r>
      <w:r w:rsidR="008A0DA3" w:rsidRPr="006B5294">
        <w:rPr>
          <w:rFonts w:ascii="Calibri" w:hAnsi="Calibri" w:cs="Calibri"/>
        </w:rPr>
        <w:t>unemployment rate continues</w:t>
      </w:r>
      <w:r w:rsidR="003C7B49" w:rsidRPr="006B5294">
        <w:rPr>
          <w:rFonts w:ascii="Calibri" w:hAnsi="Calibri" w:cs="Calibri"/>
        </w:rPr>
        <w:t xml:space="preserve">, and the rate was </w:t>
      </w:r>
      <w:r w:rsidR="00244C15" w:rsidRPr="006B5294">
        <w:rPr>
          <w:rFonts w:ascii="Calibri" w:hAnsi="Calibri" w:cs="Calibri"/>
        </w:rPr>
        <w:t xml:space="preserve">3.3 </w:t>
      </w:r>
      <w:r w:rsidR="003C7B49" w:rsidRPr="006B5294">
        <w:rPr>
          <w:rFonts w:ascii="Calibri" w:hAnsi="Calibri" w:cs="Calibri"/>
        </w:rPr>
        <w:t xml:space="preserve">percent, compared to </w:t>
      </w:r>
      <w:r w:rsidR="00244C15" w:rsidRPr="006B5294">
        <w:rPr>
          <w:rFonts w:ascii="Calibri" w:hAnsi="Calibri" w:cs="Calibri"/>
        </w:rPr>
        <w:t xml:space="preserve">3.7 </w:t>
      </w:r>
      <w:r w:rsidR="003C7B49" w:rsidRPr="006B5294">
        <w:rPr>
          <w:rFonts w:ascii="Calibri" w:hAnsi="Calibri" w:cs="Calibri"/>
        </w:rPr>
        <w:t>percent in June</w:t>
      </w:r>
      <w:r w:rsidR="00244C15" w:rsidRPr="006B5294">
        <w:rPr>
          <w:rFonts w:ascii="Calibri" w:hAnsi="Calibri" w:cs="Calibri"/>
        </w:rPr>
        <w:t xml:space="preserve">. </w:t>
      </w:r>
      <w:r w:rsidR="003E4D9E" w:rsidRPr="006B5294">
        <w:rPr>
          <w:rFonts w:ascii="Calibri" w:hAnsi="Calibri" w:cs="Calibri"/>
        </w:rPr>
        <w:t>(</w:t>
      </w:r>
      <w:r w:rsidR="00244C15" w:rsidRPr="006B5294">
        <w:rPr>
          <w:rFonts w:ascii="Calibri" w:hAnsi="Calibri" w:cs="Calibri"/>
        </w:rPr>
        <w:t xml:space="preserve">Including those serving in the reserves, the rate is 4.0 percent </w:t>
      </w:r>
      <w:r w:rsidR="003E4D9E" w:rsidRPr="006B5294">
        <w:rPr>
          <w:rFonts w:ascii="Calibri" w:hAnsi="Calibri" w:cs="Calibri"/>
        </w:rPr>
        <w:t xml:space="preserve">in July </w:t>
      </w:r>
      <w:r w:rsidR="00244C15" w:rsidRPr="006B5294">
        <w:rPr>
          <w:rFonts w:ascii="Calibri" w:hAnsi="Calibri" w:cs="Calibri"/>
        </w:rPr>
        <w:t>compared to 4.6 percent in June</w:t>
      </w:r>
      <w:r w:rsidR="003E4D9E" w:rsidRPr="006B5294">
        <w:rPr>
          <w:rFonts w:ascii="Calibri" w:hAnsi="Calibri" w:cs="Calibri"/>
        </w:rPr>
        <w:t>).</w:t>
      </w:r>
      <w:r w:rsidR="00244C15" w:rsidRPr="006B5294">
        <w:rPr>
          <w:rFonts w:ascii="Calibri" w:hAnsi="Calibri" w:cs="Calibri"/>
        </w:rPr>
        <w:t xml:space="preserve"> </w:t>
      </w:r>
      <w:r w:rsidR="003C7B49" w:rsidRPr="006B5294">
        <w:rPr>
          <w:rFonts w:ascii="Calibri" w:hAnsi="Calibri" w:cs="Calibri"/>
          <w:b/>
          <w:bCs/>
        </w:rPr>
        <w:t xml:space="preserve">(Figure </w:t>
      </w:r>
      <w:r w:rsidR="00B53C5C" w:rsidRPr="006B5294">
        <w:rPr>
          <w:rFonts w:ascii="Calibri" w:hAnsi="Calibri" w:cs="Calibri"/>
          <w:b/>
          <w:bCs/>
        </w:rPr>
        <w:t>13</w:t>
      </w:r>
      <w:r w:rsidR="003C7B49" w:rsidRPr="006B5294">
        <w:rPr>
          <w:rFonts w:ascii="Calibri" w:hAnsi="Calibri" w:cs="Calibri"/>
          <w:b/>
          <w:bCs/>
        </w:rPr>
        <w:t>)</w:t>
      </w:r>
      <w:r w:rsidR="003C7B49" w:rsidRPr="006B5294">
        <w:rPr>
          <w:rFonts w:ascii="Calibri" w:hAnsi="Calibri" w:cs="Calibri"/>
        </w:rPr>
        <w:t xml:space="preserve">. The job vacancy rate is 4.6 percent in July, similar to the June figure. This rate is higher than </w:t>
      </w:r>
      <w:r w:rsidR="003E4D9E" w:rsidRPr="006B5294">
        <w:rPr>
          <w:rFonts w:ascii="Calibri" w:hAnsi="Calibri" w:cs="Calibri"/>
        </w:rPr>
        <w:t xml:space="preserve">the </w:t>
      </w:r>
      <w:r w:rsidR="003C7B49" w:rsidRPr="006B5294">
        <w:rPr>
          <w:rFonts w:ascii="Calibri" w:hAnsi="Calibri" w:cs="Calibri"/>
        </w:rPr>
        <w:t xml:space="preserve">rate just before the war, even net of the construction industry </w:t>
      </w:r>
      <w:r w:rsidR="003C7B49" w:rsidRPr="006B5294">
        <w:rPr>
          <w:rFonts w:ascii="Calibri" w:hAnsi="Calibri" w:cs="Calibri"/>
          <w:b/>
          <w:bCs/>
        </w:rPr>
        <w:t xml:space="preserve">(Figure </w:t>
      </w:r>
      <w:r w:rsidR="00B53C5C" w:rsidRPr="006B5294">
        <w:rPr>
          <w:rFonts w:ascii="Calibri" w:hAnsi="Calibri" w:cs="Calibri"/>
          <w:b/>
          <w:bCs/>
        </w:rPr>
        <w:t>15</w:t>
      </w:r>
      <w:r w:rsidR="003C7B49" w:rsidRPr="006B5294">
        <w:rPr>
          <w:rFonts w:ascii="Calibri" w:hAnsi="Calibri" w:cs="Calibri"/>
          <w:b/>
          <w:bCs/>
        </w:rPr>
        <w:t>)</w:t>
      </w:r>
      <w:r w:rsidR="003C7B49" w:rsidRPr="006B5294">
        <w:rPr>
          <w:rFonts w:ascii="Calibri" w:hAnsi="Calibri" w:cs="Calibri"/>
        </w:rPr>
        <w:t xml:space="preserve">. In the construction and the </w:t>
      </w:r>
      <w:r w:rsidR="00AE72C5" w:rsidRPr="006B5294">
        <w:rPr>
          <w:rFonts w:ascii="Calibri" w:hAnsi="Calibri" w:cs="Calibri"/>
        </w:rPr>
        <w:t xml:space="preserve">accommodation and food service </w:t>
      </w:r>
      <w:r w:rsidR="003C7B49" w:rsidRPr="006B5294">
        <w:rPr>
          <w:rFonts w:ascii="Calibri" w:hAnsi="Calibri" w:cs="Calibri"/>
        </w:rPr>
        <w:t xml:space="preserve">industries there is a high rate of job vacancies, while the job vacancy rate in services and manufacturing remains stable. From the beginning of 2023, there has been an acceleration in the rate of increase in average wage per employee post compared to previous years, and the growth rate of nominal wages </w:t>
      </w:r>
      <w:r w:rsidR="003E4D9E" w:rsidRPr="006B5294">
        <w:rPr>
          <w:rFonts w:ascii="Calibri" w:hAnsi="Calibri" w:cs="Calibri"/>
        </w:rPr>
        <w:t xml:space="preserve">hovers </w:t>
      </w:r>
      <w:r w:rsidR="003C7B49" w:rsidRPr="006B5294">
        <w:rPr>
          <w:rFonts w:ascii="Calibri" w:hAnsi="Calibri" w:cs="Calibri"/>
        </w:rPr>
        <w:t xml:space="preserve">around 7 percent </w:t>
      </w:r>
      <w:r w:rsidR="003C7B49" w:rsidRPr="006B5294">
        <w:rPr>
          <w:rFonts w:ascii="Calibri" w:hAnsi="Calibri" w:cs="Calibri"/>
          <w:b/>
          <w:bCs/>
        </w:rPr>
        <w:t xml:space="preserve">(Figure </w:t>
      </w:r>
      <w:r w:rsidR="00B53C5C" w:rsidRPr="006B5294">
        <w:rPr>
          <w:rFonts w:ascii="Calibri" w:hAnsi="Calibri" w:cs="Calibri"/>
          <w:b/>
          <w:bCs/>
        </w:rPr>
        <w:t>14</w:t>
      </w:r>
      <w:r w:rsidR="003C7B49" w:rsidRPr="006B5294">
        <w:rPr>
          <w:rFonts w:ascii="Calibri" w:hAnsi="Calibri" w:cs="Calibri"/>
          <w:b/>
          <w:bCs/>
        </w:rPr>
        <w:t>)</w:t>
      </w:r>
      <w:r w:rsidR="003C7B49" w:rsidRPr="006B5294">
        <w:rPr>
          <w:rFonts w:ascii="Calibri" w:hAnsi="Calibri" w:cs="Calibri"/>
        </w:rPr>
        <w:t>. However, the (nominal) cost of labor per unit of (real) GDP increased by a moderate rate and the level of real wages is near the trend line.</w:t>
      </w:r>
    </w:p>
    <w:p w:rsidR="0044662E" w:rsidRPr="006B5294" w:rsidRDefault="0044662E" w:rsidP="00CD5043">
      <w:pPr>
        <w:ind w:left="-270" w:right="265"/>
        <w:jc w:val="both"/>
        <w:rPr>
          <w:rFonts w:ascii="Calibri" w:hAnsi="Calibri" w:cs="Calibri"/>
        </w:rPr>
      </w:pPr>
    </w:p>
    <w:p w:rsidR="0044662E" w:rsidRPr="006B5294" w:rsidRDefault="006704A7" w:rsidP="00A377F1">
      <w:pPr>
        <w:ind w:left="-270" w:right="265"/>
        <w:jc w:val="both"/>
        <w:rPr>
          <w:rFonts w:ascii="Calibri" w:hAnsi="Calibri" w:cs="Calibri"/>
        </w:rPr>
      </w:pPr>
      <w:r w:rsidRPr="006B5294">
        <w:rPr>
          <w:rFonts w:ascii="Calibri" w:hAnsi="Calibri" w:cs="Calibri"/>
        </w:rPr>
        <w:t>H</w:t>
      </w:r>
      <w:r w:rsidR="0044662E" w:rsidRPr="006B5294">
        <w:rPr>
          <w:rFonts w:ascii="Calibri" w:hAnsi="Calibri" w:cs="Calibri"/>
        </w:rPr>
        <w:t>ousing market activity</w:t>
      </w:r>
      <w:r w:rsidRPr="006B5294">
        <w:rPr>
          <w:rFonts w:ascii="Calibri" w:hAnsi="Calibri" w:cs="Calibri"/>
        </w:rPr>
        <w:t xml:space="preserve"> </w:t>
      </w:r>
      <w:r w:rsidR="009A55FE" w:rsidRPr="006B5294">
        <w:rPr>
          <w:rFonts w:ascii="Calibri" w:hAnsi="Calibri" w:cs="Calibri"/>
        </w:rPr>
        <w:t>continues to recover</w:t>
      </w:r>
      <w:r w:rsidR="0044662E" w:rsidRPr="006B5294">
        <w:rPr>
          <w:rFonts w:ascii="Calibri" w:hAnsi="Calibri" w:cs="Calibri"/>
        </w:rPr>
        <w:t xml:space="preserve">. </w:t>
      </w:r>
      <w:r w:rsidR="009A55FE" w:rsidRPr="006B5294">
        <w:rPr>
          <w:rFonts w:ascii="Calibri" w:hAnsi="Calibri" w:cs="Calibri"/>
        </w:rPr>
        <w:t xml:space="preserve">Home </w:t>
      </w:r>
      <w:r w:rsidR="00976530" w:rsidRPr="006B5294">
        <w:rPr>
          <w:rFonts w:ascii="Calibri" w:hAnsi="Calibri" w:cs="Calibri"/>
        </w:rPr>
        <w:t>price</w:t>
      </w:r>
      <w:r w:rsidR="0063277D" w:rsidRPr="006B5294">
        <w:rPr>
          <w:rFonts w:ascii="Calibri" w:hAnsi="Calibri" w:cs="Calibri"/>
        </w:rPr>
        <w:t>s</w:t>
      </w:r>
      <w:r w:rsidR="00976530" w:rsidRPr="006B5294">
        <w:rPr>
          <w:rFonts w:ascii="Calibri" w:hAnsi="Calibri" w:cs="Calibri"/>
        </w:rPr>
        <w:t xml:space="preserve"> continued to increase</w:t>
      </w:r>
      <w:r w:rsidR="009A55FE" w:rsidRPr="006B5294">
        <w:rPr>
          <w:rFonts w:ascii="Calibri" w:hAnsi="Calibri" w:cs="Calibri"/>
        </w:rPr>
        <w:t xml:space="preserve"> on a</w:t>
      </w:r>
      <w:r w:rsidR="007864DD" w:rsidRPr="006B5294">
        <w:rPr>
          <w:rFonts w:ascii="Calibri" w:hAnsi="Calibri" w:cs="Calibri"/>
        </w:rPr>
        <w:t xml:space="preserve"> </w:t>
      </w:r>
      <w:r w:rsidR="009A55FE" w:rsidRPr="006B5294">
        <w:rPr>
          <w:rFonts w:ascii="Calibri" w:hAnsi="Calibri" w:cs="Calibri"/>
        </w:rPr>
        <w:t>year on year basis</w:t>
      </w:r>
      <w:r w:rsidR="00976530" w:rsidRPr="006B5294">
        <w:rPr>
          <w:rFonts w:ascii="Calibri" w:hAnsi="Calibri" w:cs="Calibri"/>
        </w:rPr>
        <w:t xml:space="preserve">, and </w:t>
      </w:r>
      <w:r w:rsidR="00CC034A" w:rsidRPr="006B5294">
        <w:rPr>
          <w:rFonts w:ascii="Calibri" w:hAnsi="Calibri" w:cs="Calibri"/>
        </w:rPr>
        <w:t xml:space="preserve">the rate </w:t>
      </w:r>
      <w:r w:rsidR="00976530" w:rsidRPr="006B5294">
        <w:rPr>
          <w:rFonts w:ascii="Calibri" w:hAnsi="Calibri" w:cs="Calibri"/>
        </w:rPr>
        <w:t>is at 4.7 percent</w:t>
      </w:r>
      <w:r w:rsidR="004960DF" w:rsidRPr="006B5294">
        <w:rPr>
          <w:rFonts w:ascii="Calibri" w:hAnsi="Calibri" w:cs="Calibri"/>
        </w:rPr>
        <w:t xml:space="preserve"> </w:t>
      </w:r>
      <w:r w:rsidR="004960DF" w:rsidRPr="006B5294">
        <w:rPr>
          <w:rFonts w:ascii="Calibri" w:hAnsi="Calibri" w:cs="Calibri"/>
          <w:b/>
          <w:bCs/>
        </w:rPr>
        <w:t xml:space="preserve">(Figure </w:t>
      </w:r>
      <w:r w:rsidR="00A377F1" w:rsidRPr="006B5294">
        <w:rPr>
          <w:rFonts w:ascii="Calibri" w:hAnsi="Calibri" w:cs="Calibri"/>
          <w:b/>
          <w:bCs/>
        </w:rPr>
        <w:t>17</w:t>
      </w:r>
      <w:r w:rsidR="004960DF" w:rsidRPr="006B5294">
        <w:rPr>
          <w:rFonts w:ascii="Calibri" w:hAnsi="Calibri" w:cs="Calibri"/>
          <w:b/>
          <w:bCs/>
        </w:rPr>
        <w:t>)</w:t>
      </w:r>
      <w:r w:rsidR="00976530" w:rsidRPr="006B5294">
        <w:rPr>
          <w:rFonts w:ascii="Calibri" w:hAnsi="Calibri" w:cs="Calibri"/>
        </w:rPr>
        <w:t xml:space="preserve">. In July, </w:t>
      </w:r>
      <w:r w:rsidR="0063277D" w:rsidRPr="006B5294">
        <w:rPr>
          <w:rFonts w:ascii="Calibri" w:hAnsi="Calibri" w:cs="Calibri"/>
        </w:rPr>
        <w:t xml:space="preserve">the increase in mortgage volume continued, with NIS 9.1 billion in mortgages taken out </w:t>
      </w:r>
      <w:r w:rsidR="0063277D" w:rsidRPr="006B5294">
        <w:rPr>
          <w:rFonts w:ascii="Calibri" w:hAnsi="Calibri" w:cs="Calibri"/>
          <w:b/>
          <w:bCs/>
        </w:rPr>
        <w:t>(Figure 18)</w:t>
      </w:r>
      <w:r w:rsidR="0063277D" w:rsidRPr="006B5294">
        <w:rPr>
          <w:rFonts w:ascii="Calibri" w:hAnsi="Calibri" w:cs="Calibri"/>
        </w:rPr>
        <w:t>.</w:t>
      </w:r>
      <w:r w:rsidR="00C50734" w:rsidRPr="006B5294">
        <w:rPr>
          <w:rFonts w:ascii="Calibri" w:hAnsi="Calibri" w:cs="Calibri"/>
        </w:rPr>
        <w:t xml:space="preserve"> The housing component in the CPI incr</w:t>
      </w:r>
      <w:r w:rsidR="00C94A20" w:rsidRPr="006B5294">
        <w:rPr>
          <w:rFonts w:ascii="Calibri" w:hAnsi="Calibri" w:cs="Calibri"/>
        </w:rPr>
        <w:t>e</w:t>
      </w:r>
      <w:r w:rsidR="00C50734" w:rsidRPr="006B5294">
        <w:rPr>
          <w:rFonts w:ascii="Calibri" w:hAnsi="Calibri" w:cs="Calibri"/>
        </w:rPr>
        <w:t>ased in July by 0.8 percent</w:t>
      </w:r>
      <w:r w:rsidR="00C94A20" w:rsidRPr="006B5294">
        <w:rPr>
          <w:rFonts w:ascii="Calibri" w:hAnsi="Calibri" w:cs="Calibri"/>
        </w:rPr>
        <w:t>. This includes the owner-occupied housing services index, which increased by 0.7 percent, and by 2.6 percent for the past year overall, similar to its pace in the</w:t>
      </w:r>
      <w:r w:rsidR="00C36E0D" w:rsidRPr="006B5294">
        <w:rPr>
          <w:rFonts w:ascii="Calibri" w:hAnsi="Calibri" w:cs="Calibri"/>
        </w:rPr>
        <w:t xml:space="preserve"> </w:t>
      </w:r>
      <w:r w:rsidR="00C94A20" w:rsidRPr="006B5294">
        <w:rPr>
          <w:rFonts w:ascii="Calibri" w:hAnsi="Calibri" w:cs="Calibri"/>
        </w:rPr>
        <w:t>previous month.</w:t>
      </w:r>
      <w:r w:rsidR="00C36E0D" w:rsidRPr="006B5294">
        <w:rPr>
          <w:rFonts w:ascii="Calibri" w:hAnsi="Calibri" w:cs="Calibri"/>
        </w:rPr>
        <w:t xml:space="preserve"> </w:t>
      </w:r>
      <w:r w:rsidR="002C1FDC" w:rsidRPr="006B5294">
        <w:rPr>
          <w:rFonts w:ascii="Calibri" w:hAnsi="Calibri" w:cs="Calibri"/>
        </w:rPr>
        <w:t>T</w:t>
      </w:r>
      <w:r w:rsidR="00C36E0D" w:rsidRPr="006B5294">
        <w:rPr>
          <w:rFonts w:ascii="Calibri" w:hAnsi="Calibri" w:cs="Calibri"/>
        </w:rPr>
        <w:t xml:space="preserve">here was an increase of 2.6 percent for renters who renewed their lease and 3.4 percent for new renters. In the first quarter of the year, building starts </w:t>
      </w:r>
      <w:r w:rsidR="004960DF" w:rsidRPr="006B5294">
        <w:rPr>
          <w:rFonts w:ascii="Calibri" w:hAnsi="Calibri" w:cs="Calibri"/>
        </w:rPr>
        <w:t>and building permits were relatively stable</w:t>
      </w:r>
      <w:r w:rsidR="00C36E0D" w:rsidRPr="006B5294">
        <w:rPr>
          <w:rFonts w:ascii="Calibri" w:hAnsi="Calibri" w:cs="Calibri"/>
        </w:rPr>
        <w:t>. Alongside these, the limitations on construction industry activity in view of the war, and particularly the shortage of workers, is still significant</w:t>
      </w:r>
      <w:r w:rsidR="004960DF" w:rsidRPr="006B5294">
        <w:rPr>
          <w:rFonts w:ascii="Calibri" w:hAnsi="Calibri" w:cs="Calibri"/>
        </w:rPr>
        <w:t>,</w:t>
      </w:r>
      <w:r w:rsidR="00C36E0D" w:rsidRPr="006B5294">
        <w:rPr>
          <w:rFonts w:ascii="Calibri" w:hAnsi="Calibri" w:cs="Calibri"/>
        </w:rPr>
        <w:t xml:space="preserve"> and the activity in the construction industry is recovering </w:t>
      </w:r>
      <w:r w:rsidR="002C1FDC" w:rsidRPr="006B5294">
        <w:rPr>
          <w:rFonts w:ascii="Calibri" w:hAnsi="Calibri" w:cs="Calibri"/>
        </w:rPr>
        <w:t xml:space="preserve">only </w:t>
      </w:r>
      <w:r w:rsidR="00C36E0D" w:rsidRPr="006B5294">
        <w:rPr>
          <w:rFonts w:ascii="Calibri" w:hAnsi="Calibri" w:cs="Calibri"/>
        </w:rPr>
        <w:t>slowly</w:t>
      </w:r>
      <w:r w:rsidR="00A377F1" w:rsidRPr="006B5294">
        <w:rPr>
          <w:rFonts w:ascii="Calibri" w:hAnsi="Calibri" w:cs="Calibri"/>
        </w:rPr>
        <w:t xml:space="preserve"> </w:t>
      </w:r>
      <w:r w:rsidR="00A377F1" w:rsidRPr="006B5294">
        <w:rPr>
          <w:rFonts w:ascii="Calibri" w:hAnsi="Calibri" w:cs="Calibri"/>
          <w:b/>
          <w:bCs/>
        </w:rPr>
        <w:t>(Figure 16b)</w:t>
      </w:r>
      <w:r w:rsidR="00C36E0D" w:rsidRPr="006B5294">
        <w:rPr>
          <w:rFonts w:ascii="Calibri" w:hAnsi="Calibri" w:cs="Calibri"/>
        </w:rPr>
        <w:t>.</w:t>
      </w:r>
    </w:p>
    <w:p w:rsidR="008A0DA3" w:rsidRPr="006B5294" w:rsidRDefault="008A0DA3" w:rsidP="00CD5043">
      <w:pPr>
        <w:ind w:left="-270" w:right="265"/>
        <w:jc w:val="both"/>
        <w:rPr>
          <w:rFonts w:ascii="Calibri" w:hAnsi="Calibri" w:cs="Calibri"/>
        </w:rPr>
      </w:pPr>
    </w:p>
    <w:p w:rsidR="00EC2508" w:rsidRPr="006B5294" w:rsidRDefault="000E6DF7" w:rsidP="00DC1449">
      <w:pPr>
        <w:ind w:left="-270" w:right="265"/>
        <w:jc w:val="both"/>
        <w:rPr>
          <w:rFonts w:ascii="Calibri" w:hAnsi="Calibri" w:cs="Calibri"/>
        </w:rPr>
      </w:pPr>
      <w:r w:rsidRPr="006B5294">
        <w:rPr>
          <w:rFonts w:ascii="Calibri" w:hAnsi="Calibri" w:cs="Calibri"/>
        </w:rPr>
        <w:t xml:space="preserve">In the capital market, </w:t>
      </w:r>
      <w:r w:rsidR="00EC2508" w:rsidRPr="006B5294">
        <w:rPr>
          <w:rFonts w:ascii="Calibri" w:hAnsi="Calibri" w:cs="Calibri"/>
        </w:rPr>
        <w:t xml:space="preserve">domestic </w:t>
      </w:r>
      <w:r w:rsidRPr="006B5294">
        <w:rPr>
          <w:rFonts w:ascii="Calibri" w:hAnsi="Calibri" w:cs="Calibri"/>
        </w:rPr>
        <w:t xml:space="preserve">equity indices </w:t>
      </w:r>
      <w:r w:rsidR="000F00D9" w:rsidRPr="006B5294">
        <w:rPr>
          <w:rFonts w:ascii="Calibri" w:hAnsi="Calibri" w:cs="Calibri"/>
        </w:rPr>
        <w:t>increased</w:t>
      </w:r>
      <w:r w:rsidR="00AE2FAA" w:rsidRPr="006B5294">
        <w:rPr>
          <w:rFonts w:ascii="Calibri" w:hAnsi="Calibri" w:cs="Calibri"/>
        </w:rPr>
        <w:t xml:space="preserve"> during the reviewed period</w:t>
      </w:r>
      <w:r w:rsidR="00171A9A" w:rsidRPr="006B5294">
        <w:rPr>
          <w:rFonts w:ascii="Calibri" w:hAnsi="Calibri" w:cs="Calibri"/>
        </w:rPr>
        <w:t>.</w:t>
      </w:r>
      <w:r w:rsidR="00AE2FAA" w:rsidRPr="006B5294">
        <w:rPr>
          <w:rFonts w:ascii="Calibri" w:hAnsi="Calibri" w:cs="Calibri"/>
        </w:rPr>
        <w:t xml:space="preserve"> </w:t>
      </w:r>
      <w:r w:rsidR="000F00D9" w:rsidRPr="006B5294">
        <w:rPr>
          <w:rFonts w:ascii="Calibri" w:hAnsi="Calibri" w:cs="Calibri"/>
        </w:rPr>
        <w:t>However, t</w:t>
      </w:r>
      <w:r w:rsidRPr="006B5294">
        <w:rPr>
          <w:rFonts w:ascii="Calibri" w:hAnsi="Calibri" w:cs="Calibri"/>
        </w:rPr>
        <w:t xml:space="preserve">he underperformance </w:t>
      </w:r>
      <w:r w:rsidR="000A57F1" w:rsidRPr="006B5294">
        <w:rPr>
          <w:rFonts w:ascii="Calibri" w:hAnsi="Calibri" w:cs="Calibri"/>
        </w:rPr>
        <w:t xml:space="preserve">of the domestic </w:t>
      </w:r>
      <w:r w:rsidR="000E64FA" w:rsidRPr="006B5294">
        <w:rPr>
          <w:rFonts w:ascii="Calibri" w:hAnsi="Calibri" w:cs="Calibri"/>
        </w:rPr>
        <w:t xml:space="preserve">equities </w:t>
      </w:r>
      <w:r w:rsidR="000A57F1" w:rsidRPr="006B5294">
        <w:rPr>
          <w:rFonts w:ascii="Calibri" w:hAnsi="Calibri" w:cs="Calibri"/>
        </w:rPr>
        <w:t xml:space="preserve">market </w:t>
      </w:r>
      <w:r w:rsidRPr="006B5294">
        <w:rPr>
          <w:rFonts w:ascii="Calibri" w:hAnsi="Calibri" w:cs="Calibri"/>
        </w:rPr>
        <w:t>relative to the</w:t>
      </w:r>
      <w:r w:rsidR="000A57F1" w:rsidRPr="006B5294">
        <w:rPr>
          <w:rFonts w:ascii="Calibri" w:hAnsi="Calibri" w:cs="Calibri"/>
        </w:rPr>
        <w:t xml:space="preserve"> global market since</w:t>
      </w:r>
      <w:r w:rsidRPr="006B5294">
        <w:rPr>
          <w:rFonts w:ascii="Calibri" w:hAnsi="Calibri" w:cs="Calibri"/>
        </w:rPr>
        <w:t xml:space="preserve"> </w:t>
      </w:r>
      <w:r w:rsidR="00171A9A" w:rsidRPr="006B5294">
        <w:rPr>
          <w:rFonts w:ascii="Calibri" w:hAnsi="Calibri" w:cs="Calibri"/>
        </w:rPr>
        <w:t xml:space="preserve">the </w:t>
      </w:r>
      <w:r w:rsidR="002C1FDC" w:rsidRPr="006B5294">
        <w:rPr>
          <w:rFonts w:ascii="Calibri" w:hAnsi="Calibri" w:cs="Calibri"/>
        </w:rPr>
        <w:t xml:space="preserve">start </w:t>
      </w:r>
      <w:r w:rsidR="00EC2508" w:rsidRPr="006B5294">
        <w:rPr>
          <w:rFonts w:ascii="Calibri" w:hAnsi="Calibri" w:cs="Calibri"/>
        </w:rPr>
        <w:t xml:space="preserve">of the war </w:t>
      </w:r>
      <w:r w:rsidRPr="006B5294">
        <w:rPr>
          <w:rFonts w:ascii="Calibri" w:hAnsi="Calibri" w:cs="Calibri"/>
        </w:rPr>
        <w:t>remains significant</w:t>
      </w:r>
      <w:r w:rsidR="00171A9A" w:rsidRPr="006B5294">
        <w:rPr>
          <w:rFonts w:ascii="Calibri" w:hAnsi="Calibri" w:cs="Calibri"/>
        </w:rPr>
        <w:t xml:space="preserve"> </w:t>
      </w:r>
      <w:r w:rsidRPr="006B5294">
        <w:rPr>
          <w:rFonts w:ascii="Calibri" w:hAnsi="Calibri" w:cs="Calibri"/>
          <w:b/>
          <w:bCs/>
        </w:rPr>
        <w:t xml:space="preserve">(Figure </w:t>
      </w:r>
      <w:r w:rsidR="00DC1449" w:rsidRPr="006B5294">
        <w:rPr>
          <w:rFonts w:ascii="Calibri" w:hAnsi="Calibri" w:cs="Calibri"/>
          <w:b/>
          <w:bCs/>
        </w:rPr>
        <w:t>29</w:t>
      </w:r>
      <w:r w:rsidRPr="006B5294">
        <w:rPr>
          <w:rFonts w:ascii="Calibri" w:hAnsi="Calibri" w:cs="Calibri"/>
          <w:b/>
          <w:bCs/>
        </w:rPr>
        <w:t>)</w:t>
      </w:r>
      <w:r w:rsidRPr="006B5294">
        <w:rPr>
          <w:rFonts w:ascii="Calibri" w:hAnsi="Calibri" w:cs="Calibri"/>
        </w:rPr>
        <w:t xml:space="preserve">. </w:t>
      </w:r>
      <w:r w:rsidR="00EC2508" w:rsidRPr="006B5294">
        <w:rPr>
          <w:rFonts w:ascii="Calibri" w:hAnsi="Calibri" w:cs="Calibri"/>
        </w:rPr>
        <w:t xml:space="preserve">In the government bond market, yields declined </w:t>
      </w:r>
      <w:r w:rsidR="00EC2508" w:rsidRPr="006B5294">
        <w:rPr>
          <w:rFonts w:ascii="Calibri" w:hAnsi="Calibri" w:cs="Calibri"/>
        </w:rPr>
        <w:lastRenderedPageBreak/>
        <w:t xml:space="preserve">but more moderately than the global trend </w:t>
      </w:r>
      <w:r w:rsidR="00EC2508" w:rsidRPr="006B5294">
        <w:rPr>
          <w:rFonts w:ascii="Calibri" w:hAnsi="Calibri" w:cs="Calibri"/>
          <w:b/>
          <w:bCs/>
        </w:rPr>
        <w:t xml:space="preserve">(Figure </w:t>
      </w:r>
      <w:r w:rsidR="00DC1449" w:rsidRPr="006B5294">
        <w:rPr>
          <w:rFonts w:ascii="Calibri" w:hAnsi="Calibri" w:cs="Calibri"/>
          <w:b/>
          <w:bCs/>
        </w:rPr>
        <w:t>26</w:t>
      </w:r>
      <w:r w:rsidR="00EC2508" w:rsidRPr="006B5294">
        <w:rPr>
          <w:rFonts w:ascii="Calibri" w:hAnsi="Calibri" w:cs="Calibri"/>
          <w:b/>
          <w:bCs/>
        </w:rPr>
        <w:t>)</w:t>
      </w:r>
      <w:r w:rsidR="00EC2508" w:rsidRPr="006B5294">
        <w:rPr>
          <w:rFonts w:ascii="Calibri" w:hAnsi="Calibri" w:cs="Calibri"/>
        </w:rPr>
        <w:t>. The growth rate of business credit in recent months is slower than the prewar period, and in the most recent data (June) credit to large businesses increased, and to the rest of the business sector it contracted slightly. There has been some increase in various indicators of risk in business credit and in</w:t>
      </w:r>
      <w:r w:rsidR="005D299B" w:rsidRPr="006B5294">
        <w:rPr>
          <w:rFonts w:ascii="Calibri" w:hAnsi="Calibri" w:cs="Calibri"/>
        </w:rPr>
        <w:t xml:space="preserve"> consumer credit for households, which originates in credit card companies, but the levels are </w:t>
      </w:r>
      <w:proofErr w:type="gramStart"/>
      <w:r w:rsidR="005D299B" w:rsidRPr="006B5294">
        <w:rPr>
          <w:rFonts w:ascii="Calibri" w:hAnsi="Calibri" w:cs="Calibri"/>
        </w:rPr>
        <w:t>not</w:t>
      </w:r>
      <w:proofErr w:type="gramEnd"/>
      <w:r w:rsidR="005D299B" w:rsidRPr="006B5294">
        <w:rPr>
          <w:rFonts w:ascii="Calibri" w:hAnsi="Calibri" w:cs="Calibri"/>
        </w:rPr>
        <w:t xml:space="preserve"> </w:t>
      </w:r>
      <w:proofErr w:type="gramStart"/>
      <w:r w:rsidR="005D299B" w:rsidRPr="006B5294">
        <w:rPr>
          <w:rFonts w:ascii="Calibri" w:hAnsi="Calibri" w:cs="Calibri"/>
        </w:rPr>
        <w:t>higher</w:t>
      </w:r>
      <w:proofErr w:type="gramEnd"/>
      <w:r w:rsidR="005D299B" w:rsidRPr="006B5294">
        <w:rPr>
          <w:rFonts w:ascii="Calibri" w:hAnsi="Calibri" w:cs="Calibri"/>
        </w:rPr>
        <w:t xml:space="preserve"> than in the past.</w:t>
      </w:r>
    </w:p>
    <w:p w:rsidR="005D299B" w:rsidRPr="006B5294" w:rsidRDefault="005D299B" w:rsidP="00CD5043">
      <w:pPr>
        <w:ind w:left="-270" w:right="265"/>
        <w:jc w:val="both"/>
        <w:rPr>
          <w:rFonts w:ascii="Calibri" w:hAnsi="Calibri" w:cs="Calibri"/>
        </w:rPr>
      </w:pPr>
    </w:p>
    <w:p w:rsidR="005D299B" w:rsidRPr="006B5294" w:rsidRDefault="005D299B" w:rsidP="00512E1E">
      <w:pPr>
        <w:ind w:left="-270" w:right="265"/>
        <w:jc w:val="both"/>
        <w:rPr>
          <w:rFonts w:ascii="Calibri" w:hAnsi="Calibri" w:cs="Calibri"/>
        </w:rPr>
      </w:pPr>
      <w:r w:rsidRPr="006B5294">
        <w:rPr>
          <w:rFonts w:ascii="Calibri" w:hAnsi="Calibri" w:cs="Calibri"/>
        </w:rPr>
        <w:t xml:space="preserve">In the reviewed period, ratings </w:t>
      </w:r>
      <w:r w:rsidR="00283756" w:rsidRPr="006B5294">
        <w:rPr>
          <w:rFonts w:ascii="Calibri" w:hAnsi="Calibri" w:cs="Calibri"/>
        </w:rPr>
        <w:t xml:space="preserve">agency </w:t>
      </w:r>
      <w:r w:rsidRPr="006B5294">
        <w:rPr>
          <w:rFonts w:ascii="Calibri" w:hAnsi="Calibri" w:cs="Calibri"/>
        </w:rPr>
        <w:t>Fitch downgraded Israel’s credit rating from A+ to A, with a “negative” outlook.</w:t>
      </w:r>
      <w:r w:rsidR="00283756" w:rsidRPr="006B5294">
        <w:rPr>
          <w:rFonts w:ascii="Calibri" w:hAnsi="Calibri" w:cs="Calibri"/>
        </w:rPr>
        <w:t xml:space="preserve"> As the rating</w:t>
      </w:r>
      <w:r w:rsidR="00512E1E" w:rsidRPr="006B5294">
        <w:rPr>
          <w:rFonts w:ascii="Calibri" w:hAnsi="Calibri" w:cs="Calibri"/>
        </w:rPr>
        <w:t>s</w:t>
      </w:r>
      <w:r w:rsidR="00283756" w:rsidRPr="006B5294">
        <w:rPr>
          <w:rFonts w:ascii="Calibri" w:hAnsi="Calibri" w:cs="Calibri"/>
        </w:rPr>
        <w:t xml:space="preserve"> agency explained</w:t>
      </w:r>
      <w:r w:rsidR="00BA3858" w:rsidRPr="006B5294">
        <w:rPr>
          <w:rFonts w:ascii="Calibri" w:hAnsi="Calibri" w:cs="Calibri"/>
        </w:rPr>
        <w:t xml:space="preserve">, the decision reflected the security reality, but also an assessment of fiscal policy </w:t>
      </w:r>
      <w:r w:rsidR="00512E1E" w:rsidRPr="006B5294">
        <w:rPr>
          <w:rFonts w:ascii="Calibri" w:hAnsi="Calibri" w:cs="Calibri"/>
        </w:rPr>
        <w:t>management</w:t>
      </w:r>
      <w:r w:rsidR="00BA3858" w:rsidRPr="006B5294">
        <w:rPr>
          <w:rFonts w:ascii="Calibri" w:hAnsi="Calibri" w:cs="Calibri"/>
        </w:rPr>
        <w:t>, and emphasized a future policy framework.</w:t>
      </w:r>
      <w:r w:rsidR="00283756" w:rsidRPr="006B5294">
        <w:rPr>
          <w:rFonts w:ascii="Calibri" w:hAnsi="Calibri" w:cs="Calibri"/>
        </w:rPr>
        <w:t xml:space="preserve"> </w:t>
      </w:r>
      <w:r w:rsidR="00AE0DC2" w:rsidRPr="006B5294">
        <w:rPr>
          <w:rFonts w:ascii="Calibri" w:hAnsi="Calibri" w:cs="Calibri"/>
        </w:rPr>
        <w:t>In view of the increase in geopolitical uncertainty, Israel’s risk premium, as measured by the spread between dollar-denominated government bonds and US government bonds, remained high and even rose to a record level during the period reviewed. The 5-year CDS spread also increased, and remains at high levels.</w:t>
      </w:r>
    </w:p>
    <w:p w:rsidR="000308DE" w:rsidRPr="006B5294" w:rsidRDefault="000308DE" w:rsidP="00CD5043">
      <w:pPr>
        <w:ind w:left="-270" w:right="265"/>
        <w:jc w:val="both"/>
        <w:rPr>
          <w:rFonts w:ascii="Calibri" w:hAnsi="Calibri" w:cs="Calibri"/>
        </w:rPr>
      </w:pPr>
    </w:p>
    <w:p w:rsidR="00407D89" w:rsidRPr="006B5294" w:rsidRDefault="00407D89" w:rsidP="00DC1449">
      <w:pPr>
        <w:ind w:left="-270" w:right="265"/>
        <w:jc w:val="both"/>
        <w:rPr>
          <w:rFonts w:ascii="Calibri" w:hAnsi="Calibri" w:cs="Calibri"/>
        </w:rPr>
      </w:pPr>
      <w:r w:rsidRPr="006B5294">
        <w:rPr>
          <w:rFonts w:ascii="Calibri" w:hAnsi="Calibri" w:cs="Calibri"/>
        </w:rPr>
        <w:t xml:space="preserve">Global </w:t>
      </w:r>
      <w:r w:rsidR="000308DE" w:rsidRPr="006B5294">
        <w:rPr>
          <w:rFonts w:ascii="Calibri" w:hAnsi="Calibri" w:cs="Calibri"/>
        </w:rPr>
        <w:t>economic activity continues to expand.</w:t>
      </w:r>
      <w:r w:rsidRPr="006B5294">
        <w:rPr>
          <w:rFonts w:ascii="Calibri" w:hAnsi="Calibri" w:cs="Calibri"/>
        </w:rPr>
        <w:t xml:space="preserve"> Economic activity in the US remained robust and concerns of </w:t>
      </w:r>
      <w:r w:rsidR="00D849FD" w:rsidRPr="006B5294">
        <w:rPr>
          <w:rFonts w:ascii="Calibri" w:hAnsi="Calibri" w:cs="Calibri"/>
        </w:rPr>
        <w:t xml:space="preserve">a </w:t>
      </w:r>
      <w:r w:rsidRPr="006B5294">
        <w:rPr>
          <w:rFonts w:ascii="Calibri" w:hAnsi="Calibri" w:cs="Calibri"/>
        </w:rPr>
        <w:t xml:space="preserve">recession dissipated. In the </w:t>
      </w:r>
      <w:proofErr w:type="spellStart"/>
      <w:r w:rsidRPr="006B5294">
        <w:rPr>
          <w:rFonts w:ascii="Calibri" w:hAnsi="Calibri" w:cs="Calibri"/>
        </w:rPr>
        <w:t>eurozone</w:t>
      </w:r>
      <w:proofErr w:type="spellEnd"/>
      <w:r w:rsidRPr="006B5294">
        <w:rPr>
          <w:rFonts w:ascii="Calibri" w:hAnsi="Calibri" w:cs="Calibri"/>
        </w:rPr>
        <w:t xml:space="preserve">, </w:t>
      </w:r>
      <w:r w:rsidR="00D849FD" w:rsidRPr="006B5294">
        <w:rPr>
          <w:rFonts w:ascii="Calibri" w:hAnsi="Calibri" w:cs="Calibri"/>
        </w:rPr>
        <w:t>al</w:t>
      </w:r>
      <w:r w:rsidRPr="006B5294">
        <w:rPr>
          <w:rFonts w:ascii="Calibri" w:hAnsi="Calibri" w:cs="Calibri"/>
        </w:rPr>
        <w:t xml:space="preserve">though second quarter growth surprised to the upside, </w:t>
      </w:r>
      <w:r w:rsidR="00D849FD" w:rsidRPr="006B5294">
        <w:rPr>
          <w:rFonts w:ascii="Calibri" w:hAnsi="Calibri" w:cs="Calibri"/>
        </w:rPr>
        <w:t xml:space="preserve">the economic weakness in Germany is </w:t>
      </w:r>
      <w:r w:rsidRPr="006B5294">
        <w:rPr>
          <w:rFonts w:ascii="Calibri" w:hAnsi="Calibri" w:cs="Calibri"/>
        </w:rPr>
        <w:t xml:space="preserve">expected to </w:t>
      </w:r>
      <w:r w:rsidR="00D849FD" w:rsidRPr="006B5294">
        <w:rPr>
          <w:rFonts w:ascii="Calibri" w:hAnsi="Calibri" w:cs="Calibri"/>
        </w:rPr>
        <w:t xml:space="preserve">continue to impact on </w:t>
      </w:r>
      <w:proofErr w:type="spellStart"/>
      <w:r w:rsidR="00D849FD" w:rsidRPr="006B5294">
        <w:rPr>
          <w:rFonts w:ascii="Calibri" w:hAnsi="Calibri" w:cs="Calibri"/>
        </w:rPr>
        <w:t>eurozone</w:t>
      </w:r>
      <w:proofErr w:type="spellEnd"/>
      <w:r w:rsidR="00D849FD" w:rsidRPr="006B5294">
        <w:rPr>
          <w:rFonts w:ascii="Calibri" w:hAnsi="Calibri" w:cs="Calibri"/>
        </w:rPr>
        <w:t xml:space="preserve"> activity</w:t>
      </w:r>
      <w:r w:rsidRPr="006B5294">
        <w:rPr>
          <w:rFonts w:ascii="Calibri" w:hAnsi="Calibri" w:cs="Calibri"/>
        </w:rPr>
        <w:t xml:space="preserve"> in the third quarter. In China, second quarter growth was below forecasts and </w:t>
      </w:r>
      <w:r w:rsidR="00D849FD" w:rsidRPr="006B5294">
        <w:rPr>
          <w:rFonts w:ascii="Calibri" w:hAnsi="Calibri" w:cs="Calibri"/>
        </w:rPr>
        <w:t xml:space="preserve">it can be seen that </w:t>
      </w:r>
      <w:r w:rsidRPr="006B5294">
        <w:rPr>
          <w:rFonts w:ascii="Calibri" w:hAnsi="Calibri" w:cs="Calibri"/>
        </w:rPr>
        <w:t xml:space="preserve">activity continues to be relatively weak in the beginning of the third quarter as well. Investment houses’ global growth forecast for 2024–25 remained essentially unchanged </w:t>
      </w:r>
      <w:r w:rsidRPr="006B5294">
        <w:rPr>
          <w:rFonts w:ascii="Calibri" w:hAnsi="Calibri" w:cs="Calibri"/>
          <w:b/>
          <w:bCs/>
        </w:rPr>
        <w:t xml:space="preserve">(Figure </w:t>
      </w:r>
      <w:r w:rsidR="00DC1449" w:rsidRPr="006B5294">
        <w:rPr>
          <w:rFonts w:ascii="Calibri" w:hAnsi="Calibri" w:cs="Calibri"/>
          <w:b/>
          <w:bCs/>
        </w:rPr>
        <w:t>30</w:t>
      </w:r>
      <w:r w:rsidRPr="006B5294">
        <w:rPr>
          <w:rFonts w:ascii="Calibri" w:hAnsi="Calibri" w:cs="Calibri"/>
          <w:b/>
          <w:bCs/>
        </w:rPr>
        <w:t>)</w:t>
      </w:r>
      <w:r w:rsidRPr="006B5294">
        <w:rPr>
          <w:rFonts w:ascii="Calibri" w:hAnsi="Calibri" w:cs="Calibri"/>
        </w:rPr>
        <w:t xml:space="preserve">. The global Purchasing Managers Index for July indicates moderate expansion in the pace of activity, with activity accelerating in the services sector and the manufacturing sector </w:t>
      </w:r>
      <w:r w:rsidR="00755121" w:rsidRPr="006B5294">
        <w:rPr>
          <w:rFonts w:ascii="Calibri" w:hAnsi="Calibri" w:cs="Calibri"/>
        </w:rPr>
        <w:t xml:space="preserve">at </w:t>
      </w:r>
      <w:r w:rsidRPr="006B5294">
        <w:rPr>
          <w:rFonts w:ascii="Calibri" w:hAnsi="Calibri" w:cs="Calibri"/>
        </w:rPr>
        <w:t xml:space="preserve">a level reflecting moderate </w:t>
      </w:r>
      <w:r w:rsidR="00755121" w:rsidRPr="006B5294">
        <w:rPr>
          <w:rFonts w:ascii="Calibri" w:hAnsi="Calibri" w:cs="Calibri"/>
        </w:rPr>
        <w:t>contraction</w:t>
      </w:r>
      <w:r w:rsidRPr="006B5294">
        <w:rPr>
          <w:rFonts w:ascii="Calibri" w:hAnsi="Calibri" w:cs="Calibri"/>
        </w:rPr>
        <w:t>.</w:t>
      </w:r>
      <w:r w:rsidR="00056533" w:rsidRPr="006B5294">
        <w:rPr>
          <w:rFonts w:ascii="Calibri" w:hAnsi="Calibri" w:cs="Calibri"/>
        </w:rPr>
        <w:t xml:space="preserve"> World trade volume increased in June by 0.7 percent, after declining in May by 0.3 percent. In the US, second quarter data indicated significant moderation in inflation, compared to first quarter data </w:t>
      </w:r>
      <w:r w:rsidR="00056533" w:rsidRPr="006B5294">
        <w:rPr>
          <w:rFonts w:ascii="Calibri" w:hAnsi="Calibri" w:cs="Calibri"/>
          <w:b/>
          <w:bCs/>
        </w:rPr>
        <w:t xml:space="preserve">(Figure </w:t>
      </w:r>
      <w:r w:rsidR="00DC1449" w:rsidRPr="006B5294">
        <w:rPr>
          <w:rFonts w:ascii="Calibri" w:hAnsi="Calibri" w:cs="Calibri"/>
          <w:b/>
          <w:bCs/>
        </w:rPr>
        <w:t>34</w:t>
      </w:r>
      <w:r w:rsidR="00056533" w:rsidRPr="006B5294">
        <w:rPr>
          <w:rFonts w:ascii="Calibri" w:hAnsi="Calibri" w:cs="Calibri"/>
          <w:b/>
          <w:bCs/>
        </w:rPr>
        <w:t>)</w:t>
      </w:r>
      <w:r w:rsidR="00056533" w:rsidRPr="006B5294">
        <w:rPr>
          <w:rFonts w:ascii="Calibri" w:hAnsi="Calibri" w:cs="Calibri"/>
        </w:rPr>
        <w:t xml:space="preserve"> and the over</w:t>
      </w:r>
      <w:r w:rsidR="00CA54D9" w:rsidRPr="006B5294">
        <w:rPr>
          <w:rFonts w:ascii="Calibri" w:hAnsi="Calibri" w:cs="Calibri"/>
        </w:rPr>
        <w:t>all CPI declined to 2.9 percent i</w:t>
      </w:r>
      <w:r w:rsidR="00056533" w:rsidRPr="006B5294">
        <w:rPr>
          <w:rFonts w:ascii="Calibri" w:hAnsi="Calibri" w:cs="Calibri"/>
        </w:rPr>
        <w:t>n</w:t>
      </w:r>
      <w:r w:rsidR="00CA54D9" w:rsidRPr="006B5294">
        <w:rPr>
          <w:rFonts w:ascii="Calibri" w:hAnsi="Calibri" w:cs="Calibri"/>
        </w:rPr>
        <w:t xml:space="preserve"> </w:t>
      </w:r>
      <w:r w:rsidR="00B857EC" w:rsidRPr="006B5294">
        <w:rPr>
          <w:rFonts w:ascii="Calibri" w:hAnsi="Calibri" w:cs="Calibri"/>
        </w:rPr>
        <w:t>July</w:t>
      </w:r>
      <w:r w:rsidR="00056533" w:rsidRPr="006B5294">
        <w:rPr>
          <w:rFonts w:ascii="Calibri" w:hAnsi="Calibri" w:cs="Calibri"/>
        </w:rPr>
        <w:t xml:space="preserve">, as the core rate also moderated, to 3.2 percent. In the </w:t>
      </w:r>
      <w:proofErr w:type="spellStart"/>
      <w:r w:rsidR="00056533" w:rsidRPr="006B5294">
        <w:rPr>
          <w:rFonts w:ascii="Calibri" w:hAnsi="Calibri" w:cs="Calibri"/>
        </w:rPr>
        <w:t>eurozone</w:t>
      </w:r>
      <w:proofErr w:type="spellEnd"/>
      <w:r w:rsidR="00056533" w:rsidRPr="006B5294">
        <w:rPr>
          <w:rFonts w:ascii="Calibri" w:hAnsi="Calibri" w:cs="Calibri"/>
        </w:rPr>
        <w:t xml:space="preserve">, the inflation rate increased slightly in July, to 2.6 percent, while the core CPI </w:t>
      </w:r>
      <w:r w:rsidR="006472BD" w:rsidRPr="006B5294">
        <w:rPr>
          <w:rFonts w:ascii="Calibri" w:hAnsi="Calibri" w:cs="Calibri"/>
        </w:rPr>
        <w:t xml:space="preserve">remained unchanged at 2.9 percent. In their </w:t>
      </w:r>
      <w:r w:rsidR="00B857EC" w:rsidRPr="006B5294">
        <w:rPr>
          <w:rFonts w:ascii="Calibri" w:hAnsi="Calibri" w:cs="Calibri"/>
        </w:rPr>
        <w:t>most recent decisions</w:t>
      </w:r>
      <w:r w:rsidR="006472BD" w:rsidRPr="006B5294">
        <w:rPr>
          <w:rFonts w:ascii="Calibri" w:hAnsi="Calibri" w:cs="Calibri"/>
        </w:rPr>
        <w:t xml:space="preserve">, the Fed and ECB kept their monetary interest rates </w:t>
      </w:r>
      <w:r w:rsidR="00F530CD" w:rsidRPr="006B5294">
        <w:rPr>
          <w:rFonts w:ascii="Calibri" w:hAnsi="Calibri" w:cs="Calibri"/>
        </w:rPr>
        <w:t xml:space="preserve">unchanged. </w:t>
      </w:r>
      <w:r w:rsidR="00CA54D9" w:rsidRPr="006B5294">
        <w:rPr>
          <w:rFonts w:ascii="Calibri" w:hAnsi="Calibri" w:cs="Calibri"/>
        </w:rPr>
        <w:t>T</w:t>
      </w:r>
      <w:r w:rsidR="00F530CD" w:rsidRPr="006B5294">
        <w:rPr>
          <w:rFonts w:ascii="Calibri" w:hAnsi="Calibri" w:cs="Calibri"/>
        </w:rPr>
        <w:t xml:space="preserve">he path of interest rate reductions is expected to be more rapid </w:t>
      </w:r>
      <w:r w:rsidR="00F530CD" w:rsidRPr="006B5294">
        <w:rPr>
          <w:rFonts w:ascii="Calibri" w:hAnsi="Calibri" w:cs="Calibri"/>
          <w:b/>
          <w:bCs/>
        </w:rPr>
        <w:t xml:space="preserve">(Figure </w:t>
      </w:r>
      <w:r w:rsidR="00DC1449" w:rsidRPr="006B5294">
        <w:rPr>
          <w:rFonts w:ascii="Calibri" w:hAnsi="Calibri" w:cs="Calibri"/>
          <w:b/>
          <w:bCs/>
        </w:rPr>
        <w:t>36</w:t>
      </w:r>
      <w:r w:rsidR="00F530CD" w:rsidRPr="006B5294">
        <w:rPr>
          <w:rFonts w:ascii="Calibri" w:hAnsi="Calibri" w:cs="Calibri"/>
          <w:b/>
          <w:bCs/>
        </w:rPr>
        <w:t>)</w:t>
      </w:r>
      <w:r w:rsidR="00F530CD" w:rsidRPr="006B5294">
        <w:rPr>
          <w:rFonts w:ascii="Calibri" w:hAnsi="Calibri" w:cs="Calibri"/>
        </w:rPr>
        <w:t xml:space="preserve"> and the US Federal Reserve Chair signaled, in his address at Jackson Hole, the start of interest rate reductions in the US.</w:t>
      </w:r>
    </w:p>
    <w:p w:rsidR="00DA2D37" w:rsidRPr="006B5294" w:rsidRDefault="00DA2D37" w:rsidP="006472BD">
      <w:pPr>
        <w:jc w:val="both"/>
        <w:rPr>
          <w:rFonts w:ascii="Calibri" w:hAnsi="Calibri" w:cs="Calibri"/>
        </w:rPr>
      </w:pPr>
    </w:p>
    <w:p w:rsidR="006472BD" w:rsidRPr="006B5294" w:rsidRDefault="006472BD" w:rsidP="006472BD">
      <w:pPr>
        <w:jc w:val="both"/>
        <w:rPr>
          <w:rFonts w:ascii="Calibri" w:hAnsi="Calibri" w:cs="Calibri"/>
        </w:rPr>
      </w:pPr>
    </w:p>
    <w:p w:rsidR="00AD12BC" w:rsidRPr="006B5294" w:rsidRDefault="00AD12BC" w:rsidP="00C2592B">
      <w:pPr>
        <w:jc w:val="both"/>
        <w:rPr>
          <w:rFonts w:ascii="Calibri" w:hAnsi="Calibri" w:cs="Calibri"/>
        </w:rPr>
      </w:pPr>
    </w:p>
    <w:p w:rsidR="00AD12BC" w:rsidRPr="006B5294" w:rsidRDefault="00AD12BC" w:rsidP="00C2592B">
      <w:pPr>
        <w:jc w:val="both"/>
        <w:rPr>
          <w:rFonts w:ascii="Calibri" w:hAnsi="Calibri" w:cs="Calibri"/>
        </w:rPr>
      </w:pPr>
    </w:p>
    <w:p w:rsidR="00D26730" w:rsidRPr="006B5294" w:rsidRDefault="00D26730" w:rsidP="00DA2D37">
      <w:pPr>
        <w:jc w:val="both"/>
        <w:rPr>
          <w:rFonts w:ascii="Calibri" w:hAnsi="Calibri" w:cs="Calibri"/>
        </w:rPr>
      </w:pPr>
      <w:r w:rsidRPr="006B5294">
        <w:rPr>
          <w:rFonts w:ascii="Calibri" w:hAnsi="Calibri" w:cs="Calibri"/>
        </w:rPr>
        <w:t xml:space="preserve">The minutes of the monetary discussions prior to this interest rate decision </w:t>
      </w:r>
      <w:proofErr w:type="gramStart"/>
      <w:r w:rsidRPr="006B5294">
        <w:rPr>
          <w:rFonts w:ascii="Calibri" w:hAnsi="Calibri" w:cs="Calibri"/>
        </w:rPr>
        <w:t>will be published</w:t>
      </w:r>
      <w:proofErr w:type="gramEnd"/>
      <w:r w:rsidRPr="006B5294">
        <w:rPr>
          <w:rFonts w:ascii="Calibri" w:hAnsi="Calibri" w:cs="Calibri"/>
        </w:rPr>
        <w:t xml:space="preserve"> on </w:t>
      </w:r>
      <w:r w:rsidR="00DA2D37" w:rsidRPr="006B5294">
        <w:rPr>
          <w:rFonts w:ascii="Calibri" w:hAnsi="Calibri" w:cs="Calibri"/>
        </w:rPr>
        <w:t>September 11</w:t>
      </w:r>
      <w:r w:rsidR="003511FA" w:rsidRPr="006B5294">
        <w:rPr>
          <w:rFonts w:ascii="Calibri" w:hAnsi="Calibri" w:cs="Calibri"/>
        </w:rPr>
        <w:t xml:space="preserve">, </w:t>
      </w:r>
      <w:r w:rsidR="00B16D92" w:rsidRPr="006B5294">
        <w:rPr>
          <w:rFonts w:ascii="Calibri" w:hAnsi="Calibri" w:cs="Calibri"/>
        </w:rPr>
        <w:t>2024</w:t>
      </w:r>
      <w:r w:rsidRPr="006B5294">
        <w:rPr>
          <w:rFonts w:ascii="Calibri" w:hAnsi="Calibri" w:cs="Calibri"/>
        </w:rPr>
        <w:t xml:space="preserve">. The next decision regarding the interest rate </w:t>
      </w:r>
      <w:proofErr w:type="gramStart"/>
      <w:r w:rsidRPr="006B5294">
        <w:rPr>
          <w:rFonts w:ascii="Calibri" w:hAnsi="Calibri" w:cs="Calibri"/>
        </w:rPr>
        <w:t>will be published</w:t>
      </w:r>
      <w:proofErr w:type="gramEnd"/>
      <w:r w:rsidRPr="006B5294">
        <w:rPr>
          <w:rFonts w:ascii="Calibri" w:hAnsi="Calibri" w:cs="Calibri"/>
        </w:rPr>
        <w:t xml:space="preserve"> on </w:t>
      </w:r>
      <w:r w:rsidR="00566E19" w:rsidRPr="006B5294">
        <w:rPr>
          <w:rFonts w:ascii="Calibri" w:hAnsi="Calibri" w:cs="Calibri"/>
        </w:rPr>
        <w:t>Wednes</w:t>
      </w:r>
      <w:r w:rsidR="005923FA" w:rsidRPr="006B5294">
        <w:rPr>
          <w:rFonts w:ascii="Calibri" w:hAnsi="Calibri" w:cs="Calibri"/>
        </w:rPr>
        <w:t xml:space="preserve">day, </w:t>
      </w:r>
      <w:r w:rsidR="00DA2D37" w:rsidRPr="006B5294">
        <w:rPr>
          <w:rFonts w:ascii="Calibri" w:hAnsi="Calibri" w:cs="Calibri"/>
        </w:rPr>
        <w:t>October 9</w:t>
      </w:r>
      <w:r w:rsidR="006D0AB3" w:rsidRPr="006B5294">
        <w:rPr>
          <w:rFonts w:ascii="Calibri" w:hAnsi="Calibri" w:cs="Calibri"/>
        </w:rPr>
        <w:t>, 2024</w:t>
      </w:r>
      <w:r w:rsidR="00C615F3" w:rsidRPr="006B5294">
        <w:rPr>
          <w:rFonts w:ascii="Calibri" w:hAnsi="Calibri" w:cs="Calibri"/>
        </w:rPr>
        <w:t>.</w:t>
      </w:r>
    </w:p>
    <w:p w:rsidR="00B21E55" w:rsidRPr="006B5294" w:rsidRDefault="00B21E55" w:rsidP="00DA2D37">
      <w:pPr>
        <w:jc w:val="both"/>
        <w:rPr>
          <w:rFonts w:ascii="Calibri" w:hAnsi="Calibri" w:cs="Calibri"/>
        </w:rPr>
      </w:pPr>
    </w:p>
    <w:p w:rsidR="00B21E55" w:rsidRPr="006B5294" w:rsidRDefault="00B21E55" w:rsidP="00DA2D37">
      <w:pPr>
        <w:jc w:val="both"/>
        <w:rPr>
          <w:rFonts w:ascii="Calibri" w:hAnsi="Calibri" w:cs="Calibri"/>
        </w:rPr>
      </w:pPr>
    </w:p>
    <w:p w:rsidR="00B21E55" w:rsidRPr="006B5294" w:rsidRDefault="00B21E55" w:rsidP="00DA2D37">
      <w:pPr>
        <w:jc w:val="both"/>
        <w:rPr>
          <w:rFonts w:ascii="Calibri" w:hAnsi="Calibri" w:cs="Calibri"/>
        </w:rPr>
      </w:pPr>
      <w:r w:rsidRPr="006B5294">
        <w:rPr>
          <w:rFonts w:ascii="Calibri" w:hAnsi="Calibri" w:cs="Calibri"/>
        </w:rPr>
        <w:t xml:space="preserve">Interest rate decision dates for 2024 and 2025 are available </w:t>
      </w:r>
      <w:proofErr w:type="gramStart"/>
      <w:r w:rsidRPr="006B5294">
        <w:rPr>
          <w:rFonts w:ascii="Calibri" w:hAnsi="Calibri" w:cs="Calibri"/>
        </w:rPr>
        <w:t>at</w:t>
      </w:r>
      <w:proofErr w:type="gramEnd"/>
      <w:r w:rsidRPr="006B5294">
        <w:rPr>
          <w:rFonts w:ascii="Calibri" w:hAnsi="Calibri" w:cs="Calibri"/>
        </w:rPr>
        <w:t>:</w:t>
      </w:r>
    </w:p>
    <w:p w:rsidR="00606830" w:rsidRPr="006B5294" w:rsidRDefault="00606830" w:rsidP="00B21E55">
      <w:pPr>
        <w:spacing w:after="120" w:line="360" w:lineRule="auto"/>
        <w:jc w:val="both"/>
        <w:rPr>
          <w:rStyle w:val="Hyperlink"/>
          <w:rFonts w:ascii="Calibri" w:hAnsi="Calibri" w:cs="Calibri"/>
        </w:rPr>
      </w:pPr>
      <w:r w:rsidRPr="006B5294">
        <w:rPr>
          <w:rStyle w:val="Hyperlink"/>
          <w:rFonts w:ascii="Calibri" w:hAnsi="Calibri" w:cs="Calibri"/>
        </w:rPr>
        <w:t>https://www.boi.org.il/en/economic-roles/monetary-policy/interest-rate-announcement-dates-2024/</w:t>
      </w:r>
    </w:p>
    <w:p w:rsidR="00B21E55" w:rsidRPr="00720D60" w:rsidRDefault="00B21E55" w:rsidP="00720D60">
      <w:pPr>
        <w:tabs>
          <w:tab w:val="left" w:pos="6716"/>
        </w:tabs>
        <w:rPr>
          <w:rFonts w:ascii="Calibri" w:hAnsi="Calibri" w:cs="Calibri"/>
          <w:rtl/>
        </w:rPr>
      </w:pPr>
      <w:bookmarkStart w:id="0" w:name="_GoBack"/>
      <w:bookmarkEnd w:id="0"/>
    </w:p>
    <w:sectPr w:rsidR="00B21E55" w:rsidRPr="00720D60" w:rsidSect="008A464C">
      <w:headerReference w:type="first" r:id="rId9"/>
      <w:type w:val="continuous"/>
      <w:pgSz w:w="11907" w:h="16839" w:code="9"/>
      <w:pgMar w:top="1701" w:right="1134" w:bottom="1304" w:left="1418" w:header="10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474" w:rsidRDefault="00240474" w:rsidP="006A415B">
      <w:r>
        <w:separator/>
      </w:r>
    </w:p>
  </w:endnote>
  <w:endnote w:type="continuationSeparator" w:id="0">
    <w:p w:rsidR="00240474" w:rsidRDefault="00240474" w:rsidP="006A4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474" w:rsidRDefault="00240474" w:rsidP="006A415B">
      <w:r>
        <w:separator/>
      </w:r>
    </w:p>
  </w:footnote>
  <w:footnote w:type="continuationSeparator" w:id="0">
    <w:p w:rsidR="00240474" w:rsidRDefault="00240474" w:rsidP="006A4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15B" w:rsidRDefault="006A415B" w:rsidP="006A415B">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hebrew1"/>
      <w:pStyle w:val="1"/>
      <w:lvlText w:val="%1."/>
      <w:legacy w:legacy="1" w:legacySpace="0" w:legacyIndent="340"/>
      <w:lvlJc w:val="right"/>
      <w:pPr>
        <w:ind w:left="340" w:hanging="340"/>
      </w:pPr>
      <w:rPr>
        <w:rFonts w:ascii="Times New Roman" w:hAnsi="Times New Roman" w:cs="Times New Roman" w:hint="default"/>
        <w:b w:val="0"/>
        <w:i w:val="0"/>
        <w:sz w:val="22"/>
        <w:szCs w:val="24"/>
      </w:rPr>
    </w:lvl>
    <w:lvl w:ilvl="1">
      <w:start w:val="1"/>
      <w:numFmt w:val="decimal"/>
      <w:pStyle w:val="2"/>
      <w:lvlText w:val="%2."/>
      <w:legacy w:legacy="1" w:legacySpace="0" w:legacyIndent="340"/>
      <w:lvlJc w:val="right"/>
      <w:pPr>
        <w:ind w:left="680" w:hanging="340"/>
      </w:pPr>
      <w:rPr>
        <w:rFonts w:ascii="Times New Roman" w:hAnsi="Times New Roman" w:cs="Times New Roman" w:hint="default"/>
        <w:b w:val="0"/>
        <w:i w:val="0"/>
        <w:sz w:val="22"/>
      </w:rPr>
    </w:lvl>
    <w:lvl w:ilvl="2">
      <w:start w:val="1"/>
      <w:numFmt w:val="hebrew1"/>
      <w:pStyle w:val="3"/>
      <w:lvlText w:val="%3)"/>
      <w:legacy w:legacy="1" w:legacySpace="0" w:legacyIndent="340"/>
      <w:lvlJc w:val="right"/>
      <w:pPr>
        <w:ind w:left="1020" w:hanging="340"/>
      </w:pPr>
      <w:rPr>
        <w:rFonts w:ascii="Times New Roman" w:hAnsi="Times New Roman" w:cs="Times New Roman" w:hint="default"/>
        <w:b w:val="0"/>
        <w:i w:val="0"/>
        <w:sz w:val="22"/>
        <w:szCs w:val="24"/>
      </w:rPr>
    </w:lvl>
    <w:lvl w:ilvl="3">
      <w:start w:val="1"/>
      <w:numFmt w:val="decimal"/>
      <w:pStyle w:val="4"/>
      <w:lvlText w:val="(%4)"/>
      <w:legacy w:legacy="1" w:legacySpace="0" w:legacyIndent="340"/>
      <w:lvlJc w:val="right"/>
      <w:pPr>
        <w:ind w:left="1360" w:hanging="340"/>
      </w:pPr>
      <w:rPr>
        <w:rFonts w:ascii="Times New Roman" w:hAnsi="Times New Roman" w:cs="Times New Roman" w:hint="default"/>
        <w:b w:val="0"/>
        <w:i w:val="0"/>
        <w:sz w:val="22"/>
      </w:rPr>
    </w:lvl>
    <w:lvl w:ilvl="4">
      <w:start w:val="1"/>
      <w:numFmt w:val="decimal"/>
      <w:pStyle w:val="5"/>
      <w:lvlText w:val="(%5)"/>
      <w:legacy w:legacy="1" w:legacySpace="0" w:legacyIndent="708"/>
      <w:lvlJc w:val="center"/>
      <w:pPr>
        <w:ind w:left="2068" w:hanging="708"/>
      </w:pPr>
      <w:rPr>
        <w:rFonts w:ascii="Times New Roman" w:hAnsi="Times New Roman" w:cs="Times New Roman"/>
      </w:rPr>
    </w:lvl>
    <w:lvl w:ilvl="5">
      <w:start w:val="1"/>
      <w:numFmt w:val="lowerLetter"/>
      <w:pStyle w:val="6"/>
      <w:lvlText w:val="(%6)"/>
      <w:legacy w:legacy="1" w:legacySpace="0" w:legacyIndent="708"/>
      <w:lvlJc w:val="center"/>
      <w:pPr>
        <w:ind w:left="2776" w:hanging="708"/>
      </w:pPr>
      <w:rPr>
        <w:rFonts w:ascii="Times New Roman" w:hAnsi="Times New Roman" w:cs="Times New Roman"/>
      </w:rPr>
    </w:lvl>
    <w:lvl w:ilvl="6">
      <w:start w:val="1"/>
      <w:numFmt w:val="lowerRoman"/>
      <w:pStyle w:val="7"/>
      <w:lvlText w:val="(%7)"/>
      <w:legacy w:legacy="1" w:legacySpace="0" w:legacyIndent="708"/>
      <w:lvlJc w:val="center"/>
      <w:pPr>
        <w:ind w:left="3484" w:hanging="708"/>
      </w:pPr>
      <w:rPr>
        <w:rFonts w:ascii="Times New Roman" w:hAnsi="Times New Roman" w:cs="Times New Roman"/>
      </w:rPr>
    </w:lvl>
    <w:lvl w:ilvl="7">
      <w:start w:val="1"/>
      <w:numFmt w:val="lowerLetter"/>
      <w:pStyle w:val="8"/>
      <w:lvlText w:val="(%8)"/>
      <w:legacy w:legacy="1" w:legacySpace="0" w:legacyIndent="708"/>
      <w:lvlJc w:val="center"/>
      <w:pPr>
        <w:ind w:left="4192" w:hanging="708"/>
      </w:pPr>
      <w:rPr>
        <w:rFonts w:ascii="Times New Roman" w:hAnsi="Times New Roman" w:cs="Times New Roman"/>
      </w:rPr>
    </w:lvl>
    <w:lvl w:ilvl="8">
      <w:start w:val="1"/>
      <w:numFmt w:val="lowerRoman"/>
      <w:pStyle w:val="9"/>
      <w:lvlText w:val="(%9)"/>
      <w:legacy w:legacy="1" w:legacySpace="0" w:legacyIndent="708"/>
      <w:lvlJc w:val="center"/>
      <w:pPr>
        <w:ind w:left="4900" w:hanging="708"/>
      </w:pPr>
      <w:rPr>
        <w:rFonts w:ascii="Times New Roman" w:hAnsi="Times New Roman" w:cs="Times New Roman"/>
      </w:rPr>
    </w:lvl>
  </w:abstractNum>
  <w:abstractNum w:abstractNumId="1" w15:restartNumberingAfterBreak="0">
    <w:nsid w:val="0542714D"/>
    <w:multiLevelType w:val="hybridMultilevel"/>
    <w:tmpl w:val="EAD21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933779"/>
    <w:multiLevelType w:val="hybridMultilevel"/>
    <w:tmpl w:val="D2129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71947"/>
    <w:multiLevelType w:val="hybridMultilevel"/>
    <w:tmpl w:val="DED880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EE1775"/>
    <w:multiLevelType w:val="hybridMultilevel"/>
    <w:tmpl w:val="3872C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BAB429C"/>
    <w:multiLevelType w:val="hybridMultilevel"/>
    <w:tmpl w:val="5488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B5799F"/>
    <w:multiLevelType w:val="hybridMultilevel"/>
    <w:tmpl w:val="4B7E8D5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8975AE7"/>
    <w:multiLevelType w:val="hybridMultilevel"/>
    <w:tmpl w:val="0FE2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BD4A18"/>
    <w:multiLevelType w:val="hybridMultilevel"/>
    <w:tmpl w:val="89309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48C0C10"/>
    <w:multiLevelType w:val="hybridMultilevel"/>
    <w:tmpl w:val="6D109332"/>
    <w:lvl w:ilvl="0" w:tplc="6DA002CA">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137205B"/>
    <w:multiLevelType w:val="hybridMultilevel"/>
    <w:tmpl w:val="66868FB6"/>
    <w:lvl w:ilvl="0" w:tplc="04090001">
      <w:start w:val="1"/>
      <w:numFmt w:val="bullet"/>
      <w:lvlText w:val=""/>
      <w:lvlJc w:val="left"/>
      <w:pPr>
        <w:ind w:left="5747" w:hanging="360"/>
      </w:pPr>
      <w:rPr>
        <w:rFonts w:ascii="Symbol" w:hAnsi="Symbol" w:hint="default"/>
      </w:rPr>
    </w:lvl>
    <w:lvl w:ilvl="1" w:tplc="04090003" w:tentative="1">
      <w:start w:val="1"/>
      <w:numFmt w:val="bullet"/>
      <w:lvlText w:val="o"/>
      <w:lvlJc w:val="left"/>
      <w:pPr>
        <w:ind w:left="6467" w:hanging="360"/>
      </w:pPr>
      <w:rPr>
        <w:rFonts w:ascii="Courier New" w:hAnsi="Courier New" w:cs="Courier New" w:hint="default"/>
      </w:rPr>
    </w:lvl>
    <w:lvl w:ilvl="2" w:tplc="04090005" w:tentative="1">
      <w:start w:val="1"/>
      <w:numFmt w:val="bullet"/>
      <w:lvlText w:val=""/>
      <w:lvlJc w:val="left"/>
      <w:pPr>
        <w:ind w:left="7187" w:hanging="360"/>
      </w:pPr>
      <w:rPr>
        <w:rFonts w:ascii="Wingdings" w:hAnsi="Wingdings" w:hint="default"/>
      </w:rPr>
    </w:lvl>
    <w:lvl w:ilvl="3" w:tplc="04090001" w:tentative="1">
      <w:start w:val="1"/>
      <w:numFmt w:val="bullet"/>
      <w:lvlText w:val=""/>
      <w:lvlJc w:val="left"/>
      <w:pPr>
        <w:ind w:left="7907" w:hanging="360"/>
      </w:pPr>
      <w:rPr>
        <w:rFonts w:ascii="Symbol" w:hAnsi="Symbol" w:hint="default"/>
      </w:rPr>
    </w:lvl>
    <w:lvl w:ilvl="4" w:tplc="04090003" w:tentative="1">
      <w:start w:val="1"/>
      <w:numFmt w:val="bullet"/>
      <w:lvlText w:val="o"/>
      <w:lvlJc w:val="left"/>
      <w:pPr>
        <w:ind w:left="8627" w:hanging="360"/>
      </w:pPr>
      <w:rPr>
        <w:rFonts w:ascii="Courier New" w:hAnsi="Courier New" w:cs="Courier New" w:hint="default"/>
      </w:rPr>
    </w:lvl>
    <w:lvl w:ilvl="5" w:tplc="04090005" w:tentative="1">
      <w:start w:val="1"/>
      <w:numFmt w:val="bullet"/>
      <w:lvlText w:val=""/>
      <w:lvlJc w:val="left"/>
      <w:pPr>
        <w:ind w:left="9347" w:hanging="360"/>
      </w:pPr>
      <w:rPr>
        <w:rFonts w:ascii="Wingdings" w:hAnsi="Wingdings" w:hint="default"/>
      </w:rPr>
    </w:lvl>
    <w:lvl w:ilvl="6" w:tplc="04090001" w:tentative="1">
      <w:start w:val="1"/>
      <w:numFmt w:val="bullet"/>
      <w:lvlText w:val=""/>
      <w:lvlJc w:val="left"/>
      <w:pPr>
        <w:ind w:left="10067" w:hanging="360"/>
      </w:pPr>
      <w:rPr>
        <w:rFonts w:ascii="Symbol" w:hAnsi="Symbol" w:hint="default"/>
      </w:rPr>
    </w:lvl>
    <w:lvl w:ilvl="7" w:tplc="04090003" w:tentative="1">
      <w:start w:val="1"/>
      <w:numFmt w:val="bullet"/>
      <w:lvlText w:val="o"/>
      <w:lvlJc w:val="left"/>
      <w:pPr>
        <w:ind w:left="10787" w:hanging="360"/>
      </w:pPr>
      <w:rPr>
        <w:rFonts w:ascii="Courier New" w:hAnsi="Courier New" w:cs="Courier New" w:hint="default"/>
      </w:rPr>
    </w:lvl>
    <w:lvl w:ilvl="8" w:tplc="04090005" w:tentative="1">
      <w:start w:val="1"/>
      <w:numFmt w:val="bullet"/>
      <w:lvlText w:val=""/>
      <w:lvlJc w:val="left"/>
      <w:pPr>
        <w:ind w:left="11507" w:hanging="360"/>
      </w:pPr>
      <w:rPr>
        <w:rFonts w:ascii="Wingdings" w:hAnsi="Wingdings" w:hint="default"/>
      </w:rPr>
    </w:lvl>
  </w:abstractNum>
  <w:abstractNum w:abstractNumId="11" w15:restartNumberingAfterBreak="0">
    <w:nsid w:val="7AB960C6"/>
    <w:multiLevelType w:val="hybridMultilevel"/>
    <w:tmpl w:val="A9C69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
  </w:num>
  <w:num w:numId="4">
    <w:abstractNumId w:val="4"/>
  </w:num>
  <w:num w:numId="5">
    <w:abstractNumId w:val="1"/>
  </w:num>
  <w:num w:numId="6">
    <w:abstractNumId w:val="11"/>
  </w:num>
  <w:num w:numId="7">
    <w:abstractNumId w:val="5"/>
  </w:num>
  <w:num w:numId="8">
    <w:abstractNumId w:val="3"/>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06"/>
    <w:rsid w:val="000009ED"/>
    <w:rsid w:val="000016FE"/>
    <w:rsid w:val="00003FA3"/>
    <w:rsid w:val="0000420E"/>
    <w:rsid w:val="00004259"/>
    <w:rsid w:val="00005040"/>
    <w:rsid w:val="00005212"/>
    <w:rsid w:val="0000579C"/>
    <w:rsid w:val="000057DC"/>
    <w:rsid w:val="0000766C"/>
    <w:rsid w:val="00010568"/>
    <w:rsid w:val="00010C70"/>
    <w:rsid w:val="0001308F"/>
    <w:rsid w:val="00014A23"/>
    <w:rsid w:val="00014EF7"/>
    <w:rsid w:val="0001723D"/>
    <w:rsid w:val="00017C7F"/>
    <w:rsid w:val="00020F9E"/>
    <w:rsid w:val="000247BE"/>
    <w:rsid w:val="0002574D"/>
    <w:rsid w:val="00026557"/>
    <w:rsid w:val="00026692"/>
    <w:rsid w:val="0002762F"/>
    <w:rsid w:val="0003080D"/>
    <w:rsid w:val="000308DE"/>
    <w:rsid w:val="00032BD5"/>
    <w:rsid w:val="00032EAA"/>
    <w:rsid w:val="00033062"/>
    <w:rsid w:val="00033326"/>
    <w:rsid w:val="000337D1"/>
    <w:rsid w:val="000359AC"/>
    <w:rsid w:val="0003624A"/>
    <w:rsid w:val="0003644D"/>
    <w:rsid w:val="000368DE"/>
    <w:rsid w:val="0004163E"/>
    <w:rsid w:val="000416AB"/>
    <w:rsid w:val="00041B69"/>
    <w:rsid w:val="00042865"/>
    <w:rsid w:val="00042D5A"/>
    <w:rsid w:val="00043E00"/>
    <w:rsid w:val="00043EF3"/>
    <w:rsid w:val="00044851"/>
    <w:rsid w:val="00044C54"/>
    <w:rsid w:val="000467E1"/>
    <w:rsid w:val="00046F70"/>
    <w:rsid w:val="000504FE"/>
    <w:rsid w:val="00050BD0"/>
    <w:rsid w:val="000512B0"/>
    <w:rsid w:val="000519B9"/>
    <w:rsid w:val="00051F02"/>
    <w:rsid w:val="00053072"/>
    <w:rsid w:val="00053163"/>
    <w:rsid w:val="000538AB"/>
    <w:rsid w:val="00053A86"/>
    <w:rsid w:val="00054956"/>
    <w:rsid w:val="00056533"/>
    <w:rsid w:val="00061166"/>
    <w:rsid w:val="00064AC9"/>
    <w:rsid w:val="00065057"/>
    <w:rsid w:val="000651F8"/>
    <w:rsid w:val="0006540D"/>
    <w:rsid w:val="00066322"/>
    <w:rsid w:val="000674E1"/>
    <w:rsid w:val="000677A6"/>
    <w:rsid w:val="0006797C"/>
    <w:rsid w:val="000703FF"/>
    <w:rsid w:val="00070DB3"/>
    <w:rsid w:val="00070EC2"/>
    <w:rsid w:val="000717B4"/>
    <w:rsid w:val="000743A2"/>
    <w:rsid w:val="00074B82"/>
    <w:rsid w:val="0007573A"/>
    <w:rsid w:val="000769A8"/>
    <w:rsid w:val="000819C4"/>
    <w:rsid w:val="00081DD4"/>
    <w:rsid w:val="0008265B"/>
    <w:rsid w:val="00083540"/>
    <w:rsid w:val="00084BF8"/>
    <w:rsid w:val="000851CE"/>
    <w:rsid w:val="000860E5"/>
    <w:rsid w:val="00086CE6"/>
    <w:rsid w:val="00086DD2"/>
    <w:rsid w:val="00087055"/>
    <w:rsid w:val="00087A89"/>
    <w:rsid w:val="0009033A"/>
    <w:rsid w:val="00090ABE"/>
    <w:rsid w:val="00091510"/>
    <w:rsid w:val="00091D07"/>
    <w:rsid w:val="00093CBA"/>
    <w:rsid w:val="00093E16"/>
    <w:rsid w:val="00094DC7"/>
    <w:rsid w:val="000970A9"/>
    <w:rsid w:val="0009726C"/>
    <w:rsid w:val="000975E0"/>
    <w:rsid w:val="000A02E0"/>
    <w:rsid w:val="000A409C"/>
    <w:rsid w:val="000A4196"/>
    <w:rsid w:val="000A50C6"/>
    <w:rsid w:val="000A577B"/>
    <w:rsid w:val="000A57F1"/>
    <w:rsid w:val="000A7183"/>
    <w:rsid w:val="000A75E1"/>
    <w:rsid w:val="000A7BAF"/>
    <w:rsid w:val="000B00F9"/>
    <w:rsid w:val="000B0812"/>
    <w:rsid w:val="000B0CA3"/>
    <w:rsid w:val="000B10F7"/>
    <w:rsid w:val="000B1666"/>
    <w:rsid w:val="000B288C"/>
    <w:rsid w:val="000B5823"/>
    <w:rsid w:val="000B77C7"/>
    <w:rsid w:val="000B7A80"/>
    <w:rsid w:val="000C0090"/>
    <w:rsid w:val="000C06F5"/>
    <w:rsid w:val="000C1CAB"/>
    <w:rsid w:val="000C1D36"/>
    <w:rsid w:val="000C23B4"/>
    <w:rsid w:val="000C3838"/>
    <w:rsid w:val="000C4DCD"/>
    <w:rsid w:val="000C5920"/>
    <w:rsid w:val="000C5AD8"/>
    <w:rsid w:val="000C5C39"/>
    <w:rsid w:val="000C6506"/>
    <w:rsid w:val="000C79A3"/>
    <w:rsid w:val="000C7D5B"/>
    <w:rsid w:val="000D1004"/>
    <w:rsid w:val="000D1A43"/>
    <w:rsid w:val="000D1F86"/>
    <w:rsid w:val="000D370E"/>
    <w:rsid w:val="000D3FD7"/>
    <w:rsid w:val="000D41A9"/>
    <w:rsid w:val="000D53EB"/>
    <w:rsid w:val="000D5605"/>
    <w:rsid w:val="000D5687"/>
    <w:rsid w:val="000D57DF"/>
    <w:rsid w:val="000D5952"/>
    <w:rsid w:val="000D623A"/>
    <w:rsid w:val="000D6B8C"/>
    <w:rsid w:val="000D70AC"/>
    <w:rsid w:val="000D74BC"/>
    <w:rsid w:val="000E030C"/>
    <w:rsid w:val="000E0752"/>
    <w:rsid w:val="000E0FBB"/>
    <w:rsid w:val="000E10F6"/>
    <w:rsid w:val="000E1246"/>
    <w:rsid w:val="000E12D2"/>
    <w:rsid w:val="000E168E"/>
    <w:rsid w:val="000E2B1B"/>
    <w:rsid w:val="000E3349"/>
    <w:rsid w:val="000E42A1"/>
    <w:rsid w:val="000E5444"/>
    <w:rsid w:val="000E5F83"/>
    <w:rsid w:val="000E64FA"/>
    <w:rsid w:val="000E674B"/>
    <w:rsid w:val="000E690F"/>
    <w:rsid w:val="000E6DF7"/>
    <w:rsid w:val="000E77BF"/>
    <w:rsid w:val="000E7C33"/>
    <w:rsid w:val="000E7F9B"/>
    <w:rsid w:val="000F00D9"/>
    <w:rsid w:val="000F069A"/>
    <w:rsid w:val="000F10CC"/>
    <w:rsid w:val="000F11D7"/>
    <w:rsid w:val="000F1564"/>
    <w:rsid w:val="000F2AC0"/>
    <w:rsid w:val="000F40FB"/>
    <w:rsid w:val="000F4EBE"/>
    <w:rsid w:val="000F54D5"/>
    <w:rsid w:val="000F5C08"/>
    <w:rsid w:val="000F5F46"/>
    <w:rsid w:val="0010008A"/>
    <w:rsid w:val="00100ED2"/>
    <w:rsid w:val="00101CD9"/>
    <w:rsid w:val="00102273"/>
    <w:rsid w:val="001023DE"/>
    <w:rsid w:val="0010516D"/>
    <w:rsid w:val="0010554B"/>
    <w:rsid w:val="00105C6C"/>
    <w:rsid w:val="001077FE"/>
    <w:rsid w:val="001110C7"/>
    <w:rsid w:val="00111B01"/>
    <w:rsid w:val="00113F78"/>
    <w:rsid w:val="00114A1E"/>
    <w:rsid w:val="00115978"/>
    <w:rsid w:val="001209A1"/>
    <w:rsid w:val="00120A96"/>
    <w:rsid w:val="00120CBC"/>
    <w:rsid w:val="001230AB"/>
    <w:rsid w:val="0012343B"/>
    <w:rsid w:val="00123AAE"/>
    <w:rsid w:val="001246CD"/>
    <w:rsid w:val="00124898"/>
    <w:rsid w:val="00124C58"/>
    <w:rsid w:val="0012539C"/>
    <w:rsid w:val="00127542"/>
    <w:rsid w:val="0013000B"/>
    <w:rsid w:val="0013004C"/>
    <w:rsid w:val="00130AEA"/>
    <w:rsid w:val="00130B18"/>
    <w:rsid w:val="00130FDA"/>
    <w:rsid w:val="001314EF"/>
    <w:rsid w:val="00131DB9"/>
    <w:rsid w:val="00132757"/>
    <w:rsid w:val="00133702"/>
    <w:rsid w:val="00134E52"/>
    <w:rsid w:val="00135719"/>
    <w:rsid w:val="001361C4"/>
    <w:rsid w:val="00136EA2"/>
    <w:rsid w:val="00140663"/>
    <w:rsid w:val="001406C1"/>
    <w:rsid w:val="00142107"/>
    <w:rsid w:val="00145881"/>
    <w:rsid w:val="00145BF6"/>
    <w:rsid w:val="00146CF1"/>
    <w:rsid w:val="00146EEA"/>
    <w:rsid w:val="00146F92"/>
    <w:rsid w:val="00150F1E"/>
    <w:rsid w:val="00151E99"/>
    <w:rsid w:val="00152120"/>
    <w:rsid w:val="001530AA"/>
    <w:rsid w:val="0015502C"/>
    <w:rsid w:val="001550FB"/>
    <w:rsid w:val="00155630"/>
    <w:rsid w:val="00155BAE"/>
    <w:rsid w:val="00160AD5"/>
    <w:rsid w:val="00161C87"/>
    <w:rsid w:val="00162076"/>
    <w:rsid w:val="00163C3D"/>
    <w:rsid w:val="0016533E"/>
    <w:rsid w:val="00165645"/>
    <w:rsid w:val="00165ECA"/>
    <w:rsid w:val="00165FAB"/>
    <w:rsid w:val="00166110"/>
    <w:rsid w:val="00166DC5"/>
    <w:rsid w:val="00167478"/>
    <w:rsid w:val="00170743"/>
    <w:rsid w:val="001714A4"/>
    <w:rsid w:val="00171888"/>
    <w:rsid w:val="00171A9A"/>
    <w:rsid w:val="00174769"/>
    <w:rsid w:val="001758BE"/>
    <w:rsid w:val="00176645"/>
    <w:rsid w:val="00176852"/>
    <w:rsid w:val="0017762C"/>
    <w:rsid w:val="00177E01"/>
    <w:rsid w:val="001809CC"/>
    <w:rsid w:val="00180B68"/>
    <w:rsid w:val="00183F6B"/>
    <w:rsid w:val="00185B28"/>
    <w:rsid w:val="00185FC3"/>
    <w:rsid w:val="00186C12"/>
    <w:rsid w:val="001870AE"/>
    <w:rsid w:val="00190FC4"/>
    <w:rsid w:val="00191EDC"/>
    <w:rsid w:val="001929CC"/>
    <w:rsid w:val="00193ACF"/>
    <w:rsid w:val="00194663"/>
    <w:rsid w:val="00194A87"/>
    <w:rsid w:val="0019541B"/>
    <w:rsid w:val="00195AC7"/>
    <w:rsid w:val="00195DD8"/>
    <w:rsid w:val="00196720"/>
    <w:rsid w:val="00196FAC"/>
    <w:rsid w:val="001979DB"/>
    <w:rsid w:val="00197CEA"/>
    <w:rsid w:val="001A0731"/>
    <w:rsid w:val="001A1574"/>
    <w:rsid w:val="001A1A27"/>
    <w:rsid w:val="001A1D4C"/>
    <w:rsid w:val="001A20A9"/>
    <w:rsid w:val="001A29FE"/>
    <w:rsid w:val="001A34F4"/>
    <w:rsid w:val="001A3AC8"/>
    <w:rsid w:val="001A404B"/>
    <w:rsid w:val="001A4B79"/>
    <w:rsid w:val="001A503C"/>
    <w:rsid w:val="001A5208"/>
    <w:rsid w:val="001A55F3"/>
    <w:rsid w:val="001A5C00"/>
    <w:rsid w:val="001A5C93"/>
    <w:rsid w:val="001A5EEA"/>
    <w:rsid w:val="001B00BB"/>
    <w:rsid w:val="001B0124"/>
    <w:rsid w:val="001B0F37"/>
    <w:rsid w:val="001B1AC6"/>
    <w:rsid w:val="001B2297"/>
    <w:rsid w:val="001B2918"/>
    <w:rsid w:val="001B414F"/>
    <w:rsid w:val="001B41AF"/>
    <w:rsid w:val="001B430C"/>
    <w:rsid w:val="001B4676"/>
    <w:rsid w:val="001B4D56"/>
    <w:rsid w:val="001B4DD9"/>
    <w:rsid w:val="001B62A8"/>
    <w:rsid w:val="001B719D"/>
    <w:rsid w:val="001C005D"/>
    <w:rsid w:val="001C18C2"/>
    <w:rsid w:val="001C1ABA"/>
    <w:rsid w:val="001C253A"/>
    <w:rsid w:val="001C2F9B"/>
    <w:rsid w:val="001C30D7"/>
    <w:rsid w:val="001C36F1"/>
    <w:rsid w:val="001C5D4D"/>
    <w:rsid w:val="001C6061"/>
    <w:rsid w:val="001C648E"/>
    <w:rsid w:val="001C67AA"/>
    <w:rsid w:val="001C796D"/>
    <w:rsid w:val="001D1135"/>
    <w:rsid w:val="001D171B"/>
    <w:rsid w:val="001D1BFB"/>
    <w:rsid w:val="001D3676"/>
    <w:rsid w:val="001D398C"/>
    <w:rsid w:val="001D4181"/>
    <w:rsid w:val="001D42FB"/>
    <w:rsid w:val="001D4876"/>
    <w:rsid w:val="001D4FF1"/>
    <w:rsid w:val="001D6C29"/>
    <w:rsid w:val="001D6F20"/>
    <w:rsid w:val="001E0025"/>
    <w:rsid w:val="001E02C6"/>
    <w:rsid w:val="001E2111"/>
    <w:rsid w:val="001E2404"/>
    <w:rsid w:val="001E29C0"/>
    <w:rsid w:val="001E2CC0"/>
    <w:rsid w:val="001E34CC"/>
    <w:rsid w:val="001E389F"/>
    <w:rsid w:val="001E3D28"/>
    <w:rsid w:val="001E59FB"/>
    <w:rsid w:val="001F0639"/>
    <w:rsid w:val="001F07C0"/>
    <w:rsid w:val="001F0BF6"/>
    <w:rsid w:val="001F1315"/>
    <w:rsid w:val="001F1511"/>
    <w:rsid w:val="001F2101"/>
    <w:rsid w:val="001F2855"/>
    <w:rsid w:val="001F2882"/>
    <w:rsid w:val="001F4879"/>
    <w:rsid w:val="001F4AD7"/>
    <w:rsid w:val="001F5492"/>
    <w:rsid w:val="001F579B"/>
    <w:rsid w:val="001F688C"/>
    <w:rsid w:val="001F7599"/>
    <w:rsid w:val="00201608"/>
    <w:rsid w:val="002016D1"/>
    <w:rsid w:val="002019AB"/>
    <w:rsid w:val="0020271C"/>
    <w:rsid w:val="00203AB5"/>
    <w:rsid w:val="002041D4"/>
    <w:rsid w:val="00204ACD"/>
    <w:rsid w:val="00207FB2"/>
    <w:rsid w:val="00211375"/>
    <w:rsid w:val="00211F00"/>
    <w:rsid w:val="002122F9"/>
    <w:rsid w:val="002127DE"/>
    <w:rsid w:val="002128E9"/>
    <w:rsid w:val="002131B9"/>
    <w:rsid w:val="002150B4"/>
    <w:rsid w:val="0021573C"/>
    <w:rsid w:val="00216193"/>
    <w:rsid w:val="002166E3"/>
    <w:rsid w:val="00217377"/>
    <w:rsid w:val="00220741"/>
    <w:rsid w:val="00221D8C"/>
    <w:rsid w:val="0022201F"/>
    <w:rsid w:val="002224F4"/>
    <w:rsid w:val="00225374"/>
    <w:rsid w:val="00227B40"/>
    <w:rsid w:val="00227DF7"/>
    <w:rsid w:val="00230452"/>
    <w:rsid w:val="00230BCF"/>
    <w:rsid w:val="0023129F"/>
    <w:rsid w:val="00231C91"/>
    <w:rsid w:val="00232305"/>
    <w:rsid w:val="00233242"/>
    <w:rsid w:val="00234E8D"/>
    <w:rsid w:val="00235C2C"/>
    <w:rsid w:val="00235C9A"/>
    <w:rsid w:val="002372E6"/>
    <w:rsid w:val="0024000B"/>
    <w:rsid w:val="00240474"/>
    <w:rsid w:val="00240CBE"/>
    <w:rsid w:val="0024158D"/>
    <w:rsid w:val="00242029"/>
    <w:rsid w:val="002427B4"/>
    <w:rsid w:val="00242EA5"/>
    <w:rsid w:val="002439C2"/>
    <w:rsid w:val="00244C15"/>
    <w:rsid w:val="00244DF1"/>
    <w:rsid w:val="002454BD"/>
    <w:rsid w:val="00246670"/>
    <w:rsid w:val="00246A77"/>
    <w:rsid w:val="00246AB4"/>
    <w:rsid w:val="00246D60"/>
    <w:rsid w:val="00247CB6"/>
    <w:rsid w:val="00250448"/>
    <w:rsid w:val="0025090B"/>
    <w:rsid w:val="0025241A"/>
    <w:rsid w:val="002530C3"/>
    <w:rsid w:val="00254595"/>
    <w:rsid w:val="002547EA"/>
    <w:rsid w:val="00255F78"/>
    <w:rsid w:val="00257C4F"/>
    <w:rsid w:val="002626D3"/>
    <w:rsid w:val="002629F2"/>
    <w:rsid w:val="00262B90"/>
    <w:rsid w:val="002636AB"/>
    <w:rsid w:val="00263FA4"/>
    <w:rsid w:val="00264450"/>
    <w:rsid w:val="002650AB"/>
    <w:rsid w:val="00265177"/>
    <w:rsid w:val="00266932"/>
    <w:rsid w:val="00266A32"/>
    <w:rsid w:val="00267CC5"/>
    <w:rsid w:val="00267CFD"/>
    <w:rsid w:val="00270B0B"/>
    <w:rsid w:val="0027326C"/>
    <w:rsid w:val="00273D1B"/>
    <w:rsid w:val="00274B50"/>
    <w:rsid w:val="00274F4A"/>
    <w:rsid w:val="002752F1"/>
    <w:rsid w:val="0027547C"/>
    <w:rsid w:val="0027653D"/>
    <w:rsid w:val="00276651"/>
    <w:rsid w:val="00277BC5"/>
    <w:rsid w:val="00280053"/>
    <w:rsid w:val="00280A65"/>
    <w:rsid w:val="00282773"/>
    <w:rsid w:val="00282A2B"/>
    <w:rsid w:val="00283756"/>
    <w:rsid w:val="002842CA"/>
    <w:rsid w:val="002848C9"/>
    <w:rsid w:val="00286644"/>
    <w:rsid w:val="0028776B"/>
    <w:rsid w:val="0029067D"/>
    <w:rsid w:val="002910D0"/>
    <w:rsid w:val="0029124A"/>
    <w:rsid w:val="002916FD"/>
    <w:rsid w:val="002919ED"/>
    <w:rsid w:val="00291D49"/>
    <w:rsid w:val="00292AE0"/>
    <w:rsid w:val="00293151"/>
    <w:rsid w:val="002934E4"/>
    <w:rsid w:val="00295C50"/>
    <w:rsid w:val="00295D2E"/>
    <w:rsid w:val="00296403"/>
    <w:rsid w:val="00296B48"/>
    <w:rsid w:val="00296CAD"/>
    <w:rsid w:val="00297B01"/>
    <w:rsid w:val="002A2252"/>
    <w:rsid w:val="002A2269"/>
    <w:rsid w:val="002A3047"/>
    <w:rsid w:val="002A305D"/>
    <w:rsid w:val="002A39EA"/>
    <w:rsid w:val="002A4D83"/>
    <w:rsid w:val="002A5070"/>
    <w:rsid w:val="002A545A"/>
    <w:rsid w:val="002A6170"/>
    <w:rsid w:val="002A61E1"/>
    <w:rsid w:val="002A6CAF"/>
    <w:rsid w:val="002B0908"/>
    <w:rsid w:val="002B09B3"/>
    <w:rsid w:val="002B0F0E"/>
    <w:rsid w:val="002B117C"/>
    <w:rsid w:val="002B1C21"/>
    <w:rsid w:val="002B2009"/>
    <w:rsid w:val="002B2038"/>
    <w:rsid w:val="002B234C"/>
    <w:rsid w:val="002B2730"/>
    <w:rsid w:val="002B2A4D"/>
    <w:rsid w:val="002B2E6D"/>
    <w:rsid w:val="002B3DBC"/>
    <w:rsid w:val="002B3E40"/>
    <w:rsid w:val="002B4F55"/>
    <w:rsid w:val="002B6624"/>
    <w:rsid w:val="002B7096"/>
    <w:rsid w:val="002C15F3"/>
    <w:rsid w:val="002C1A7A"/>
    <w:rsid w:val="002C1FDC"/>
    <w:rsid w:val="002C22A9"/>
    <w:rsid w:val="002C2763"/>
    <w:rsid w:val="002C38FD"/>
    <w:rsid w:val="002C445A"/>
    <w:rsid w:val="002C45A1"/>
    <w:rsid w:val="002C487B"/>
    <w:rsid w:val="002C4A6D"/>
    <w:rsid w:val="002C5A95"/>
    <w:rsid w:val="002C7D1A"/>
    <w:rsid w:val="002D056D"/>
    <w:rsid w:val="002D0D4E"/>
    <w:rsid w:val="002D0E73"/>
    <w:rsid w:val="002D1444"/>
    <w:rsid w:val="002D1724"/>
    <w:rsid w:val="002D2BC1"/>
    <w:rsid w:val="002D2C82"/>
    <w:rsid w:val="002D338D"/>
    <w:rsid w:val="002D4844"/>
    <w:rsid w:val="002D4B53"/>
    <w:rsid w:val="002D5E24"/>
    <w:rsid w:val="002D7483"/>
    <w:rsid w:val="002D7E55"/>
    <w:rsid w:val="002D7FF2"/>
    <w:rsid w:val="002E01BF"/>
    <w:rsid w:val="002E0A54"/>
    <w:rsid w:val="002E1E8D"/>
    <w:rsid w:val="002E2227"/>
    <w:rsid w:val="002E3534"/>
    <w:rsid w:val="002E392D"/>
    <w:rsid w:val="002E4CFC"/>
    <w:rsid w:val="002E5026"/>
    <w:rsid w:val="002E5CE8"/>
    <w:rsid w:val="002E71EB"/>
    <w:rsid w:val="002E7729"/>
    <w:rsid w:val="002E7AD8"/>
    <w:rsid w:val="002E7B00"/>
    <w:rsid w:val="002E7D48"/>
    <w:rsid w:val="002F016B"/>
    <w:rsid w:val="002F096E"/>
    <w:rsid w:val="002F0E94"/>
    <w:rsid w:val="002F1826"/>
    <w:rsid w:val="002F20BA"/>
    <w:rsid w:val="002F3163"/>
    <w:rsid w:val="002F5E59"/>
    <w:rsid w:val="002F6313"/>
    <w:rsid w:val="002F692E"/>
    <w:rsid w:val="002F753C"/>
    <w:rsid w:val="00301247"/>
    <w:rsid w:val="00302399"/>
    <w:rsid w:val="00302999"/>
    <w:rsid w:val="00303B1E"/>
    <w:rsid w:val="00303DF5"/>
    <w:rsid w:val="00304BBE"/>
    <w:rsid w:val="00304F60"/>
    <w:rsid w:val="00305AB1"/>
    <w:rsid w:val="00305F78"/>
    <w:rsid w:val="00307300"/>
    <w:rsid w:val="00307FBB"/>
    <w:rsid w:val="00311F59"/>
    <w:rsid w:val="0031243C"/>
    <w:rsid w:val="00312446"/>
    <w:rsid w:val="0031276F"/>
    <w:rsid w:val="003131CF"/>
    <w:rsid w:val="0031384F"/>
    <w:rsid w:val="00315ECF"/>
    <w:rsid w:val="00316005"/>
    <w:rsid w:val="00316084"/>
    <w:rsid w:val="00316F56"/>
    <w:rsid w:val="0032005A"/>
    <w:rsid w:val="0032040A"/>
    <w:rsid w:val="0033191B"/>
    <w:rsid w:val="00332016"/>
    <w:rsid w:val="00332296"/>
    <w:rsid w:val="00333AE6"/>
    <w:rsid w:val="003345FF"/>
    <w:rsid w:val="00334EE0"/>
    <w:rsid w:val="00335B35"/>
    <w:rsid w:val="003360D7"/>
    <w:rsid w:val="00336550"/>
    <w:rsid w:val="00341553"/>
    <w:rsid w:val="00341661"/>
    <w:rsid w:val="0034326D"/>
    <w:rsid w:val="00343304"/>
    <w:rsid w:val="003443F9"/>
    <w:rsid w:val="00345164"/>
    <w:rsid w:val="003453D7"/>
    <w:rsid w:val="00346351"/>
    <w:rsid w:val="0035072B"/>
    <w:rsid w:val="003507A1"/>
    <w:rsid w:val="003508D2"/>
    <w:rsid w:val="003511FA"/>
    <w:rsid w:val="00352E3F"/>
    <w:rsid w:val="00353570"/>
    <w:rsid w:val="003536F8"/>
    <w:rsid w:val="003550D6"/>
    <w:rsid w:val="00357F0C"/>
    <w:rsid w:val="00357F6D"/>
    <w:rsid w:val="0036318B"/>
    <w:rsid w:val="003631F8"/>
    <w:rsid w:val="003633EB"/>
    <w:rsid w:val="00364B44"/>
    <w:rsid w:val="00364BF6"/>
    <w:rsid w:val="00365600"/>
    <w:rsid w:val="00366EB5"/>
    <w:rsid w:val="00367778"/>
    <w:rsid w:val="003700BC"/>
    <w:rsid w:val="00371435"/>
    <w:rsid w:val="003722F4"/>
    <w:rsid w:val="00373127"/>
    <w:rsid w:val="00373778"/>
    <w:rsid w:val="00375488"/>
    <w:rsid w:val="003768AB"/>
    <w:rsid w:val="003768CB"/>
    <w:rsid w:val="003768D8"/>
    <w:rsid w:val="00376B9A"/>
    <w:rsid w:val="0037798D"/>
    <w:rsid w:val="00380EDD"/>
    <w:rsid w:val="00380FDA"/>
    <w:rsid w:val="00381848"/>
    <w:rsid w:val="003818F5"/>
    <w:rsid w:val="003826AF"/>
    <w:rsid w:val="003844AF"/>
    <w:rsid w:val="00384D6F"/>
    <w:rsid w:val="00384FC9"/>
    <w:rsid w:val="00385FA7"/>
    <w:rsid w:val="003862E1"/>
    <w:rsid w:val="00387836"/>
    <w:rsid w:val="0038792F"/>
    <w:rsid w:val="00390733"/>
    <w:rsid w:val="00390BF8"/>
    <w:rsid w:val="00391453"/>
    <w:rsid w:val="00392CF9"/>
    <w:rsid w:val="003934A4"/>
    <w:rsid w:val="00394043"/>
    <w:rsid w:val="0039492F"/>
    <w:rsid w:val="0039501C"/>
    <w:rsid w:val="0039541D"/>
    <w:rsid w:val="003978C2"/>
    <w:rsid w:val="003A0BC8"/>
    <w:rsid w:val="003A0C4B"/>
    <w:rsid w:val="003A0D02"/>
    <w:rsid w:val="003A111B"/>
    <w:rsid w:val="003A1F21"/>
    <w:rsid w:val="003A24A5"/>
    <w:rsid w:val="003A2DEE"/>
    <w:rsid w:val="003A31E7"/>
    <w:rsid w:val="003A329C"/>
    <w:rsid w:val="003A5885"/>
    <w:rsid w:val="003A6413"/>
    <w:rsid w:val="003A67E8"/>
    <w:rsid w:val="003A79DF"/>
    <w:rsid w:val="003B03F8"/>
    <w:rsid w:val="003B124D"/>
    <w:rsid w:val="003B13C5"/>
    <w:rsid w:val="003B1FB7"/>
    <w:rsid w:val="003B230E"/>
    <w:rsid w:val="003B4D81"/>
    <w:rsid w:val="003B66C0"/>
    <w:rsid w:val="003B74B5"/>
    <w:rsid w:val="003C11FB"/>
    <w:rsid w:val="003C14D6"/>
    <w:rsid w:val="003C2445"/>
    <w:rsid w:val="003C30FD"/>
    <w:rsid w:val="003C3233"/>
    <w:rsid w:val="003C3925"/>
    <w:rsid w:val="003C44C1"/>
    <w:rsid w:val="003C4778"/>
    <w:rsid w:val="003C58CD"/>
    <w:rsid w:val="003C5B37"/>
    <w:rsid w:val="003C7B49"/>
    <w:rsid w:val="003D0C09"/>
    <w:rsid w:val="003D0C5C"/>
    <w:rsid w:val="003D0E9E"/>
    <w:rsid w:val="003D10A7"/>
    <w:rsid w:val="003D2376"/>
    <w:rsid w:val="003D2D9D"/>
    <w:rsid w:val="003D31BB"/>
    <w:rsid w:val="003D3CF4"/>
    <w:rsid w:val="003D3D44"/>
    <w:rsid w:val="003D3EDE"/>
    <w:rsid w:val="003D440A"/>
    <w:rsid w:val="003D6310"/>
    <w:rsid w:val="003D673B"/>
    <w:rsid w:val="003D68CD"/>
    <w:rsid w:val="003E0BB8"/>
    <w:rsid w:val="003E12C9"/>
    <w:rsid w:val="003E248A"/>
    <w:rsid w:val="003E2E4B"/>
    <w:rsid w:val="003E2FB9"/>
    <w:rsid w:val="003E34BA"/>
    <w:rsid w:val="003E4D9E"/>
    <w:rsid w:val="003E6363"/>
    <w:rsid w:val="003E769A"/>
    <w:rsid w:val="003F03DD"/>
    <w:rsid w:val="003F131B"/>
    <w:rsid w:val="003F2864"/>
    <w:rsid w:val="003F30E7"/>
    <w:rsid w:val="003F4249"/>
    <w:rsid w:val="003F4673"/>
    <w:rsid w:val="003F4ABC"/>
    <w:rsid w:val="003F53EA"/>
    <w:rsid w:val="003F6AAA"/>
    <w:rsid w:val="003F749D"/>
    <w:rsid w:val="003F7641"/>
    <w:rsid w:val="003F7E41"/>
    <w:rsid w:val="0040015E"/>
    <w:rsid w:val="00403695"/>
    <w:rsid w:val="004039C7"/>
    <w:rsid w:val="00403F5E"/>
    <w:rsid w:val="00404947"/>
    <w:rsid w:val="00405263"/>
    <w:rsid w:val="004071C8"/>
    <w:rsid w:val="00407BA2"/>
    <w:rsid w:val="00407D89"/>
    <w:rsid w:val="00411275"/>
    <w:rsid w:val="00411CA3"/>
    <w:rsid w:val="0041296A"/>
    <w:rsid w:val="00412F81"/>
    <w:rsid w:val="00412FED"/>
    <w:rsid w:val="00413311"/>
    <w:rsid w:val="00414674"/>
    <w:rsid w:val="00414BFB"/>
    <w:rsid w:val="00416B45"/>
    <w:rsid w:val="00416FEB"/>
    <w:rsid w:val="0041770E"/>
    <w:rsid w:val="0041799D"/>
    <w:rsid w:val="004211B9"/>
    <w:rsid w:val="0042192F"/>
    <w:rsid w:val="004237A9"/>
    <w:rsid w:val="00423CCE"/>
    <w:rsid w:val="004251A7"/>
    <w:rsid w:val="0042578E"/>
    <w:rsid w:val="004279C7"/>
    <w:rsid w:val="0043004F"/>
    <w:rsid w:val="004301DE"/>
    <w:rsid w:val="00432AB8"/>
    <w:rsid w:val="00433BC0"/>
    <w:rsid w:val="0043408B"/>
    <w:rsid w:val="00435E85"/>
    <w:rsid w:val="00437866"/>
    <w:rsid w:val="0044026A"/>
    <w:rsid w:val="004406F8"/>
    <w:rsid w:val="004415F9"/>
    <w:rsid w:val="00441BDC"/>
    <w:rsid w:val="0044265F"/>
    <w:rsid w:val="0044617E"/>
    <w:rsid w:val="004462FB"/>
    <w:rsid w:val="0044662E"/>
    <w:rsid w:val="00446FBD"/>
    <w:rsid w:val="00447D98"/>
    <w:rsid w:val="004509EB"/>
    <w:rsid w:val="00451259"/>
    <w:rsid w:val="00451D5D"/>
    <w:rsid w:val="0045242F"/>
    <w:rsid w:val="00452FC5"/>
    <w:rsid w:val="00453F91"/>
    <w:rsid w:val="004545D6"/>
    <w:rsid w:val="00454621"/>
    <w:rsid w:val="004554B0"/>
    <w:rsid w:val="00456CD0"/>
    <w:rsid w:val="0046248B"/>
    <w:rsid w:val="00466706"/>
    <w:rsid w:val="00466DE7"/>
    <w:rsid w:val="00467791"/>
    <w:rsid w:val="00471C49"/>
    <w:rsid w:val="004720BD"/>
    <w:rsid w:val="00473DE2"/>
    <w:rsid w:val="00477B53"/>
    <w:rsid w:val="00477FA3"/>
    <w:rsid w:val="00480DE5"/>
    <w:rsid w:val="004823D2"/>
    <w:rsid w:val="00482F11"/>
    <w:rsid w:val="004845A4"/>
    <w:rsid w:val="00485AFA"/>
    <w:rsid w:val="0048603E"/>
    <w:rsid w:val="00490961"/>
    <w:rsid w:val="00492335"/>
    <w:rsid w:val="00493428"/>
    <w:rsid w:val="00493535"/>
    <w:rsid w:val="004937CC"/>
    <w:rsid w:val="004941E7"/>
    <w:rsid w:val="004954F3"/>
    <w:rsid w:val="00495650"/>
    <w:rsid w:val="004960DF"/>
    <w:rsid w:val="0049621A"/>
    <w:rsid w:val="00496256"/>
    <w:rsid w:val="00496B98"/>
    <w:rsid w:val="00496E15"/>
    <w:rsid w:val="00497FEB"/>
    <w:rsid w:val="004A075E"/>
    <w:rsid w:val="004A1061"/>
    <w:rsid w:val="004A1246"/>
    <w:rsid w:val="004A147A"/>
    <w:rsid w:val="004A1D7D"/>
    <w:rsid w:val="004A3665"/>
    <w:rsid w:val="004A3D86"/>
    <w:rsid w:val="004A438B"/>
    <w:rsid w:val="004A44BB"/>
    <w:rsid w:val="004A45B0"/>
    <w:rsid w:val="004A4F50"/>
    <w:rsid w:val="004A5CA3"/>
    <w:rsid w:val="004A6965"/>
    <w:rsid w:val="004A7206"/>
    <w:rsid w:val="004A74F3"/>
    <w:rsid w:val="004A7BC6"/>
    <w:rsid w:val="004B2D83"/>
    <w:rsid w:val="004B3AB0"/>
    <w:rsid w:val="004B3DEE"/>
    <w:rsid w:val="004B45B9"/>
    <w:rsid w:val="004B4906"/>
    <w:rsid w:val="004B4DF5"/>
    <w:rsid w:val="004B5BEA"/>
    <w:rsid w:val="004B64E5"/>
    <w:rsid w:val="004B738F"/>
    <w:rsid w:val="004C06DE"/>
    <w:rsid w:val="004C0809"/>
    <w:rsid w:val="004C08F2"/>
    <w:rsid w:val="004C135E"/>
    <w:rsid w:val="004C142D"/>
    <w:rsid w:val="004C15B8"/>
    <w:rsid w:val="004C207B"/>
    <w:rsid w:val="004C251C"/>
    <w:rsid w:val="004C38BF"/>
    <w:rsid w:val="004C39EA"/>
    <w:rsid w:val="004C4007"/>
    <w:rsid w:val="004C438E"/>
    <w:rsid w:val="004C5400"/>
    <w:rsid w:val="004D01A3"/>
    <w:rsid w:val="004D021A"/>
    <w:rsid w:val="004D063B"/>
    <w:rsid w:val="004D12F9"/>
    <w:rsid w:val="004D1888"/>
    <w:rsid w:val="004D19CD"/>
    <w:rsid w:val="004D1AA3"/>
    <w:rsid w:val="004D23D7"/>
    <w:rsid w:val="004D3423"/>
    <w:rsid w:val="004D3B1A"/>
    <w:rsid w:val="004D497B"/>
    <w:rsid w:val="004D4A81"/>
    <w:rsid w:val="004D5D02"/>
    <w:rsid w:val="004D6766"/>
    <w:rsid w:val="004E013E"/>
    <w:rsid w:val="004E1E4C"/>
    <w:rsid w:val="004E3B82"/>
    <w:rsid w:val="004E6D36"/>
    <w:rsid w:val="004E7DBB"/>
    <w:rsid w:val="004F1693"/>
    <w:rsid w:val="004F1812"/>
    <w:rsid w:val="004F22BA"/>
    <w:rsid w:val="004F2418"/>
    <w:rsid w:val="004F2DAB"/>
    <w:rsid w:val="004F3A38"/>
    <w:rsid w:val="004F4C8C"/>
    <w:rsid w:val="004F5714"/>
    <w:rsid w:val="004F5E20"/>
    <w:rsid w:val="004F5F16"/>
    <w:rsid w:val="004F6212"/>
    <w:rsid w:val="004F73DF"/>
    <w:rsid w:val="00500737"/>
    <w:rsid w:val="005010B3"/>
    <w:rsid w:val="00501441"/>
    <w:rsid w:val="00502AD0"/>
    <w:rsid w:val="00503C89"/>
    <w:rsid w:val="00503D3C"/>
    <w:rsid w:val="005051A4"/>
    <w:rsid w:val="0050586D"/>
    <w:rsid w:val="0050630F"/>
    <w:rsid w:val="005102FC"/>
    <w:rsid w:val="00510833"/>
    <w:rsid w:val="005110A6"/>
    <w:rsid w:val="00512E1E"/>
    <w:rsid w:val="005138B6"/>
    <w:rsid w:val="00514240"/>
    <w:rsid w:val="0051464A"/>
    <w:rsid w:val="005150D5"/>
    <w:rsid w:val="0051551F"/>
    <w:rsid w:val="0051645D"/>
    <w:rsid w:val="0051794D"/>
    <w:rsid w:val="00517C6A"/>
    <w:rsid w:val="00520147"/>
    <w:rsid w:val="0052048D"/>
    <w:rsid w:val="00521336"/>
    <w:rsid w:val="00521E60"/>
    <w:rsid w:val="00521F14"/>
    <w:rsid w:val="0052292D"/>
    <w:rsid w:val="00523694"/>
    <w:rsid w:val="0052369B"/>
    <w:rsid w:val="00524B45"/>
    <w:rsid w:val="00525C16"/>
    <w:rsid w:val="00526BC5"/>
    <w:rsid w:val="00526D3A"/>
    <w:rsid w:val="00526E2A"/>
    <w:rsid w:val="0052723D"/>
    <w:rsid w:val="00527E6F"/>
    <w:rsid w:val="005311E8"/>
    <w:rsid w:val="005331B9"/>
    <w:rsid w:val="00533FE6"/>
    <w:rsid w:val="005348A9"/>
    <w:rsid w:val="00534F19"/>
    <w:rsid w:val="005352E7"/>
    <w:rsid w:val="00537745"/>
    <w:rsid w:val="00537EDF"/>
    <w:rsid w:val="00540451"/>
    <w:rsid w:val="005407ED"/>
    <w:rsid w:val="00540C23"/>
    <w:rsid w:val="00542B79"/>
    <w:rsid w:val="00542C3E"/>
    <w:rsid w:val="0054460C"/>
    <w:rsid w:val="00546183"/>
    <w:rsid w:val="00546A27"/>
    <w:rsid w:val="005471C8"/>
    <w:rsid w:val="0055060B"/>
    <w:rsid w:val="00550BAA"/>
    <w:rsid w:val="00551BCE"/>
    <w:rsid w:val="00552983"/>
    <w:rsid w:val="0055298E"/>
    <w:rsid w:val="005529B6"/>
    <w:rsid w:val="00553766"/>
    <w:rsid w:val="0055401F"/>
    <w:rsid w:val="005544D4"/>
    <w:rsid w:val="0055453F"/>
    <w:rsid w:val="00554C55"/>
    <w:rsid w:val="005551BD"/>
    <w:rsid w:val="00555366"/>
    <w:rsid w:val="00557817"/>
    <w:rsid w:val="00560CDB"/>
    <w:rsid w:val="00562685"/>
    <w:rsid w:val="0056369C"/>
    <w:rsid w:val="005663FF"/>
    <w:rsid w:val="00566E19"/>
    <w:rsid w:val="0056707E"/>
    <w:rsid w:val="00567536"/>
    <w:rsid w:val="0057034B"/>
    <w:rsid w:val="00570519"/>
    <w:rsid w:val="005710B0"/>
    <w:rsid w:val="00571488"/>
    <w:rsid w:val="005720F3"/>
    <w:rsid w:val="00573E1B"/>
    <w:rsid w:val="00573F41"/>
    <w:rsid w:val="00575563"/>
    <w:rsid w:val="00576274"/>
    <w:rsid w:val="00576794"/>
    <w:rsid w:val="00576C94"/>
    <w:rsid w:val="00576D35"/>
    <w:rsid w:val="00577A92"/>
    <w:rsid w:val="005804FF"/>
    <w:rsid w:val="00580760"/>
    <w:rsid w:val="0058128B"/>
    <w:rsid w:val="00581855"/>
    <w:rsid w:val="00581EC6"/>
    <w:rsid w:val="00582771"/>
    <w:rsid w:val="00583F50"/>
    <w:rsid w:val="00584883"/>
    <w:rsid w:val="0058494B"/>
    <w:rsid w:val="00584A5F"/>
    <w:rsid w:val="00584D01"/>
    <w:rsid w:val="0058524B"/>
    <w:rsid w:val="005855AF"/>
    <w:rsid w:val="00585AFD"/>
    <w:rsid w:val="00586B18"/>
    <w:rsid w:val="00586C4D"/>
    <w:rsid w:val="0058713A"/>
    <w:rsid w:val="005900CF"/>
    <w:rsid w:val="005901DA"/>
    <w:rsid w:val="005905BC"/>
    <w:rsid w:val="00590DC7"/>
    <w:rsid w:val="00591020"/>
    <w:rsid w:val="005922D0"/>
    <w:rsid w:val="005923FA"/>
    <w:rsid w:val="00593356"/>
    <w:rsid w:val="00593803"/>
    <w:rsid w:val="00595507"/>
    <w:rsid w:val="0059624C"/>
    <w:rsid w:val="0059632B"/>
    <w:rsid w:val="00596C08"/>
    <w:rsid w:val="00597111"/>
    <w:rsid w:val="00597119"/>
    <w:rsid w:val="005971B0"/>
    <w:rsid w:val="00597AA7"/>
    <w:rsid w:val="005A01DB"/>
    <w:rsid w:val="005A16EE"/>
    <w:rsid w:val="005A1FE3"/>
    <w:rsid w:val="005A298A"/>
    <w:rsid w:val="005A34A1"/>
    <w:rsid w:val="005A4282"/>
    <w:rsid w:val="005A50CD"/>
    <w:rsid w:val="005A595D"/>
    <w:rsid w:val="005A5DD3"/>
    <w:rsid w:val="005A68B7"/>
    <w:rsid w:val="005A7B96"/>
    <w:rsid w:val="005B1A5D"/>
    <w:rsid w:val="005B48AC"/>
    <w:rsid w:val="005B48F7"/>
    <w:rsid w:val="005B4F92"/>
    <w:rsid w:val="005B6E03"/>
    <w:rsid w:val="005C245E"/>
    <w:rsid w:val="005C36E7"/>
    <w:rsid w:val="005C426F"/>
    <w:rsid w:val="005C4360"/>
    <w:rsid w:val="005D07A1"/>
    <w:rsid w:val="005D0B28"/>
    <w:rsid w:val="005D1C73"/>
    <w:rsid w:val="005D1D68"/>
    <w:rsid w:val="005D257C"/>
    <w:rsid w:val="005D299B"/>
    <w:rsid w:val="005D2B90"/>
    <w:rsid w:val="005D331D"/>
    <w:rsid w:val="005D3750"/>
    <w:rsid w:val="005D3898"/>
    <w:rsid w:val="005D41DE"/>
    <w:rsid w:val="005D50D4"/>
    <w:rsid w:val="005D57A4"/>
    <w:rsid w:val="005D6524"/>
    <w:rsid w:val="005D74FD"/>
    <w:rsid w:val="005D7745"/>
    <w:rsid w:val="005E0C50"/>
    <w:rsid w:val="005E1316"/>
    <w:rsid w:val="005E14FE"/>
    <w:rsid w:val="005E1622"/>
    <w:rsid w:val="005E1B97"/>
    <w:rsid w:val="005E1C22"/>
    <w:rsid w:val="005E40A9"/>
    <w:rsid w:val="005E5173"/>
    <w:rsid w:val="005E5CF0"/>
    <w:rsid w:val="005E63F4"/>
    <w:rsid w:val="005E721B"/>
    <w:rsid w:val="005E7284"/>
    <w:rsid w:val="005E72D1"/>
    <w:rsid w:val="005F051E"/>
    <w:rsid w:val="005F0EF0"/>
    <w:rsid w:val="005F116C"/>
    <w:rsid w:val="005F187B"/>
    <w:rsid w:val="005F3B09"/>
    <w:rsid w:val="005F5132"/>
    <w:rsid w:val="005F54EF"/>
    <w:rsid w:val="005F5E21"/>
    <w:rsid w:val="005F743B"/>
    <w:rsid w:val="00601375"/>
    <w:rsid w:val="00603B2B"/>
    <w:rsid w:val="00603C96"/>
    <w:rsid w:val="00604869"/>
    <w:rsid w:val="00605AC3"/>
    <w:rsid w:val="00606830"/>
    <w:rsid w:val="00607D9E"/>
    <w:rsid w:val="00610A83"/>
    <w:rsid w:val="00611613"/>
    <w:rsid w:val="006125F0"/>
    <w:rsid w:val="00612AEA"/>
    <w:rsid w:val="00614AFC"/>
    <w:rsid w:val="006157DB"/>
    <w:rsid w:val="006158DB"/>
    <w:rsid w:val="00615C20"/>
    <w:rsid w:val="00615F7D"/>
    <w:rsid w:val="006172E6"/>
    <w:rsid w:val="00620B48"/>
    <w:rsid w:val="00620E2D"/>
    <w:rsid w:val="00621015"/>
    <w:rsid w:val="00621353"/>
    <w:rsid w:val="00622FB3"/>
    <w:rsid w:val="00623253"/>
    <w:rsid w:val="00623854"/>
    <w:rsid w:val="00624616"/>
    <w:rsid w:val="006253E4"/>
    <w:rsid w:val="00625F38"/>
    <w:rsid w:val="00625F8E"/>
    <w:rsid w:val="0063121C"/>
    <w:rsid w:val="0063277D"/>
    <w:rsid w:val="00633254"/>
    <w:rsid w:val="00633683"/>
    <w:rsid w:val="00633738"/>
    <w:rsid w:val="006342C1"/>
    <w:rsid w:val="00634FD4"/>
    <w:rsid w:val="00636349"/>
    <w:rsid w:val="006374A9"/>
    <w:rsid w:val="0064051A"/>
    <w:rsid w:val="00642392"/>
    <w:rsid w:val="00642917"/>
    <w:rsid w:val="00642D44"/>
    <w:rsid w:val="006435A0"/>
    <w:rsid w:val="00643F05"/>
    <w:rsid w:val="006453DC"/>
    <w:rsid w:val="00645835"/>
    <w:rsid w:val="00645A0E"/>
    <w:rsid w:val="00646176"/>
    <w:rsid w:val="0064690A"/>
    <w:rsid w:val="006472BD"/>
    <w:rsid w:val="00647A20"/>
    <w:rsid w:val="00647DEE"/>
    <w:rsid w:val="0065018E"/>
    <w:rsid w:val="00650BE8"/>
    <w:rsid w:val="00650C10"/>
    <w:rsid w:val="00650CFB"/>
    <w:rsid w:val="00651161"/>
    <w:rsid w:val="00651B09"/>
    <w:rsid w:val="00652028"/>
    <w:rsid w:val="00653985"/>
    <w:rsid w:val="006564B8"/>
    <w:rsid w:val="0066010C"/>
    <w:rsid w:val="0066125E"/>
    <w:rsid w:val="00661521"/>
    <w:rsid w:val="006616A7"/>
    <w:rsid w:val="006620D9"/>
    <w:rsid w:val="00663F68"/>
    <w:rsid w:val="006661A7"/>
    <w:rsid w:val="00666482"/>
    <w:rsid w:val="006700ED"/>
    <w:rsid w:val="006704A7"/>
    <w:rsid w:val="006704D5"/>
    <w:rsid w:val="0067190B"/>
    <w:rsid w:val="00671D55"/>
    <w:rsid w:val="00671EDC"/>
    <w:rsid w:val="00680DD3"/>
    <w:rsid w:val="0068113A"/>
    <w:rsid w:val="00685749"/>
    <w:rsid w:val="0068610F"/>
    <w:rsid w:val="006870F5"/>
    <w:rsid w:val="00687473"/>
    <w:rsid w:val="0068764D"/>
    <w:rsid w:val="00687B41"/>
    <w:rsid w:val="00690045"/>
    <w:rsid w:val="006900D5"/>
    <w:rsid w:val="00691041"/>
    <w:rsid w:val="0069226D"/>
    <w:rsid w:val="006922D6"/>
    <w:rsid w:val="00692AD4"/>
    <w:rsid w:val="00692C44"/>
    <w:rsid w:val="00693629"/>
    <w:rsid w:val="00694282"/>
    <w:rsid w:val="00694650"/>
    <w:rsid w:val="00694F7F"/>
    <w:rsid w:val="00695938"/>
    <w:rsid w:val="006972A6"/>
    <w:rsid w:val="00697A72"/>
    <w:rsid w:val="006A2746"/>
    <w:rsid w:val="006A3B72"/>
    <w:rsid w:val="006A415B"/>
    <w:rsid w:val="006A5916"/>
    <w:rsid w:val="006A6036"/>
    <w:rsid w:val="006A702D"/>
    <w:rsid w:val="006A7396"/>
    <w:rsid w:val="006A7BE3"/>
    <w:rsid w:val="006B0918"/>
    <w:rsid w:val="006B0BE6"/>
    <w:rsid w:val="006B0C38"/>
    <w:rsid w:val="006B189E"/>
    <w:rsid w:val="006B1E5F"/>
    <w:rsid w:val="006B256D"/>
    <w:rsid w:val="006B2C60"/>
    <w:rsid w:val="006B2CA3"/>
    <w:rsid w:val="006B2FAE"/>
    <w:rsid w:val="006B51D0"/>
    <w:rsid w:val="006B5294"/>
    <w:rsid w:val="006B5844"/>
    <w:rsid w:val="006B5DF4"/>
    <w:rsid w:val="006B6414"/>
    <w:rsid w:val="006B706A"/>
    <w:rsid w:val="006C0116"/>
    <w:rsid w:val="006C2728"/>
    <w:rsid w:val="006C3156"/>
    <w:rsid w:val="006C74F0"/>
    <w:rsid w:val="006D0AB3"/>
    <w:rsid w:val="006D0F2C"/>
    <w:rsid w:val="006D1284"/>
    <w:rsid w:val="006D18B5"/>
    <w:rsid w:val="006D4892"/>
    <w:rsid w:val="006D4BE2"/>
    <w:rsid w:val="006D6899"/>
    <w:rsid w:val="006D7F1A"/>
    <w:rsid w:val="006D7FC2"/>
    <w:rsid w:val="006E1084"/>
    <w:rsid w:val="006E3D57"/>
    <w:rsid w:val="006E5D42"/>
    <w:rsid w:val="006E6CA5"/>
    <w:rsid w:val="006E7625"/>
    <w:rsid w:val="006F0D0B"/>
    <w:rsid w:val="006F18D3"/>
    <w:rsid w:val="006F1B26"/>
    <w:rsid w:val="006F399B"/>
    <w:rsid w:val="006F45DE"/>
    <w:rsid w:val="006F57C6"/>
    <w:rsid w:val="00700528"/>
    <w:rsid w:val="00701421"/>
    <w:rsid w:val="00701781"/>
    <w:rsid w:val="00701B1F"/>
    <w:rsid w:val="00702066"/>
    <w:rsid w:val="007029D4"/>
    <w:rsid w:val="007031DB"/>
    <w:rsid w:val="00704368"/>
    <w:rsid w:val="00705ABB"/>
    <w:rsid w:val="00706EB7"/>
    <w:rsid w:val="00706ED4"/>
    <w:rsid w:val="007110DC"/>
    <w:rsid w:val="007111EC"/>
    <w:rsid w:val="00711648"/>
    <w:rsid w:val="0071187C"/>
    <w:rsid w:val="0071231F"/>
    <w:rsid w:val="00713504"/>
    <w:rsid w:val="0071424E"/>
    <w:rsid w:val="00715E38"/>
    <w:rsid w:val="00716AA8"/>
    <w:rsid w:val="0072011B"/>
    <w:rsid w:val="007205E2"/>
    <w:rsid w:val="00720C78"/>
    <w:rsid w:val="00720D60"/>
    <w:rsid w:val="00722066"/>
    <w:rsid w:val="0072226A"/>
    <w:rsid w:val="00722EB7"/>
    <w:rsid w:val="0072302E"/>
    <w:rsid w:val="00724025"/>
    <w:rsid w:val="00724351"/>
    <w:rsid w:val="00724452"/>
    <w:rsid w:val="00725D4F"/>
    <w:rsid w:val="0072792C"/>
    <w:rsid w:val="0073084D"/>
    <w:rsid w:val="00730D72"/>
    <w:rsid w:val="00731365"/>
    <w:rsid w:val="007328B8"/>
    <w:rsid w:val="0073301E"/>
    <w:rsid w:val="007336D4"/>
    <w:rsid w:val="007343B7"/>
    <w:rsid w:val="00741624"/>
    <w:rsid w:val="007420E7"/>
    <w:rsid w:val="00742C56"/>
    <w:rsid w:val="0074329C"/>
    <w:rsid w:val="00743B49"/>
    <w:rsid w:val="00743BA3"/>
    <w:rsid w:val="007441D8"/>
    <w:rsid w:val="007445FC"/>
    <w:rsid w:val="00744864"/>
    <w:rsid w:val="00746F29"/>
    <w:rsid w:val="00747277"/>
    <w:rsid w:val="00747346"/>
    <w:rsid w:val="00750F77"/>
    <w:rsid w:val="00751646"/>
    <w:rsid w:val="007521B2"/>
    <w:rsid w:val="00753056"/>
    <w:rsid w:val="007535D6"/>
    <w:rsid w:val="0075413E"/>
    <w:rsid w:val="0075475A"/>
    <w:rsid w:val="00754E89"/>
    <w:rsid w:val="00755121"/>
    <w:rsid w:val="00755CA9"/>
    <w:rsid w:val="00756D44"/>
    <w:rsid w:val="00760246"/>
    <w:rsid w:val="0076076E"/>
    <w:rsid w:val="00760D13"/>
    <w:rsid w:val="007610BA"/>
    <w:rsid w:val="00761407"/>
    <w:rsid w:val="007632DF"/>
    <w:rsid w:val="007635B7"/>
    <w:rsid w:val="007649FF"/>
    <w:rsid w:val="00764D24"/>
    <w:rsid w:val="00765998"/>
    <w:rsid w:val="00766B23"/>
    <w:rsid w:val="00767115"/>
    <w:rsid w:val="00770194"/>
    <w:rsid w:val="00771C15"/>
    <w:rsid w:val="007724F6"/>
    <w:rsid w:val="00772CCD"/>
    <w:rsid w:val="00773125"/>
    <w:rsid w:val="00773B22"/>
    <w:rsid w:val="00773CE1"/>
    <w:rsid w:val="0077477E"/>
    <w:rsid w:val="00781B74"/>
    <w:rsid w:val="00783A4D"/>
    <w:rsid w:val="00784DC8"/>
    <w:rsid w:val="00785CA1"/>
    <w:rsid w:val="007864DD"/>
    <w:rsid w:val="00786831"/>
    <w:rsid w:val="00786B8D"/>
    <w:rsid w:val="007905BF"/>
    <w:rsid w:val="00791E89"/>
    <w:rsid w:val="007924D0"/>
    <w:rsid w:val="007934C5"/>
    <w:rsid w:val="0079354A"/>
    <w:rsid w:val="007950FC"/>
    <w:rsid w:val="00795714"/>
    <w:rsid w:val="00795E82"/>
    <w:rsid w:val="00797A81"/>
    <w:rsid w:val="00797F9B"/>
    <w:rsid w:val="007A0F00"/>
    <w:rsid w:val="007A1138"/>
    <w:rsid w:val="007A25CE"/>
    <w:rsid w:val="007A3AB9"/>
    <w:rsid w:val="007A4A3C"/>
    <w:rsid w:val="007A504D"/>
    <w:rsid w:val="007A52B0"/>
    <w:rsid w:val="007A54C6"/>
    <w:rsid w:val="007A6F4C"/>
    <w:rsid w:val="007A7B73"/>
    <w:rsid w:val="007B18C3"/>
    <w:rsid w:val="007B1987"/>
    <w:rsid w:val="007B4C78"/>
    <w:rsid w:val="007B5771"/>
    <w:rsid w:val="007B61AE"/>
    <w:rsid w:val="007B6F7A"/>
    <w:rsid w:val="007B711A"/>
    <w:rsid w:val="007C0782"/>
    <w:rsid w:val="007C129F"/>
    <w:rsid w:val="007C3793"/>
    <w:rsid w:val="007C4697"/>
    <w:rsid w:val="007C4E6F"/>
    <w:rsid w:val="007C72C8"/>
    <w:rsid w:val="007D0D11"/>
    <w:rsid w:val="007D164E"/>
    <w:rsid w:val="007D3943"/>
    <w:rsid w:val="007D44E2"/>
    <w:rsid w:val="007D5000"/>
    <w:rsid w:val="007D5D5F"/>
    <w:rsid w:val="007D6A82"/>
    <w:rsid w:val="007D7218"/>
    <w:rsid w:val="007D76E3"/>
    <w:rsid w:val="007E11A9"/>
    <w:rsid w:val="007E1D88"/>
    <w:rsid w:val="007E212C"/>
    <w:rsid w:val="007E2272"/>
    <w:rsid w:val="007E27C9"/>
    <w:rsid w:val="007E3E7D"/>
    <w:rsid w:val="007E50D6"/>
    <w:rsid w:val="007E5AB0"/>
    <w:rsid w:val="007E64C8"/>
    <w:rsid w:val="007E6F89"/>
    <w:rsid w:val="007E788A"/>
    <w:rsid w:val="007F036E"/>
    <w:rsid w:val="007F18F2"/>
    <w:rsid w:val="007F290D"/>
    <w:rsid w:val="007F2E58"/>
    <w:rsid w:val="007F30C5"/>
    <w:rsid w:val="007F37D0"/>
    <w:rsid w:val="007F3891"/>
    <w:rsid w:val="007F3A06"/>
    <w:rsid w:val="007F3AEE"/>
    <w:rsid w:val="007F525D"/>
    <w:rsid w:val="007F55BD"/>
    <w:rsid w:val="007F67D1"/>
    <w:rsid w:val="007F7712"/>
    <w:rsid w:val="00800AC4"/>
    <w:rsid w:val="00803140"/>
    <w:rsid w:val="00803F7D"/>
    <w:rsid w:val="008043AD"/>
    <w:rsid w:val="00806171"/>
    <w:rsid w:val="0080704C"/>
    <w:rsid w:val="0081114B"/>
    <w:rsid w:val="00814507"/>
    <w:rsid w:val="008148A4"/>
    <w:rsid w:val="00815186"/>
    <w:rsid w:val="008155A5"/>
    <w:rsid w:val="00815B72"/>
    <w:rsid w:val="0082043A"/>
    <w:rsid w:val="0082220F"/>
    <w:rsid w:val="00822A08"/>
    <w:rsid w:val="00822A13"/>
    <w:rsid w:val="00822F9B"/>
    <w:rsid w:val="00823117"/>
    <w:rsid w:val="00823339"/>
    <w:rsid w:val="00825194"/>
    <w:rsid w:val="00825C42"/>
    <w:rsid w:val="00825DEC"/>
    <w:rsid w:val="00826972"/>
    <w:rsid w:val="008278C6"/>
    <w:rsid w:val="00827C7C"/>
    <w:rsid w:val="008312B2"/>
    <w:rsid w:val="00831D23"/>
    <w:rsid w:val="00831DB1"/>
    <w:rsid w:val="00833D7E"/>
    <w:rsid w:val="00833E7F"/>
    <w:rsid w:val="0083406F"/>
    <w:rsid w:val="00834534"/>
    <w:rsid w:val="00835BB5"/>
    <w:rsid w:val="008376EE"/>
    <w:rsid w:val="00841953"/>
    <w:rsid w:val="008422E2"/>
    <w:rsid w:val="0084232C"/>
    <w:rsid w:val="0084269A"/>
    <w:rsid w:val="00842759"/>
    <w:rsid w:val="008430BB"/>
    <w:rsid w:val="0084359E"/>
    <w:rsid w:val="00843EF5"/>
    <w:rsid w:val="00843FE9"/>
    <w:rsid w:val="0084580D"/>
    <w:rsid w:val="00846AE2"/>
    <w:rsid w:val="00851499"/>
    <w:rsid w:val="00851F97"/>
    <w:rsid w:val="00853451"/>
    <w:rsid w:val="00854A5A"/>
    <w:rsid w:val="008569A1"/>
    <w:rsid w:val="00861E00"/>
    <w:rsid w:val="00862C10"/>
    <w:rsid w:val="00862E1F"/>
    <w:rsid w:val="00863182"/>
    <w:rsid w:val="008650C7"/>
    <w:rsid w:val="00866706"/>
    <w:rsid w:val="00867E0E"/>
    <w:rsid w:val="008707FF"/>
    <w:rsid w:val="00871152"/>
    <w:rsid w:val="0087128E"/>
    <w:rsid w:val="008723B2"/>
    <w:rsid w:val="00872EFA"/>
    <w:rsid w:val="008731D7"/>
    <w:rsid w:val="00873E01"/>
    <w:rsid w:val="00873E69"/>
    <w:rsid w:val="00874916"/>
    <w:rsid w:val="008751C7"/>
    <w:rsid w:val="00877E61"/>
    <w:rsid w:val="008806BD"/>
    <w:rsid w:val="00880874"/>
    <w:rsid w:val="0088111D"/>
    <w:rsid w:val="008815B3"/>
    <w:rsid w:val="0088184E"/>
    <w:rsid w:val="0088309B"/>
    <w:rsid w:val="00884FFA"/>
    <w:rsid w:val="0088510D"/>
    <w:rsid w:val="008871B5"/>
    <w:rsid w:val="008900D0"/>
    <w:rsid w:val="008916D5"/>
    <w:rsid w:val="00892236"/>
    <w:rsid w:val="008935C8"/>
    <w:rsid w:val="00893696"/>
    <w:rsid w:val="00893E32"/>
    <w:rsid w:val="0089407F"/>
    <w:rsid w:val="008A0B91"/>
    <w:rsid w:val="008A0D4B"/>
    <w:rsid w:val="008A0DA3"/>
    <w:rsid w:val="008A201D"/>
    <w:rsid w:val="008A353D"/>
    <w:rsid w:val="008A3AEF"/>
    <w:rsid w:val="008A464C"/>
    <w:rsid w:val="008A467E"/>
    <w:rsid w:val="008A51A7"/>
    <w:rsid w:val="008B0A9F"/>
    <w:rsid w:val="008B3012"/>
    <w:rsid w:val="008B3355"/>
    <w:rsid w:val="008B3814"/>
    <w:rsid w:val="008B3915"/>
    <w:rsid w:val="008B4202"/>
    <w:rsid w:val="008B50D5"/>
    <w:rsid w:val="008B54AE"/>
    <w:rsid w:val="008B71BC"/>
    <w:rsid w:val="008B7D3B"/>
    <w:rsid w:val="008C06C3"/>
    <w:rsid w:val="008C16E9"/>
    <w:rsid w:val="008C1D6C"/>
    <w:rsid w:val="008C27AB"/>
    <w:rsid w:val="008C370E"/>
    <w:rsid w:val="008C378B"/>
    <w:rsid w:val="008C387E"/>
    <w:rsid w:val="008C3D5D"/>
    <w:rsid w:val="008C5261"/>
    <w:rsid w:val="008C5DBD"/>
    <w:rsid w:val="008C68EF"/>
    <w:rsid w:val="008C7149"/>
    <w:rsid w:val="008D0417"/>
    <w:rsid w:val="008D0F4A"/>
    <w:rsid w:val="008D1814"/>
    <w:rsid w:val="008D1D87"/>
    <w:rsid w:val="008D4333"/>
    <w:rsid w:val="008D532E"/>
    <w:rsid w:val="008D54D2"/>
    <w:rsid w:val="008D5EB4"/>
    <w:rsid w:val="008D78E5"/>
    <w:rsid w:val="008D7B8C"/>
    <w:rsid w:val="008D7BE9"/>
    <w:rsid w:val="008E0444"/>
    <w:rsid w:val="008E0AB0"/>
    <w:rsid w:val="008E0C18"/>
    <w:rsid w:val="008E0FAF"/>
    <w:rsid w:val="008E1D3D"/>
    <w:rsid w:val="008E27B1"/>
    <w:rsid w:val="008E4869"/>
    <w:rsid w:val="008E5A07"/>
    <w:rsid w:val="008E5F00"/>
    <w:rsid w:val="008E6183"/>
    <w:rsid w:val="008E6784"/>
    <w:rsid w:val="008F13AF"/>
    <w:rsid w:val="008F1E1C"/>
    <w:rsid w:val="008F265F"/>
    <w:rsid w:val="008F5D9C"/>
    <w:rsid w:val="008F6742"/>
    <w:rsid w:val="008F67E8"/>
    <w:rsid w:val="008F6F5B"/>
    <w:rsid w:val="009021F6"/>
    <w:rsid w:val="00902FE3"/>
    <w:rsid w:val="009038F2"/>
    <w:rsid w:val="009043CF"/>
    <w:rsid w:val="00905255"/>
    <w:rsid w:val="00905B35"/>
    <w:rsid w:val="00906438"/>
    <w:rsid w:val="0090654F"/>
    <w:rsid w:val="00910241"/>
    <w:rsid w:val="00910993"/>
    <w:rsid w:val="00910A2C"/>
    <w:rsid w:val="00910D4E"/>
    <w:rsid w:val="00911F87"/>
    <w:rsid w:val="00912442"/>
    <w:rsid w:val="00913678"/>
    <w:rsid w:val="0091491F"/>
    <w:rsid w:val="0091571E"/>
    <w:rsid w:val="009158C7"/>
    <w:rsid w:val="009160FA"/>
    <w:rsid w:val="009161E6"/>
    <w:rsid w:val="0091712A"/>
    <w:rsid w:val="00920340"/>
    <w:rsid w:val="0092114B"/>
    <w:rsid w:val="0092218C"/>
    <w:rsid w:val="0092358F"/>
    <w:rsid w:val="00923AE1"/>
    <w:rsid w:val="00925045"/>
    <w:rsid w:val="0092728F"/>
    <w:rsid w:val="00930D4A"/>
    <w:rsid w:val="00930FE6"/>
    <w:rsid w:val="009313DD"/>
    <w:rsid w:val="00931497"/>
    <w:rsid w:val="009314BB"/>
    <w:rsid w:val="00937C76"/>
    <w:rsid w:val="00937D43"/>
    <w:rsid w:val="009412E7"/>
    <w:rsid w:val="00941D4D"/>
    <w:rsid w:val="00943AF1"/>
    <w:rsid w:val="00945227"/>
    <w:rsid w:val="00946D2C"/>
    <w:rsid w:val="00946DE0"/>
    <w:rsid w:val="00950DA4"/>
    <w:rsid w:val="00951119"/>
    <w:rsid w:val="009530B2"/>
    <w:rsid w:val="00954D97"/>
    <w:rsid w:val="0095501E"/>
    <w:rsid w:val="0095576D"/>
    <w:rsid w:val="009564F1"/>
    <w:rsid w:val="00956641"/>
    <w:rsid w:val="00963346"/>
    <w:rsid w:val="0096366A"/>
    <w:rsid w:val="0096380C"/>
    <w:rsid w:val="00965E25"/>
    <w:rsid w:val="00966233"/>
    <w:rsid w:val="00966369"/>
    <w:rsid w:val="009665AD"/>
    <w:rsid w:val="00967437"/>
    <w:rsid w:val="009677AB"/>
    <w:rsid w:val="00967B33"/>
    <w:rsid w:val="009716C7"/>
    <w:rsid w:val="00971E10"/>
    <w:rsid w:val="00971E31"/>
    <w:rsid w:val="0097232D"/>
    <w:rsid w:val="00973E49"/>
    <w:rsid w:val="00975303"/>
    <w:rsid w:val="00975391"/>
    <w:rsid w:val="00975AC8"/>
    <w:rsid w:val="00976530"/>
    <w:rsid w:val="00976E9F"/>
    <w:rsid w:val="00976F6F"/>
    <w:rsid w:val="009772C5"/>
    <w:rsid w:val="009775A1"/>
    <w:rsid w:val="00981AE0"/>
    <w:rsid w:val="00982430"/>
    <w:rsid w:val="009826E2"/>
    <w:rsid w:val="00984545"/>
    <w:rsid w:val="00984AE2"/>
    <w:rsid w:val="00985CD7"/>
    <w:rsid w:val="00986174"/>
    <w:rsid w:val="009869F7"/>
    <w:rsid w:val="00987139"/>
    <w:rsid w:val="00987520"/>
    <w:rsid w:val="009906F2"/>
    <w:rsid w:val="0099183C"/>
    <w:rsid w:val="0099296F"/>
    <w:rsid w:val="00992FF9"/>
    <w:rsid w:val="0099673E"/>
    <w:rsid w:val="00996925"/>
    <w:rsid w:val="00997E06"/>
    <w:rsid w:val="00997E53"/>
    <w:rsid w:val="009A1677"/>
    <w:rsid w:val="009A1B5F"/>
    <w:rsid w:val="009A1E2F"/>
    <w:rsid w:val="009A1E70"/>
    <w:rsid w:val="009A43C2"/>
    <w:rsid w:val="009A55FE"/>
    <w:rsid w:val="009A6DB9"/>
    <w:rsid w:val="009A7C10"/>
    <w:rsid w:val="009B1018"/>
    <w:rsid w:val="009B1F02"/>
    <w:rsid w:val="009B28E0"/>
    <w:rsid w:val="009B3109"/>
    <w:rsid w:val="009B3484"/>
    <w:rsid w:val="009B41D5"/>
    <w:rsid w:val="009B49BA"/>
    <w:rsid w:val="009B568C"/>
    <w:rsid w:val="009B7AF1"/>
    <w:rsid w:val="009B7B44"/>
    <w:rsid w:val="009C0123"/>
    <w:rsid w:val="009C059A"/>
    <w:rsid w:val="009C0708"/>
    <w:rsid w:val="009C08CB"/>
    <w:rsid w:val="009C1610"/>
    <w:rsid w:val="009C1B47"/>
    <w:rsid w:val="009C2D55"/>
    <w:rsid w:val="009C3678"/>
    <w:rsid w:val="009C3D2E"/>
    <w:rsid w:val="009C3EB2"/>
    <w:rsid w:val="009C5D44"/>
    <w:rsid w:val="009C5E35"/>
    <w:rsid w:val="009C7283"/>
    <w:rsid w:val="009C76DD"/>
    <w:rsid w:val="009D058C"/>
    <w:rsid w:val="009D090E"/>
    <w:rsid w:val="009D0EA5"/>
    <w:rsid w:val="009D128B"/>
    <w:rsid w:val="009D2E23"/>
    <w:rsid w:val="009D5198"/>
    <w:rsid w:val="009D7291"/>
    <w:rsid w:val="009D73AC"/>
    <w:rsid w:val="009E0C06"/>
    <w:rsid w:val="009E0D57"/>
    <w:rsid w:val="009E2471"/>
    <w:rsid w:val="009E30C6"/>
    <w:rsid w:val="009E4057"/>
    <w:rsid w:val="009E4723"/>
    <w:rsid w:val="009E580A"/>
    <w:rsid w:val="009E6E9A"/>
    <w:rsid w:val="009E7887"/>
    <w:rsid w:val="009F0F17"/>
    <w:rsid w:val="009F1C13"/>
    <w:rsid w:val="009F3788"/>
    <w:rsid w:val="009F4EE9"/>
    <w:rsid w:val="009F5BA7"/>
    <w:rsid w:val="009F6C2A"/>
    <w:rsid w:val="009F7B6C"/>
    <w:rsid w:val="009F7FCF"/>
    <w:rsid w:val="00A00E0C"/>
    <w:rsid w:val="00A01487"/>
    <w:rsid w:val="00A023F4"/>
    <w:rsid w:val="00A02995"/>
    <w:rsid w:val="00A04148"/>
    <w:rsid w:val="00A042E0"/>
    <w:rsid w:val="00A04928"/>
    <w:rsid w:val="00A04AAA"/>
    <w:rsid w:val="00A05A01"/>
    <w:rsid w:val="00A05EEA"/>
    <w:rsid w:val="00A065B6"/>
    <w:rsid w:val="00A06DD4"/>
    <w:rsid w:val="00A103CB"/>
    <w:rsid w:val="00A11981"/>
    <w:rsid w:val="00A12265"/>
    <w:rsid w:val="00A12956"/>
    <w:rsid w:val="00A14070"/>
    <w:rsid w:val="00A141C9"/>
    <w:rsid w:val="00A143B4"/>
    <w:rsid w:val="00A14502"/>
    <w:rsid w:val="00A14AFB"/>
    <w:rsid w:val="00A15401"/>
    <w:rsid w:val="00A15DB4"/>
    <w:rsid w:val="00A15E89"/>
    <w:rsid w:val="00A16834"/>
    <w:rsid w:val="00A2024E"/>
    <w:rsid w:val="00A20358"/>
    <w:rsid w:val="00A21908"/>
    <w:rsid w:val="00A21A31"/>
    <w:rsid w:val="00A2268E"/>
    <w:rsid w:val="00A2455D"/>
    <w:rsid w:val="00A256FF"/>
    <w:rsid w:val="00A25F53"/>
    <w:rsid w:val="00A2604E"/>
    <w:rsid w:val="00A275D5"/>
    <w:rsid w:val="00A30B19"/>
    <w:rsid w:val="00A30B37"/>
    <w:rsid w:val="00A30BAD"/>
    <w:rsid w:val="00A321A4"/>
    <w:rsid w:val="00A32278"/>
    <w:rsid w:val="00A3304A"/>
    <w:rsid w:val="00A34B91"/>
    <w:rsid w:val="00A372DE"/>
    <w:rsid w:val="00A377F1"/>
    <w:rsid w:val="00A37BEF"/>
    <w:rsid w:val="00A4000D"/>
    <w:rsid w:val="00A40936"/>
    <w:rsid w:val="00A41536"/>
    <w:rsid w:val="00A41E8C"/>
    <w:rsid w:val="00A420A7"/>
    <w:rsid w:val="00A44016"/>
    <w:rsid w:val="00A454D7"/>
    <w:rsid w:val="00A4586D"/>
    <w:rsid w:val="00A464CA"/>
    <w:rsid w:val="00A50DC3"/>
    <w:rsid w:val="00A50E20"/>
    <w:rsid w:val="00A51ADB"/>
    <w:rsid w:val="00A5220B"/>
    <w:rsid w:val="00A52A71"/>
    <w:rsid w:val="00A5309B"/>
    <w:rsid w:val="00A53C1A"/>
    <w:rsid w:val="00A53D07"/>
    <w:rsid w:val="00A54646"/>
    <w:rsid w:val="00A56C52"/>
    <w:rsid w:val="00A57341"/>
    <w:rsid w:val="00A57563"/>
    <w:rsid w:val="00A57B74"/>
    <w:rsid w:val="00A60E11"/>
    <w:rsid w:val="00A60F36"/>
    <w:rsid w:val="00A61118"/>
    <w:rsid w:val="00A6208A"/>
    <w:rsid w:val="00A625B1"/>
    <w:rsid w:val="00A63260"/>
    <w:rsid w:val="00A634C5"/>
    <w:rsid w:val="00A70443"/>
    <w:rsid w:val="00A713DF"/>
    <w:rsid w:val="00A71F2F"/>
    <w:rsid w:val="00A72A29"/>
    <w:rsid w:val="00A72AFB"/>
    <w:rsid w:val="00A7319A"/>
    <w:rsid w:val="00A732BF"/>
    <w:rsid w:val="00A743DC"/>
    <w:rsid w:val="00A74559"/>
    <w:rsid w:val="00A7460B"/>
    <w:rsid w:val="00A75BCC"/>
    <w:rsid w:val="00A76781"/>
    <w:rsid w:val="00A77E2B"/>
    <w:rsid w:val="00A80B4F"/>
    <w:rsid w:val="00A814B5"/>
    <w:rsid w:val="00A825B6"/>
    <w:rsid w:val="00A83D9F"/>
    <w:rsid w:val="00A84E94"/>
    <w:rsid w:val="00A8685D"/>
    <w:rsid w:val="00A86CB9"/>
    <w:rsid w:val="00A86ED4"/>
    <w:rsid w:val="00A90A03"/>
    <w:rsid w:val="00A91834"/>
    <w:rsid w:val="00A93BF8"/>
    <w:rsid w:val="00A96683"/>
    <w:rsid w:val="00AA1389"/>
    <w:rsid w:val="00AA1963"/>
    <w:rsid w:val="00AA2E3D"/>
    <w:rsid w:val="00AA3137"/>
    <w:rsid w:val="00AA4062"/>
    <w:rsid w:val="00AA4509"/>
    <w:rsid w:val="00AA47AD"/>
    <w:rsid w:val="00AA55FA"/>
    <w:rsid w:val="00AA55FD"/>
    <w:rsid w:val="00AA56B0"/>
    <w:rsid w:val="00AA65B5"/>
    <w:rsid w:val="00AA7BE6"/>
    <w:rsid w:val="00AB0CC5"/>
    <w:rsid w:val="00AB1AB5"/>
    <w:rsid w:val="00AB23BD"/>
    <w:rsid w:val="00AB38AB"/>
    <w:rsid w:val="00AB495B"/>
    <w:rsid w:val="00AB6337"/>
    <w:rsid w:val="00AB742C"/>
    <w:rsid w:val="00AC21BC"/>
    <w:rsid w:val="00AC221E"/>
    <w:rsid w:val="00AC6C6F"/>
    <w:rsid w:val="00AC77FE"/>
    <w:rsid w:val="00AD026E"/>
    <w:rsid w:val="00AD12BC"/>
    <w:rsid w:val="00AD1880"/>
    <w:rsid w:val="00AD1B36"/>
    <w:rsid w:val="00AD213D"/>
    <w:rsid w:val="00AD223F"/>
    <w:rsid w:val="00AD2B18"/>
    <w:rsid w:val="00AD3409"/>
    <w:rsid w:val="00AD34AB"/>
    <w:rsid w:val="00AD3B91"/>
    <w:rsid w:val="00AD3ED5"/>
    <w:rsid w:val="00AD431C"/>
    <w:rsid w:val="00AD5390"/>
    <w:rsid w:val="00AD692D"/>
    <w:rsid w:val="00AE0889"/>
    <w:rsid w:val="00AE08EC"/>
    <w:rsid w:val="00AE0DC2"/>
    <w:rsid w:val="00AE0F90"/>
    <w:rsid w:val="00AE25B5"/>
    <w:rsid w:val="00AE2FAA"/>
    <w:rsid w:val="00AE3BBE"/>
    <w:rsid w:val="00AE4ECB"/>
    <w:rsid w:val="00AE72C5"/>
    <w:rsid w:val="00AE7482"/>
    <w:rsid w:val="00AE7A3F"/>
    <w:rsid w:val="00AF040C"/>
    <w:rsid w:val="00AF0D66"/>
    <w:rsid w:val="00AF176C"/>
    <w:rsid w:val="00AF1AC4"/>
    <w:rsid w:val="00AF215A"/>
    <w:rsid w:val="00AF26A2"/>
    <w:rsid w:val="00AF2AC8"/>
    <w:rsid w:val="00AF6FB3"/>
    <w:rsid w:val="00AF7343"/>
    <w:rsid w:val="00AF799B"/>
    <w:rsid w:val="00AF7BDE"/>
    <w:rsid w:val="00AF7DC8"/>
    <w:rsid w:val="00AF7F04"/>
    <w:rsid w:val="00B001AB"/>
    <w:rsid w:val="00B0046F"/>
    <w:rsid w:val="00B008CC"/>
    <w:rsid w:val="00B00D0F"/>
    <w:rsid w:val="00B012AC"/>
    <w:rsid w:val="00B013D5"/>
    <w:rsid w:val="00B0166C"/>
    <w:rsid w:val="00B02C2E"/>
    <w:rsid w:val="00B0583E"/>
    <w:rsid w:val="00B06A1D"/>
    <w:rsid w:val="00B06F91"/>
    <w:rsid w:val="00B101B6"/>
    <w:rsid w:val="00B1253F"/>
    <w:rsid w:val="00B126F0"/>
    <w:rsid w:val="00B12B12"/>
    <w:rsid w:val="00B12C37"/>
    <w:rsid w:val="00B13CF3"/>
    <w:rsid w:val="00B13ED2"/>
    <w:rsid w:val="00B1477C"/>
    <w:rsid w:val="00B14B7A"/>
    <w:rsid w:val="00B14C6C"/>
    <w:rsid w:val="00B15DE6"/>
    <w:rsid w:val="00B16D92"/>
    <w:rsid w:val="00B170A1"/>
    <w:rsid w:val="00B1748B"/>
    <w:rsid w:val="00B20D7B"/>
    <w:rsid w:val="00B218DD"/>
    <w:rsid w:val="00B21A5B"/>
    <w:rsid w:val="00B21E55"/>
    <w:rsid w:val="00B22A42"/>
    <w:rsid w:val="00B23900"/>
    <w:rsid w:val="00B241E7"/>
    <w:rsid w:val="00B268A6"/>
    <w:rsid w:val="00B26F56"/>
    <w:rsid w:val="00B26FE8"/>
    <w:rsid w:val="00B27B1A"/>
    <w:rsid w:val="00B32A27"/>
    <w:rsid w:val="00B33102"/>
    <w:rsid w:val="00B34AF7"/>
    <w:rsid w:val="00B3572B"/>
    <w:rsid w:val="00B36007"/>
    <w:rsid w:val="00B375CE"/>
    <w:rsid w:val="00B4001D"/>
    <w:rsid w:val="00B41882"/>
    <w:rsid w:val="00B421DC"/>
    <w:rsid w:val="00B423C0"/>
    <w:rsid w:val="00B42B94"/>
    <w:rsid w:val="00B446F9"/>
    <w:rsid w:val="00B44C22"/>
    <w:rsid w:val="00B45345"/>
    <w:rsid w:val="00B46F04"/>
    <w:rsid w:val="00B51BA8"/>
    <w:rsid w:val="00B524A5"/>
    <w:rsid w:val="00B5256F"/>
    <w:rsid w:val="00B535E9"/>
    <w:rsid w:val="00B53C5C"/>
    <w:rsid w:val="00B54008"/>
    <w:rsid w:val="00B54222"/>
    <w:rsid w:val="00B54CF1"/>
    <w:rsid w:val="00B5527F"/>
    <w:rsid w:val="00B55414"/>
    <w:rsid w:val="00B57F92"/>
    <w:rsid w:val="00B6025D"/>
    <w:rsid w:val="00B60C62"/>
    <w:rsid w:val="00B612B3"/>
    <w:rsid w:val="00B62748"/>
    <w:rsid w:val="00B636D0"/>
    <w:rsid w:val="00B660F7"/>
    <w:rsid w:val="00B67E75"/>
    <w:rsid w:val="00B70BA0"/>
    <w:rsid w:val="00B71946"/>
    <w:rsid w:val="00B72875"/>
    <w:rsid w:val="00B7367F"/>
    <w:rsid w:val="00B74095"/>
    <w:rsid w:val="00B74B41"/>
    <w:rsid w:val="00B74C0F"/>
    <w:rsid w:val="00B755D8"/>
    <w:rsid w:val="00B80A54"/>
    <w:rsid w:val="00B80DF5"/>
    <w:rsid w:val="00B843DA"/>
    <w:rsid w:val="00B856EC"/>
    <w:rsid w:val="00B857EC"/>
    <w:rsid w:val="00B863E2"/>
    <w:rsid w:val="00B90B74"/>
    <w:rsid w:val="00B91C2A"/>
    <w:rsid w:val="00B93994"/>
    <w:rsid w:val="00B93E56"/>
    <w:rsid w:val="00B94242"/>
    <w:rsid w:val="00B94D45"/>
    <w:rsid w:val="00B96836"/>
    <w:rsid w:val="00BA018E"/>
    <w:rsid w:val="00BA0B90"/>
    <w:rsid w:val="00BA1241"/>
    <w:rsid w:val="00BA1FB9"/>
    <w:rsid w:val="00BA24BD"/>
    <w:rsid w:val="00BA3858"/>
    <w:rsid w:val="00BA42A9"/>
    <w:rsid w:val="00BA46D4"/>
    <w:rsid w:val="00BA5309"/>
    <w:rsid w:val="00BA535F"/>
    <w:rsid w:val="00BA5742"/>
    <w:rsid w:val="00BB0137"/>
    <w:rsid w:val="00BB0D24"/>
    <w:rsid w:val="00BB2A84"/>
    <w:rsid w:val="00BB4AAD"/>
    <w:rsid w:val="00BB58C7"/>
    <w:rsid w:val="00BB5B28"/>
    <w:rsid w:val="00BB5E56"/>
    <w:rsid w:val="00BB7D74"/>
    <w:rsid w:val="00BC04AA"/>
    <w:rsid w:val="00BC06A3"/>
    <w:rsid w:val="00BC088A"/>
    <w:rsid w:val="00BC2DFE"/>
    <w:rsid w:val="00BC33C1"/>
    <w:rsid w:val="00BC3E94"/>
    <w:rsid w:val="00BC3F25"/>
    <w:rsid w:val="00BC67CC"/>
    <w:rsid w:val="00BD008B"/>
    <w:rsid w:val="00BD0C39"/>
    <w:rsid w:val="00BD0F8E"/>
    <w:rsid w:val="00BD3656"/>
    <w:rsid w:val="00BD41D1"/>
    <w:rsid w:val="00BD71DA"/>
    <w:rsid w:val="00BD7799"/>
    <w:rsid w:val="00BD7EFB"/>
    <w:rsid w:val="00BE0D4A"/>
    <w:rsid w:val="00BE1021"/>
    <w:rsid w:val="00BE1941"/>
    <w:rsid w:val="00BE233F"/>
    <w:rsid w:val="00BE243F"/>
    <w:rsid w:val="00BE26C8"/>
    <w:rsid w:val="00BE37D7"/>
    <w:rsid w:val="00BE37EF"/>
    <w:rsid w:val="00BE4458"/>
    <w:rsid w:val="00BE61BA"/>
    <w:rsid w:val="00BE7F4C"/>
    <w:rsid w:val="00BF0761"/>
    <w:rsid w:val="00BF18F1"/>
    <w:rsid w:val="00BF1D5A"/>
    <w:rsid w:val="00BF347D"/>
    <w:rsid w:val="00BF4973"/>
    <w:rsid w:val="00BF669F"/>
    <w:rsid w:val="00BF78F9"/>
    <w:rsid w:val="00BF7CA9"/>
    <w:rsid w:val="00BF7CD8"/>
    <w:rsid w:val="00C00510"/>
    <w:rsid w:val="00C0080B"/>
    <w:rsid w:val="00C01426"/>
    <w:rsid w:val="00C02C89"/>
    <w:rsid w:val="00C03137"/>
    <w:rsid w:val="00C03729"/>
    <w:rsid w:val="00C03917"/>
    <w:rsid w:val="00C03B5E"/>
    <w:rsid w:val="00C04309"/>
    <w:rsid w:val="00C048D3"/>
    <w:rsid w:val="00C04BCB"/>
    <w:rsid w:val="00C05010"/>
    <w:rsid w:val="00C0646B"/>
    <w:rsid w:val="00C064E6"/>
    <w:rsid w:val="00C068BC"/>
    <w:rsid w:val="00C0773C"/>
    <w:rsid w:val="00C122D0"/>
    <w:rsid w:val="00C13566"/>
    <w:rsid w:val="00C13569"/>
    <w:rsid w:val="00C1469C"/>
    <w:rsid w:val="00C146D6"/>
    <w:rsid w:val="00C155D7"/>
    <w:rsid w:val="00C15621"/>
    <w:rsid w:val="00C15BCF"/>
    <w:rsid w:val="00C15C22"/>
    <w:rsid w:val="00C1628A"/>
    <w:rsid w:val="00C16323"/>
    <w:rsid w:val="00C16BDC"/>
    <w:rsid w:val="00C16FCA"/>
    <w:rsid w:val="00C1707B"/>
    <w:rsid w:val="00C17F5D"/>
    <w:rsid w:val="00C201FC"/>
    <w:rsid w:val="00C20571"/>
    <w:rsid w:val="00C2216E"/>
    <w:rsid w:val="00C225C1"/>
    <w:rsid w:val="00C23D3F"/>
    <w:rsid w:val="00C23EC5"/>
    <w:rsid w:val="00C24768"/>
    <w:rsid w:val="00C24C87"/>
    <w:rsid w:val="00C25861"/>
    <w:rsid w:val="00C2592B"/>
    <w:rsid w:val="00C25BC5"/>
    <w:rsid w:val="00C25D70"/>
    <w:rsid w:val="00C27432"/>
    <w:rsid w:val="00C30D47"/>
    <w:rsid w:val="00C31CEC"/>
    <w:rsid w:val="00C33F6D"/>
    <w:rsid w:val="00C342D3"/>
    <w:rsid w:val="00C3442D"/>
    <w:rsid w:val="00C3524A"/>
    <w:rsid w:val="00C35971"/>
    <w:rsid w:val="00C35E6B"/>
    <w:rsid w:val="00C36431"/>
    <w:rsid w:val="00C36979"/>
    <w:rsid w:val="00C36C7B"/>
    <w:rsid w:val="00C36DE3"/>
    <w:rsid w:val="00C36E0D"/>
    <w:rsid w:val="00C40AB6"/>
    <w:rsid w:val="00C40C43"/>
    <w:rsid w:val="00C40C58"/>
    <w:rsid w:val="00C42FD3"/>
    <w:rsid w:val="00C44404"/>
    <w:rsid w:val="00C44E1E"/>
    <w:rsid w:val="00C460F1"/>
    <w:rsid w:val="00C46295"/>
    <w:rsid w:val="00C46823"/>
    <w:rsid w:val="00C470B8"/>
    <w:rsid w:val="00C47B3A"/>
    <w:rsid w:val="00C50586"/>
    <w:rsid w:val="00C506AD"/>
    <w:rsid w:val="00C50734"/>
    <w:rsid w:val="00C519CA"/>
    <w:rsid w:val="00C51ECE"/>
    <w:rsid w:val="00C52627"/>
    <w:rsid w:val="00C52B42"/>
    <w:rsid w:val="00C52F04"/>
    <w:rsid w:val="00C532F6"/>
    <w:rsid w:val="00C54266"/>
    <w:rsid w:val="00C54433"/>
    <w:rsid w:val="00C5490A"/>
    <w:rsid w:val="00C5500C"/>
    <w:rsid w:val="00C55233"/>
    <w:rsid w:val="00C55399"/>
    <w:rsid w:val="00C55AF2"/>
    <w:rsid w:val="00C56BC3"/>
    <w:rsid w:val="00C605F8"/>
    <w:rsid w:val="00C611EE"/>
    <w:rsid w:val="00C615F3"/>
    <w:rsid w:val="00C61BF8"/>
    <w:rsid w:val="00C627B2"/>
    <w:rsid w:val="00C63086"/>
    <w:rsid w:val="00C632A3"/>
    <w:rsid w:val="00C63D55"/>
    <w:rsid w:val="00C63E3E"/>
    <w:rsid w:val="00C64083"/>
    <w:rsid w:val="00C64458"/>
    <w:rsid w:val="00C65B6D"/>
    <w:rsid w:val="00C65D79"/>
    <w:rsid w:val="00C67056"/>
    <w:rsid w:val="00C67208"/>
    <w:rsid w:val="00C67DB0"/>
    <w:rsid w:val="00C70CBF"/>
    <w:rsid w:val="00C72679"/>
    <w:rsid w:val="00C730A6"/>
    <w:rsid w:val="00C732F0"/>
    <w:rsid w:val="00C736C1"/>
    <w:rsid w:val="00C74D03"/>
    <w:rsid w:val="00C74FB6"/>
    <w:rsid w:val="00C764C7"/>
    <w:rsid w:val="00C8240A"/>
    <w:rsid w:val="00C82AB3"/>
    <w:rsid w:val="00C82B91"/>
    <w:rsid w:val="00C833A5"/>
    <w:rsid w:val="00C83AAF"/>
    <w:rsid w:val="00C85D3E"/>
    <w:rsid w:val="00C90392"/>
    <w:rsid w:val="00C90DDC"/>
    <w:rsid w:val="00C934C4"/>
    <w:rsid w:val="00C93E34"/>
    <w:rsid w:val="00C94A20"/>
    <w:rsid w:val="00C94B58"/>
    <w:rsid w:val="00C96E60"/>
    <w:rsid w:val="00CA1380"/>
    <w:rsid w:val="00CA1A90"/>
    <w:rsid w:val="00CA3997"/>
    <w:rsid w:val="00CA3EA8"/>
    <w:rsid w:val="00CA3ED1"/>
    <w:rsid w:val="00CA54D9"/>
    <w:rsid w:val="00CA597B"/>
    <w:rsid w:val="00CA6DAA"/>
    <w:rsid w:val="00CA7BAE"/>
    <w:rsid w:val="00CA7CA2"/>
    <w:rsid w:val="00CB01C0"/>
    <w:rsid w:val="00CB04ED"/>
    <w:rsid w:val="00CB0688"/>
    <w:rsid w:val="00CB0786"/>
    <w:rsid w:val="00CB0A1F"/>
    <w:rsid w:val="00CB10FE"/>
    <w:rsid w:val="00CB168D"/>
    <w:rsid w:val="00CB325A"/>
    <w:rsid w:val="00CB38D1"/>
    <w:rsid w:val="00CB5669"/>
    <w:rsid w:val="00CB5BCC"/>
    <w:rsid w:val="00CB5CEE"/>
    <w:rsid w:val="00CB7AAA"/>
    <w:rsid w:val="00CC034A"/>
    <w:rsid w:val="00CC0780"/>
    <w:rsid w:val="00CC0AC5"/>
    <w:rsid w:val="00CC0B66"/>
    <w:rsid w:val="00CC1B10"/>
    <w:rsid w:val="00CC3A8B"/>
    <w:rsid w:val="00CC4100"/>
    <w:rsid w:val="00CC5E28"/>
    <w:rsid w:val="00CC6B2B"/>
    <w:rsid w:val="00CC7B21"/>
    <w:rsid w:val="00CC7DDF"/>
    <w:rsid w:val="00CD0A13"/>
    <w:rsid w:val="00CD0E63"/>
    <w:rsid w:val="00CD11AD"/>
    <w:rsid w:val="00CD315E"/>
    <w:rsid w:val="00CD41F4"/>
    <w:rsid w:val="00CD47FB"/>
    <w:rsid w:val="00CD4A8B"/>
    <w:rsid w:val="00CD5043"/>
    <w:rsid w:val="00CD54E1"/>
    <w:rsid w:val="00CD579F"/>
    <w:rsid w:val="00CD76C2"/>
    <w:rsid w:val="00CD7DBF"/>
    <w:rsid w:val="00CE16EF"/>
    <w:rsid w:val="00CE2C39"/>
    <w:rsid w:val="00CE348F"/>
    <w:rsid w:val="00CE3F6C"/>
    <w:rsid w:val="00CE42CD"/>
    <w:rsid w:val="00CE4477"/>
    <w:rsid w:val="00CE4490"/>
    <w:rsid w:val="00CE53FE"/>
    <w:rsid w:val="00CE67A8"/>
    <w:rsid w:val="00CE7103"/>
    <w:rsid w:val="00CF1487"/>
    <w:rsid w:val="00CF3288"/>
    <w:rsid w:val="00CF35CB"/>
    <w:rsid w:val="00CF629A"/>
    <w:rsid w:val="00CF688C"/>
    <w:rsid w:val="00D00A87"/>
    <w:rsid w:val="00D010B8"/>
    <w:rsid w:val="00D01982"/>
    <w:rsid w:val="00D04EBE"/>
    <w:rsid w:val="00D063D7"/>
    <w:rsid w:val="00D0676D"/>
    <w:rsid w:val="00D07CCE"/>
    <w:rsid w:val="00D1294D"/>
    <w:rsid w:val="00D12BFC"/>
    <w:rsid w:val="00D12E23"/>
    <w:rsid w:val="00D12F70"/>
    <w:rsid w:val="00D135AF"/>
    <w:rsid w:val="00D13760"/>
    <w:rsid w:val="00D15494"/>
    <w:rsid w:val="00D157B5"/>
    <w:rsid w:val="00D201E0"/>
    <w:rsid w:val="00D20C04"/>
    <w:rsid w:val="00D20F45"/>
    <w:rsid w:val="00D216F0"/>
    <w:rsid w:val="00D22C3C"/>
    <w:rsid w:val="00D22CE3"/>
    <w:rsid w:val="00D23FEE"/>
    <w:rsid w:val="00D25B59"/>
    <w:rsid w:val="00D26136"/>
    <w:rsid w:val="00D2662A"/>
    <w:rsid w:val="00D26730"/>
    <w:rsid w:val="00D26B8D"/>
    <w:rsid w:val="00D271CF"/>
    <w:rsid w:val="00D275CE"/>
    <w:rsid w:val="00D30D2E"/>
    <w:rsid w:val="00D32145"/>
    <w:rsid w:val="00D32B87"/>
    <w:rsid w:val="00D339E5"/>
    <w:rsid w:val="00D34164"/>
    <w:rsid w:val="00D34761"/>
    <w:rsid w:val="00D34CA7"/>
    <w:rsid w:val="00D358CE"/>
    <w:rsid w:val="00D373FE"/>
    <w:rsid w:val="00D37BAD"/>
    <w:rsid w:val="00D4063F"/>
    <w:rsid w:val="00D41304"/>
    <w:rsid w:val="00D42155"/>
    <w:rsid w:val="00D42969"/>
    <w:rsid w:val="00D42DE2"/>
    <w:rsid w:val="00D43032"/>
    <w:rsid w:val="00D43925"/>
    <w:rsid w:val="00D4452F"/>
    <w:rsid w:val="00D45441"/>
    <w:rsid w:val="00D464F5"/>
    <w:rsid w:val="00D467D5"/>
    <w:rsid w:val="00D47F18"/>
    <w:rsid w:val="00D50869"/>
    <w:rsid w:val="00D50AFA"/>
    <w:rsid w:val="00D50B50"/>
    <w:rsid w:val="00D51727"/>
    <w:rsid w:val="00D517F7"/>
    <w:rsid w:val="00D51809"/>
    <w:rsid w:val="00D51A31"/>
    <w:rsid w:val="00D537A8"/>
    <w:rsid w:val="00D5418F"/>
    <w:rsid w:val="00D56B3F"/>
    <w:rsid w:val="00D574AD"/>
    <w:rsid w:val="00D57833"/>
    <w:rsid w:val="00D5796F"/>
    <w:rsid w:val="00D57BF2"/>
    <w:rsid w:val="00D60F28"/>
    <w:rsid w:val="00D612DA"/>
    <w:rsid w:val="00D627EA"/>
    <w:rsid w:val="00D62DB4"/>
    <w:rsid w:val="00D631B0"/>
    <w:rsid w:val="00D632DC"/>
    <w:rsid w:val="00D634C1"/>
    <w:rsid w:val="00D65B5A"/>
    <w:rsid w:val="00D663AC"/>
    <w:rsid w:val="00D70379"/>
    <w:rsid w:val="00D71304"/>
    <w:rsid w:val="00D7159F"/>
    <w:rsid w:val="00D71FD7"/>
    <w:rsid w:val="00D73BA7"/>
    <w:rsid w:val="00D74198"/>
    <w:rsid w:val="00D7490A"/>
    <w:rsid w:val="00D74C8D"/>
    <w:rsid w:val="00D754F8"/>
    <w:rsid w:val="00D75979"/>
    <w:rsid w:val="00D7600E"/>
    <w:rsid w:val="00D76919"/>
    <w:rsid w:val="00D77291"/>
    <w:rsid w:val="00D77B85"/>
    <w:rsid w:val="00D817D9"/>
    <w:rsid w:val="00D81CBD"/>
    <w:rsid w:val="00D838EC"/>
    <w:rsid w:val="00D83BBC"/>
    <w:rsid w:val="00D83FCE"/>
    <w:rsid w:val="00D843F1"/>
    <w:rsid w:val="00D849FD"/>
    <w:rsid w:val="00D84EE9"/>
    <w:rsid w:val="00D86422"/>
    <w:rsid w:val="00D86A07"/>
    <w:rsid w:val="00D86D7C"/>
    <w:rsid w:val="00D872F0"/>
    <w:rsid w:val="00D91A4B"/>
    <w:rsid w:val="00D91BFA"/>
    <w:rsid w:val="00D92106"/>
    <w:rsid w:val="00D92ED4"/>
    <w:rsid w:val="00D93D35"/>
    <w:rsid w:val="00D94096"/>
    <w:rsid w:val="00D94E0E"/>
    <w:rsid w:val="00D96FBA"/>
    <w:rsid w:val="00D97DD2"/>
    <w:rsid w:val="00D97EE1"/>
    <w:rsid w:val="00DA1A36"/>
    <w:rsid w:val="00DA1CE9"/>
    <w:rsid w:val="00DA2D37"/>
    <w:rsid w:val="00DA30D0"/>
    <w:rsid w:val="00DA4482"/>
    <w:rsid w:val="00DA768C"/>
    <w:rsid w:val="00DA7D93"/>
    <w:rsid w:val="00DB01C3"/>
    <w:rsid w:val="00DB03F7"/>
    <w:rsid w:val="00DB0D4B"/>
    <w:rsid w:val="00DB116A"/>
    <w:rsid w:val="00DB372C"/>
    <w:rsid w:val="00DB494B"/>
    <w:rsid w:val="00DB5218"/>
    <w:rsid w:val="00DB5D55"/>
    <w:rsid w:val="00DB5EEC"/>
    <w:rsid w:val="00DB5EFC"/>
    <w:rsid w:val="00DB79A4"/>
    <w:rsid w:val="00DC0C36"/>
    <w:rsid w:val="00DC1449"/>
    <w:rsid w:val="00DC1A7E"/>
    <w:rsid w:val="00DC1E42"/>
    <w:rsid w:val="00DC429A"/>
    <w:rsid w:val="00DC504E"/>
    <w:rsid w:val="00DC51DA"/>
    <w:rsid w:val="00DC59DD"/>
    <w:rsid w:val="00DC6722"/>
    <w:rsid w:val="00DC77E4"/>
    <w:rsid w:val="00DC7CC8"/>
    <w:rsid w:val="00DC7EEA"/>
    <w:rsid w:val="00DC7F8C"/>
    <w:rsid w:val="00DD0401"/>
    <w:rsid w:val="00DD0C09"/>
    <w:rsid w:val="00DD0F58"/>
    <w:rsid w:val="00DD17AD"/>
    <w:rsid w:val="00DD1850"/>
    <w:rsid w:val="00DD2240"/>
    <w:rsid w:val="00DD2EFD"/>
    <w:rsid w:val="00DD322E"/>
    <w:rsid w:val="00DD3CF8"/>
    <w:rsid w:val="00DD5A9A"/>
    <w:rsid w:val="00DD617E"/>
    <w:rsid w:val="00DE14B7"/>
    <w:rsid w:val="00DE1CBE"/>
    <w:rsid w:val="00DE3566"/>
    <w:rsid w:val="00DE38C2"/>
    <w:rsid w:val="00DE47EE"/>
    <w:rsid w:val="00DE5970"/>
    <w:rsid w:val="00DE5B0C"/>
    <w:rsid w:val="00DE7E84"/>
    <w:rsid w:val="00DF0415"/>
    <w:rsid w:val="00DF12FB"/>
    <w:rsid w:val="00DF1564"/>
    <w:rsid w:val="00DF2CCB"/>
    <w:rsid w:val="00DF3816"/>
    <w:rsid w:val="00DF3986"/>
    <w:rsid w:val="00DF3AD2"/>
    <w:rsid w:val="00DF42B7"/>
    <w:rsid w:val="00DF478E"/>
    <w:rsid w:val="00DF56EA"/>
    <w:rsid w:val="00DF60FF"/>
    <w:rsid w:val="00DF61F5"/>
    <w:rsid w:val="00DF7497"/>
    <w:rsid w:val="00E002A5"/>
    <w:rsid w:val="00E0312A"/>
    <w:rsid w:val="00E04BC5"/>
    <w:rsid w:val="00E04C2A"/>
    <w:rsid w:val="00E069CE"/>
    <w:rsid w:val="00E079DC"/>
    <w:rsid w:val="00E07FB6"/>
    <w:rsid w:val="00E10420"/>
    <w:rsid w:val="00E134D3"/>
    <w:rsid w:val="00E136FD"/>
    <w:rsid w:val="00E15BC5"/>
    <w:rsid w:val="00E15CDB"/>
    <w:rsid w:val="00E16439"/>
    <w:rsid w:val="00E16589"/>
    <w:rsid w:val="00E17FE1"/>
    <w:rsid w:val="00E201E3"/>
    <w:rsid w:val="00E20E0F"/>
    <w:rsid w:val="00E23622"/>
    <w:rsid w:val="00E238AC"/>
    <w:rsid w:val="00E23F0D"/>
    <w:rsid w:val="00E25CA4"/>
    <w:rsid w:val="00E2713F"/>
    <w:rsid w:val="00E276D5"/>
    <w:rsid w:val="00E278C2"/>
    <w:rsid w:val="00E31B33"/>
    <w:rsid w:val="00E32EEE"/>
    <w:rsid w:val="00E333AF"/>
    <w:rsid w:val="00E33B5B"/>
    <w:rsid w:val="00E3434F"/>
    <w:rsid w:val="00E35244"/>
    <w:rsid w:val="00E35314"/>
    <w:rsid w:val="00E35E0E"/>
    <w:rsid w:val="00E3603B"/>
    <w:rsid w:val="00E37C4C"/>
    <w:rsid w:val="00E37FEF"/>
    <w:rsid w:val="00E434E4"/>
    <w:rsid w:val="00E43741"/>
    <w:rsid w:val="00E45BED"/>
    <w:rsid w:val="00E46037"/>
    <w:rsid w:val="00E463F9"/>
    <w:rsid w:val="00E46748"/>
    <w:rsid w:val="00E47F27"/>
    <w:rsid w:val="00E51039"/>
    <w:rsid w:val="00E53C13"/>
    <w:rsid w:val="00E5457F"/>
    <w:rsid w:val="00E55A69"/>
    <w:rsid w:val="00E560B1"/>
    <w:rsid w:val="00E5731A"/>
    <w:rsid w:val="00E57A8A"/>
    <w:rsid w:val="00E57A9E"/>
    <w:rsid w:val="00E60287"/>
    <w:rsid w:val="00E629C8"/>
    <w:rsid w:val="00E63DBF"/>
    <w:rsid w:val="00E66BD7"/>
    <w:rsid w:val="00E66DD5"/>
    <w:rsid w:val="00E679A3"/>
    <w:rsid w:val="00E7105F"/>
    <w:rsid w:val="00E710EB"/>
    <w:rsid w:val="00E719EB"/>
    <w:rsid w:val="00E72481"/>
    <w:rsid w:val="00E72923"/>
    <w:rsid w:val="00E732DB"/>
    <w:rsid w:val="00E73E6C"/>
    <w:rsid w:val="00E74B34"/>
    <w:rsid w:val="00E74F4D"/>
    <w:rsid w:val="00E762F8"/>
    <w:rsid w:val="00E76692"/>
    <w:rsid w:val="00E81C62"/>
    <w:rsid w:val="00E83EC0"/>
    <w:rsid w:val="00E84781"/>
    <w:rsid w:val="00E84B02"/>
    <w:rsid w:val="00E901FE"/>
    <w:rsid w:val="00E9188F"/>
    <w:rsid w:val="00E91AB9"/>
    <w:rsid w:val="00E936DC"/>
    <w:rsid w:val="00EA0BAE"/>
    <w:rsid w:val="00EA2B1E"/>
    <w:rsid w:val="00EA2DE3"/>
    <w:rsid w:val="00EA4027"/>
    <w:rsid w:val="00EA654E"/>
    <w:rsid w:val="00EA6E7C"/>
    <w:rsid w:val="00EA746B"/>
    <w:rsid w:val="00EA76F0"/>
    <w:rsid w:val="00EB176E"/>
    <w:rsid w:val="00EB2517"/>
    <w:rsid w:val="00EB27CA"/>
    <w:rsid w:val="00EB2829"/>
    <w:rsid w:val="00EB2942"/>
    <w:rsid w:val="00EB2CBE"/>
    <w:rsid w:val="00EB39B6"/>
    <w:rsid w:val="00EB39DF"/>
    <w:rsid w:val="00EB48BB"/>
    <w:rsid w:val="00EB7A6A"/>
    <w:rsid w:val="00EC015C"/>
    <w:rsid w:val="00EC08AA"/>
    <w:rsid w:val="00EC2508"/>
    <w:rsid w:val="00EC2606"/>
    <w:rsid w:val="00EC2AD6"/>
    <w:rsid w:val="00EC2E6D"/>
    <w:rsid w:val="00EC31C8"/>
    <w:rsid w:val="00EC43CA"/>
    <w:rsid w:val="00EC4B58"/>
    <w:rsid w:val="00EC5556"/>
    <w:rsid w:val="00ED0833"/>
    <w:rsid w:val="00ED1877"/>
    <w:rsid w:val="00ED3261"/>
    <w:rsid w:val="00ED3EA8"/>
    <w:rsid w:val="00ED4C18"/>
    <w:rsid w:val="00ED52E2"/>
    <w:rsid w:val="00ED5DB5"/>
    <w:rsid w:val="00ED67C8"/>
    <w:rsid w:val="00ED6CB5"/>
    <w:rsid w:val="00ED7FC6"/>
    <w:rsid w:val="00EE09FB"/>
    <w:rsid w:val="00EE12B3"/>
    <w:rsid w:val="00EE15CD"/>
    <w:rsid w:val="00EE1EC1"/>
    <w:rsid w:val="00EE2344"/>
    <w:rsid w:val="00EE2D33"/>
    <w:rsid w:val="00EE3919"/>
    <w:rsid w:val="00EE3D55"/>
    <w:rsid w:val="00EE4262"/>
    <w:rsid w:val="00EE4762"/>
    <w:rsid w:val="00EE49AE"/>
    <w:rsid w:val="00EE5264"/>
    <w:rsid w:val="00EE558E"/>
    <w:rsid w:val="00EE590A"/>
    <w:rsid w:val="00EE63AC"/>
    <w:rsid w:val="00EE7A3E"/>
    <w:rsid w:val="00EF1F51"/>
    <w:rsid w:val="00EF213E"/>
    <w:rsid w:val="00EF2220"/>
    <w:rsid w:val="00EF3113"/>
    <w:rsid w:val="00EF3846"/>
    <w:rsid w:val="00EF4FFF"/>
    <w:rsid w:val="00EF60A8"/>
    <w:rsid w:val="00EF60C5"/>
    <w:rsid w:val="00EF6291"/>
    <w:rsid w:val="00EF6394"/>
    <w:rsid w:val="00EF792B"/>
    <w:rsid w:val="00F00E89"/>
    <w:rsid w:val="00F01866"/>
    <w:rsid w:val="00F02C58"/>
    <w:rsid w:val="00F056C9"/>
    <w:rsid w:val="00F056E9"/>
    <w:rsid w:val="00F076AB"/>
    <w:rsid w:val="00F107B6"/>
    <w:rsid w:val="00F11D58"/>
    <w:rsid w:val="00F13F26"/>
    <w:rsid w:val="00F144B5"/>
    <w:rsid w:val="00F14869"/>
    <w:rsid w:val="00F14B6D"/>
    <w:rsid w:val="00F15FC4"/>
    <w:rsid w:val="00F20B0A"/>
    <w:rsid w:val="00F21517"/>
    <w:rsid w:val="00F219A9"/>
    <w:rsid w:val="00F22008"/>
    <w:rsid w:val="00F221E8"/>
    <w:rsid w:val="00F23297"/>
    <w:rsid w:val="00F2678C"/>
    <w:rsid w:val="00F271F0"/>
    <w:rsid w:val="00F3026C"/>
    <w:rsid w:val="00F3028E"/>
    <w:rsid w:val="00F303E9"/>
    <w:rsid w:val="00F3046D"/>
    <w:rsid w:val="00F30946"/>
    <w:rsid w:val="00F33E5A"/>
    <w:rsid w:val="00F35150"/>
    <w:rsid w:val="00F35D09"/>
    <w:rsid w:val="00F365E8"/>
    <w:rsid w:val="00F36A3E"/>
    <w:rsid w:val="00F40974"/>
    <w:rsid w:val="00F4129B"/>
    <w:rsid w:val="00F42DD6"/>
    <w:rsid w:val="00F4333E"/>
    <w:rsid w:val="00F445A7"/>
    <w:rsid w:val="00F445BB"/>
    <w:rsid w:val="00F4641A"/>
    <w:rsid w:val="00F530CD"/>
    <w:rsid w:val="00F53197"/>
    <w:rsid w:val="00F53528"/>
    <w:rsid w:val="00F53F4F"/>
    <w:rsid w:val="00F542B2"/>
    <w:rsid w:val="00F54A0F"/>
    <w:rsid w:val="00F61D9C"/>
    <w:rsid w:val="00F623FB"/>
    <w:rsid w:val="00F63649"/>
    <w:rsid w:val="00F638B4"/>
    <w:rsid w:val="00F6429B"/>
    <w:rsid w:val="00F6454B"/>
    <w:rsid w:val="00F65803"/>
    <w:rsid w:val="00F65A44"/>
    <w:rsid w:val="00F65C5C"/>
    <w:rsid w:val="00F6659F"/>
    <w:rsid w:val="00F679AA"/>
    <w:rsid w:val="00F71C42"/>
    <w:rsid w:val="00F727F3"/>
    <w:rsid w:val="00F74256"/>
    <w:rsid w:val="00F74EDF"/>
    <w:rsid w:val="00F75065"/>
    <w:rsid w:val="00F7647A"/>
    <w:rsid w:val="00F76D8F"/>
    <w:rsid w:val="00F76E75"/>
    <w:rsid w:val="00F77435"/>
    <w:rsid w:val="00F80349"/>
    <w:rsid w:val="00F81C3C"/>
    <w:rsid w:val="00F81F98"/>
    <w:rsid w:val="00F85B5C"/>
    <w:rsid w:val="00F866A9"/>
    <w:rsid w:val="00F9016E"/>
    <w:rsid w:val="00F903CC"/>
    <w:rsid w:val="00F907EA"/>
    <w:rsid w:val="00F90CDA"/>
    <w:rsid w:val="00F90E66"/>
    <w:rsid w:val="00F91719"/>
    <w:rsid w:val="00F92C34"/>
    <w:rsid w:val="00F93D60"/>
    <w:rsid w:val="00F93D91"/>
    <w:rsid w:val="00F93FDA"/>
    <w:rsid w:val="00F95267"/>
    <w:rsid w:val="00F953F7"/>
    <w:rsid w:val="00FA095B"/>
    <w:rsid w:val="00FA0BA0"/>
    <w:rsid w:val="00FA2B58"/>
    <w:rsid w:val="00FA2D07"/>
    <w:rsid w:val="00FA2DB5"/>
    <w:rsid w:val="00FA352E"/>
    <w:rsid w:val="00FA3D1F"/>
    <w:rsid w:val="00FA5CE5"/>
    <w:rsid w:val="00FA7930"/>
    <w:rsid w:val="00FB0EF8"/>
    <w:rsid w:val="00FB1340"/>
    <w:rsid w:val="00FB14CE"/>
    <w:rsid w:val="00FB33EE"/>
    <w:rsid w:val="00FB48A8"/>
    <w:rsid w:val="00FB55F8"/>
    <w:rsid w:val="00FB5739"/>
    <w:rsid w:val="00FC0A6D"/>
    <w:rsid w:val="00FC0D24"/>
    <w:rsid w:val="00FC15BB"/>
    <w:rsid w:val="00FC1ADF"/>
    <w:rsid w:val="00FC2CA0"/>
    <w:rsid w:val="00FC33E5"/>
    <w:rsid w:val="00FC3A86"/>
    <w:rsid w:val="00FC3B1D"/>
    <w:rsid w:val="00FC558B"/>
    <w:rsid w:val="00FC6163"/>
    <w:rsid w:val="00FC64AD"/>
    <w:rsid w:val="00FC6682"/>
    <w:rsid w:val="00FC6ECD"/>
    <w:rsid w:val="00FC6FFC"/>
    <w:rsid w:val="00FC7165"/>
    <w:rsid w:val="00FC7A06"/>
    <w:rsid w:val="00FD0F1B"/>
    <w:rsid w:val="00FD0FDC"/>
    <w:rsid w:val="00FD1CEB"/>
    <w:rsid w:val="00FD1E13"/>
    <w:rsid w:val="00FD27E9"/>
    <w:rsid w:val="00FD36DA"/>
    <w:rsid w:val="00FD374F"/>
    <w:rsid w:val="00FD40CE"/>
    <w:rsid w:val="00FD41AF"/>
    <w:rsid w:val="00FD4DB4"/>
    <w:rsid w:val="00FD53E7"/>
    <w:rsid w:val="00FD58F7"/>
    <w:rsid w:val="00FD5FF6"/>
    <w:rsid w:val="00FD67C9"/>
    <w:rsid w:val="00FD7F86"/>
    <w:rsid w:val="00FE22B6"/>
    <w:rsid w:val="00FE27A0"/>
    <w:rsid w:val="00FE3696"/>
    <w:rsid w:val="00FE36C0"/>
    <w:rsid w:val="00FE5291"/>
    <w:rsid w:val="00FE52C4"/>
    <w:rsid w:val="00FE5AD9"/>
    <w:rsid w:val="00FE6052"/>
    <w:rsid w:val="00FE6F54"/>
    <w:rsid w:val="00FF0696"/>
    <w:rsid w:val="00FF070A"/>
    <w:rsid w:val="00FF080F"/>
    <w:rsid w:val="00FF15E1"/>
    <w:rsid w:val="00FF33FD"/>
    <w:rsid w:val="00FF3644"/>
    <w:rsid w:val="00FF3CBD"/>
    <w:rsid w:val="00FF48BB"/>
    <w:rsid w:val="00FF505B"/>
    <w:rsid w:val="00FF5226"/>
    <w:rsid w:val="00FF59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707C1"/>
  <w15:docId w15:val="{8F791C12-6A68-406B-86A0-A7D22C06E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6A2"/>
    <w:pPr>
      <w:spacing w:after="0" w:line="240" w:lineRule="auto"/>
    </w:pPr>
    <w:rPr>
      <w:rFonts w:asciiTheme="majorBidi" w:hAnsiTheme="majorBidi"/>
      <w:sz w:val="24"/>
      <w:szCs w:val="24"/>
    </w:rPr>
  </w:style>
  <w:style w:type="paragraph" w:styleId="1">
    <w:name w:val="heading 1"/>
    <w:aliases w:val=" תו"/>
    <w:basedOn w:val="a"/>
    <w:link w:val="10"/>
    <w:qFormat/>
    <w:rsid w:val="006A415B"/>
    <w:pPr>
      <w:numPr>
        <w:numId w:val="1"/>
      </w:numPr>
      <w:bidi/>
      <w:spacing w:line="360" w:lineRule="auto"/>
      <w:ind w:right="340"/>
      <w:jc w:val="both"/>
      <w:outlineLvl w:val="0"/>
    </w:pPr>
    <w:rPr>
      <w:rFonts w:ascii="Times New Roman" w:eastAsia="Times New Roman" w:hAnsi="Times New Roman" w:cs="David"/>
      <w:kern w:val="28"/>
      <w:lang w:eastAsia="he-IL"/>
    </w:rPr>
  </w:style>
  <w:style w:type="paragraph" w:styleId="2">
    <w:name w:val="heading 2"/>
    <w:basedOn w:val="1"/>
    <w:link w:val="20"/>
    <w:qFormat/>
    <w:rsid w:val="006A415B"/>
    <w:pPr>
      <w:numPr>
        <w:ilvl w:val="1"/>
      </w:numPr>
      <w:tabs>
        <w:tab w:val="num" w:pos="360"/>
      </w:tabs>
      <w:ind w:right="680"/>
      <w:outlineLvl w:val="1"/>
    </w:pPr>
  </w:style>
  <w:style w:type="paragraph" w:styleId="3">
    <w:name w:val="heading 3"/>
    <w:basedOn w:val="2"/>
    <w:link w:val="30"/>
    <w:qFormat/>
    <w:rsid w:val="006A415B"/>
    <w:pPr>
      <w:keepNext/>
      <w:numPr>
        <w:ilvl w:val="2"/>
      </w:numPr>
      <w:tabs>
        <w:tab w:val="num" w:pos="360"/>
      </w:tabs>
      <w:ind w:right="1020"/>
      <w:outlineLvl w:val="2"/>
    </w:pPr>
  </w:style>
  <w:style w:type="paragraph" w:styleId="4">
    <w:name w:val="heading 4"/>
    <w:basedOn w:val="3"/>
    <w:link w:val="40"/>
    <w:qFormat/>
    <w:rsid w:val="006A415B"/>
    <w:pPr>
      <w:keepNext w:val="0"/>
      <w:numPr>
        <w:ilvl w:val="3"/>
      </w:numPr>
      <w:tabs>
        <w:tab w:val="num" w:pos="360"/>
      </w:tabs>
      <w:ind w:right="1360"/>
      <w:outlineLvl w:val="3"/>
    </w:pPr>
  </w:style>
  <w:style w:type="paragraph" w:styleId="5">
    <w:name w:val="heading 5"/>
    <w:basedOn w:val="4"/>
    <w:link w:val="50"/>
    <w:qFormat/>
    <w:rsid w:val="006A415B"/>
    <w:pPr>
      <w:numPr>
        <w:ilvl w:val="4"/>
      </w:numPr>
      <w:tabs>
        <w:tab w:val="num" w:pos="360"/>
      </w:tabs>
      <w:ind w:right="2068"/>
      <w:outlineLvl w:val="4"/>
    </w:pPr>
  </w:style>
  <w:style w:type="paragraph" w:styleId="6">
    <w:name w:val="heading 6"/>
    <w:basedOn w:val="a"/>
    <w:next w:val="a"/>
    <w:link w:val="60"/>
    <w:qFormat/>
    <w:rsid w:val="006A415B"/>
    <w:pPr>
      <w:numPr>
        <w:ilvl w:val="5"/>
        <w:numId w:val="1"/>
      </w:numPr>
      <w:bidi/>
      <w:spacing w:before="240" w:after="60" w:line="360" w:lineRule="auto"/>
      <w:ind w:right="2776"/>
      <w:jc w:val="both"/>
      <w:outlineLvl w:val="5"/>
    </w:pPr>
    <w:rPr>
      <w:rFonts w:ascii="Arial" w:eastAsia="Times New Roman" w:hAnsi="Arial" w:cs="Arial"/>
      <w:i/>
      <w:iCs/>
      <w:szCs w:val="22"/>
      <w:lang w:eastAsia="he-IL"/>
    </w:rPr>
  </w:style>
  <w:style w:type="paragraph" w:styleId="7">
    <w:name w:val="heading 7"/>
    <w:basedOn w:val="a"/>
    <w:next w:val="a"/>
    <w:link w:val="70"/>
    <w:qFormat/>
    <w:rsid w:val="006A415B"/>
    <w:pPr>
      <w:numPr>
        <w:ilvl w:val="6"/>
        <w:numId w:val="1"/>
      </w:numPr>
      <w:bidi/>
      <w:spacing w:before="240" w:after="60" w:line="360" w:lineRule="auto"/>
      <w:ind w:right="3484"/>
      <w:jc w:val="both"/>
      <w:outlineLvl w:val="6"/>
    </w:pPr>
    <w:rPr>
      <w:rFonts w:ascii="Arial" w:eastAsia="Times New Roman" w:hAnsi="Arial" w:cs="Arial"/>
      <w:sz w:val="20"/>
      <w:szCs w:val="20"/>
      <w:lang w:eastAsia="he-IL"/>
    </w:rPr>
  </w:style>
  <w:style w:type="paragraph" w:styleId="8">
    <w:name w:val="heading 8"/>
    <w:basedOn w:val="a"/>
    <w:next w:val="a"/>
    <w:link w:val="80"/>
    <w:qFormat/>
    <w:rsid w:val="006A415B"/>
    <w:pPr>
      <w:numPr>
        <w:ilvl w:val="7"/>
        <w:numId w:val="1"/>
      </w:numPr>
      <w:bidi/>
      <w:spacing w:before="240" w:after="60" w:line="360" w:lineRule="auto"/>
      <w:ind w:right="4192"/>
      <w:jc w:val="both"/>
      <w:outlineLvl w:val="7"/>
    </w:pPr>
    <w:rPr>
      <w:rFonts w:ascii="Arial" w:eastAsia="Times New Roman" w:hAnsi="Arial" w:cs="Arial"/>
      <w:i/>
      <w:iCs/>
      <w:sz w:val="20"/>
      <w:szCs w:val="20"/>
      <w:lang w:eastAsia="he-IL"/>
    </w:rPr>
  </w:style>
  <w:style w:type="paragraph" w:styleId="9">
    <w:name w:val="heading 9"/>
    <w:basedOn w:val="a"/>
    <w:next w:val="a"/>
    <w:link w:val="90"/>
    <w:qFormat/>
    <w:rsid w:val="006A415B"/>
    <w:pPr>
      <w:numPr>
        <w:ilvl w:val="8"/>
        <w:numId w:val="1"/>
      </w:numPr>
      <w:bidi/>
      <w:spacing w:before="240" w:after="60" w:line="360" w:lineRule="auto"/>
      <w:ind w:right="4900"/>
      <w:jc w:val="both"/>
      <w:outlineLvl w:val="8"/>
    </w:pPr>
    <w:rPr>
      <w:rFonts w:ascii="Arial" w:eastAsia="Times New Roman" w:hAnsi="Arial" w:cs="Arial"/>
      <w:i/>
      <w:iCs/>
      <w:sz w:val="18"/>
      <w:szCs w:val="18"/>
      <w:lang w:eastAsia="he-I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2DEE"/>
    <w:rPr>
      <w:rFonts w:ascii="Tahoma" w:hAnsi="Tahoma" w:cs="Tahoma"/>
      <w:sz w:val="16"/>
      <w:szCs w:val="16"/>
    </w:rPr>
  </w:style>
  <w:style w:type="character" w:customStyle="1" w:styleId="a4">
    <w:name w:val="טקסט בלונים תו"/>
    <w:basedOn w:val="a0"/>
    <w:link w:val="a3"/>
    <w:uiPriority w:val="99"/>
    <w:semiHidden/>
    <w:rsid w:val="003A2DEE"/>
    <w:rPr>
      <w:rFonts w:ascii="Tahoma" w:hAnsi="Tahoma" w:cs="Tahoma"/>
      <w:sz w:val="16"/>
      <w:szCs w:val="16"/>
    </w:rPr>
  </w:style>
  <w:style w:type="character" w:styleId="a5">
    <w:name w:val="annotation reference"/>
    <w:basedOn w:val="a0"/>
    <w:uiPriority w:val="99"/>
    <w:semiHidden/>
    <w:unhideWhenUsed/>
    <w:rsid w:val="009021F6"/>
    <w:rPr>
      <w:sz w:val="16"/>
      <w:szCs w:val="16"/>
    </w:rPr>
  </w:style>
  <w:style w:type="paragraph" w:styleId="a6">
    <w:name w:val="annotation text"/>
    <w:basedOn w:val="a"/>
    <w:link w:val="a7"/>
    <w:uiPriority w:val="99"/>
    <w:semiHidden/>
    <w:unhideWhenUsed/>
    <w:rsid w:val="009021F6"/>
    <w:rPr>
      <w:sz w:val="20"/>
      <w:szCs w:val="20"/>
    </w:rPr>
  </w:style>
  <w:style w:type="character" w:customStyle="1" w:styleId="a7">
    <w:name w:val="טקסט הערה תו"/>
    <w:basedOn w:val="a0"/>
    <w:link w:val="a6"/>
    <w:uiPriority w:val="99"/>
    <w:semiHidden/>
    <w:rsid w:val="009021F6"/>
    <w:rPr>
      <w:rFonts w:asciiTheme="majorBidi" w:hAnsiTheme="majorBidi"/>
      <w:sz w:val="20"/>
      <w:szCs w:val="20"/>
    </w:rPr>
  </w:style>
  <w:style w:type="paragraph" w:styleId="a8">
    <w:name w:val="annotation subject"/>
    <w:basedOn w:val="a6"/>
    <w:next w:val="a6"/>
    <w:link w:val="a9"/>
    <w:uiPriority w:val="99"/>
    <w:semiHidden/>
    <w:unhideWhenUsed/>
    <w:rsid w:val="009021F6"/>
    <w:rPr>
      <w:b/>
      <w:bCs/>
    </w:rPr>
  </w:style>
  <w:style w:type="character" w:customStyle="1" w:styleId="a9">
    <w:name w:val="נושא הערה תו"/>
    <w:basedOn w:val="a7"/>
    <w:link w:val="a8"/>
    <w:uiPriority w:val="99"/>
    <w:semiHidden/>
    <w:rsid w:val="009021F6"/>
    <w:rPr>
      <w:rFonts w:asciiTheme="majorBidi" w:hAnsiTheme="majorBidi"/>
      <w:b/>
      <w:bCs/>
      <w:sz w:val="20"/>
      <w:szCs w:val="20"/>
    </w:rPr>
  </w:style>
  <w:style w:type="character" w:customStyle="1" w:styleId="10">
    <w:name w:val="כותרת 1 תו"/>
    <w:aliases w:val=" תו תו"/>
    <w:basedOn w:val="a0"/>
    <w:link w:val="1"/>
    <w:rsid w:val="006A415B"/>
    <w:rPr>
      <w:rFonts w:ascii="Times New Roman" w:eastAsia="Times New Roman" w:hAnsi="Times New Roman" w:cs="David"/>
      <w:kern w:val="28"/>
      <w:sz w:val="24"/>
      <w:szCs w:val="24"/>
      <w:lang w:eastAsia="he-IL"/>
    </w:rPr>
  </w:style>
  <w:style w:type="character" w:customStyle="1" w:styleId="20">
    <w:name w:val="כותרת 2 תו"/>
    <w:basedOn w:val="a0"/>
    <w:link w:val="2"/>
    <w:rsid w:val="006A415B"/>
    <w:rPr>
      <w:rFonts w:ascii="Times New Roman" w:eastAsia="Times New Roman" w:hAnsi="Times New Roman" w:cs="David"/>
      <w:kern w:val="28"/>
      <w:sz w:val="24"/>
      <w:szCs w:val="24"/>
      <w:lang w:eastAsia="he-IL"/>
    </w:rPr>
  </w:style>
  <w:style w:type="character" w:customStyle="1" w:styleId="30">
    <w:name w:val="כותרת 3 תו"/>
    <w:basedOn w:val="a0"/>
    <w:link w:val="3"/>
    <w:rsid w:val="006A415B"/>
    <w:rPr>
      <w:rFonts w:ascii="Times New Roman" w:eastAsia="Times New Roman" w:hAnsi="Times New Roman" w:cs="David"/>
      <w:kern w:val="28"/>
      <w:sz w:val="24"/>
      <w:szCs w:val="24"/>
      <w:lang w:eastAsia="he-IL"/>
    </w:rPr>
  </w:style>
  <w:style w:type="character" w:customStyle="1" w:styleId="40">
    <w:name w:val="כותרת 4 תו"/>
    <w:basedOn w:val="a0"/>
    <w:link w:val="4"/>
    <w:rsid w:val="006A415B"/>
    <w:rPr>
      <w:rFonts w:ascii="Times New Roman" w:eastAsia="Times New Roman" w:hAnsi="Times New Roman" w:cs="David"/>
      <w:kern w:val="28"/>
      <w:sz w:val="24"/>
      <w:szCs w:val="24"/>
      <w:lang w:eastAsia="he-IL"/>
    </w:rPr>
  </w:style>
  <w:style w:type="character" w:customStyle="1" w:styleId="50">
    <w:name w:val="כותרת 5 תו"/>
    <w:basedOn w:val="a0"/>
    <w:link w:val="5"/>
    <w:rsid w:val="006A415B"/>
    <w:rPr>
      <w:rFonts w:ascii="Times New Roman" w:eastAsia="Times New Roman" w:hAnsi="Times New Roman" w:cs="David"/>
      <w:kern w:val="28"/>
      <w:sz w:val="24"/>
      <w:szCs w:val="24"/>
      <w:lang w:eastAsia="he-IL"/>
    </w:rPr>
  </w:style>
  <w:style w:type="character" w:customStyle="1" w:styleId="60">
    <w:name w:val="כותרת 6 תו"/>
    <w:basedOn w:val="a0"/>
    <w:link w:val="6"/>
    <w:rsid w:val="006A415B"/>
    <w:rPr>
      <w:rFonts w:ascii="Arial" w:eastAsia="Times New Roman" w:hAnsi="Arial" w:cs="Arial"/>
      <w:i/>
      <w:iCs/>
      <w:sz w:val="24"/>
      <w:lang w:eastAsia="he-IL"/>
    </w:rPr>
  </w:style>
  <w:style w:type="character" w:customStyle="1" w:styleId="70">
    <w:name w:val="כותרת 7 תו"/>
    <w:basedOn w:val="a0"/>
    <w:link w:val="7"/>
    <w:rsid w:val="006A415B"/>
    <w:rPr>
      <w:rFonts w:ascii="Arial" w:eastAsia="Times New Roman" w:hAnsi="Arial" w:cs="Arial"/>
      <w:sz w:val="20"/>
      <w:szCs w:val="20"/>
      <w:lang w:eastAsia="he-IL"/>
    </w:rPr>
  </w:style>
  <w:style w:type="character" w:customStyle="1" w:styleId="80">
    <w:name w:val="כותרת 8 תו"/>
    <w:basedOn w:val="a0"/>
    <w:link w:val="8"/>
    <w:rsid w:val="006A415B"/>
    <w:rPr>
      <w:rFonts w:ascii="Arial" w:eastAsia="Times New Roman" w:hAnsi="Arial" w:cs="Arial"/>
      <w:i/>
      <w:iCs/>
      <w:sz w:val="20"/>
      <w:szCs w:val="20"/>
      <w:lang w:eastAsia="he-IL"/>
    </w:rPr>
  </w:style>
  <w:style w:type="character" w:customStyle="1" w:styleId="90">
    <w:name w:val="כותרת 9 תו"/>
    <w:basedOn w:val="a0"/>
    <w:link w:val="9"/>
    <w:rsid w:val="006A415B"/>
    <w:rPr>
      <w:rFonts w:ascii="Arial" w:eastAsia="Times New Roman" w:hAnsi="Arial" w:cs="Arial"/>
      <w:i/>
      <w:iCs/>
      <w:sz w:val="18"/>
      <w:szCs w:val="18"/>
      <w:lang w:eastAsia="he-IL"/>
    </w:rPr>
  </w:style>
  <w:style w:type="paragraph" w:styleId="aa">
    <w:name w:val="header"/>
    <w:basedOn w:val="a"/>
    <w:link w:val="ab"/>
    <w:rsid w:val="006A415B"/>
    <w:pPr>
      <w:tabs>
        <w:tab w:val="center" w:pos="4153"/>
        <w:tab w:val="right" w:pos="8306"/>
      </w:tabs>
      <w:bidi/>
      <w:spacing w:line="360" w:lineRule="auto"/>
      <w:jc w:val="both"/>
    </w:pPr>
    <w:rPr>
      <w:rFonts w:ascii="Times New Roman" w:eastAsia="Times New Roman" w:hAnsi="Times New Roman" w:cs="David"/>
      <w:lang w:eastAsia="he-IL"/>
    </w:rPr>
  </w:style>
  <w:style w:type="character" w:customStyle="1" w:styleId="ab">
    <w:name w:val="כותרת עליונה תו"/>
    <w:basedOn w:val="a0"/>
    <w:link w:val="aa"/>
    <w:rsid w:val="006A415B"/>
    <w:rPr>
      <w:rFonts w:ascii="Times New Roman" w:eastAsia="Times New Roman" w:hAnsi="Times New Roman" w:cs="David"/>
      <w:sz w:val="24"/>
      <w:szCs w:val="24"/>
      <w:lang w:eastAsia="he-IL"/>
    </w:rPr>
  </w:style>
  <w:style w:type="paragraph" w:styleId="ac">
    <w:name w:val="List Paragraph"/>
    <w:basedOn w:val="a"/>
    <w:uiPriority w:val="34"/>
    <w:qFormat/>
    <w:rsid w:val="006A415B"/>
    <w:pPr>
      <w:bidi/>
      <w:spacing w:line="360" w:lineRule="auto"/>
      <w:ind w:left="720"/>
      <w:contextualSpacing/>
      <w:jc w:val="both"/>
    </w:pPr>
    <w:rPr>
      <w:rFonts w:ascii="Times New Roman" w:eastAsia="Times New Roman" w:hAnsi="Times New Roman" w:cs="David"/>
      <w:lang w:eastAsia="he-IL"/>
    </w:rPr>
  </w:style>
  <w:style w:type="paragraph" w:styleId="ad">
    <w:name w:val="footer"/>
    <w:basedOn w:val="a"/>
    <w:link w:val="ae"/>
    <w:uiPriority w:val="99"/>
    <w:unhideWhenUsed/>
    <w:rsid w:val="006A415B"/>
    <w:pPr>
      <w:tabs>
        <w:tab w:val="center" w:pos="4320"/>
        <w:tab w:val="right" w:pos="8640"/>
      </w:tabs>
    </w:pPr>
  </w:style>
  <w:style w:type="character" w:customStyle="1" w:styleId="ae">
    <w:name w:val="כותרת תחתונה תו"/>
    <w:basedOn w:val="a0"/>
    <w:link w:val="ad"/>
    <w:uiPriority w:val="99"/>
    <w:rsid w:val="006A415B"/>
    <w:rPr>
      <w:rFonts w:asciiTheme="majorBidi" w:hAnsiTheme="majorBidi"/>
      <w:sz w:val="24"/>
      <w:szCs w:val="24"/>
    </w:rPr>
  </w:style>
  <w:style w:type="paragraph" w:customStyle="1" w:styleId="regpar">
    <w:name w:val="regpar"/>
    <w:basedOn w:val="a"/>
    <w:rsid w:val="006A415B"/>
    <w:pPr>
      <w:spacing w:line="300" w:lineRule="exact"/>
      <w:ind w:firstLine="240"/>
      <w:jc w:val="both"/>
    </w:pPr>
    <w:rPr>
      <w:rFonts w:ascii="Times" w:eastAsia="Times New Roman" w:hAnsi="Times" w:cs="Times"/>
    </w:rPr>
  </w:style>
  <w:style w:type="paragraph" w:styleId="af">
    <w:name w:val="Revision"/>
    <w:hidden/>
    <w:uiPriority w:val="99"/>
    <w:semiHidden/>
    <w:rsid w:val="002530C3"/>
    <w:pPr>
      <w:spacing w:after="0" w:line="240" w:lineRule="auto"/>
    </w:pPr>
    <w:rPr>
      <w:rFonts w:asciiTheme="majorBidi" w:hAnsiTheme="majorBidi"/>
      <w:sz w:val="24"/>
      <w:szCs w:val="24"/>
    </w:rPr>
  </w:style>
  <w:style w:type="paragraph" w:styleId="af0">
    <w:name w:val="footnote text"/>
    <w:basedOn w:val="a"/>
    <w:link w:val="af1"/>
    <w:uiPriority w:val="99"/>
    <w:semiHidden/>
    <w:unhideWhenUsed/>
    <w:rsid w:val="00701421"/>
    <w:rPr>
      <w:sz w:val="20"/>
      <w:szCs w:val="20"/>
    </w:rPr>
  </w:style>
  <w:style w:type="character" w:customStyle="1" w:styleId="af1">
    <w:name w:val="טקסט הערת שוליים תו"/>
    <w:basedOn w:val="a0"/>
    <w:link w:val="af0"/>
    <w:uiPriority w:val="99"/>
    <w:semiHidden/>
    <w:rsid w:val="00701421"/>
    <w:rPr>
      <w:rFonts w:asciiTheme="majorBidi" w:hAnsiTheme="majorBidi"/>
      <w:sz w:val="20"/>
      <w:szCs w:val="20"/>
    </w:rPr>
  </w:style>
  <w:style w:type="character" w:styleId="af2">
    <w:name w:val="footnote reference"/>
    <w:basedOn w:val="a0"/>
    <w:uiPriority w:val="99"/>
    <w:semiHidden/>
    <w:unhideWhenUsed/>
    <w:rsid w:val="00701421"/>
    <w:rPr>
      <w:vertAlign w:val="superscript"/>
    </w:rPr>
  </w:style>
  <w:style w:type="character" w:styleId="Hyperlink">
    <w:name w:val="Hyperlink"/>
    <w:basedOn w:val="a0"/>
    <w:uiPriority w:val="99"/>
    <w:unhideWhenUsed/>
    <w:rsid w:val="00B21E55"/>
    <w:rPr>
      <w:color w:val="0563C1"/>
      <w:u w:val="single"/>
    </w:rPr>
  </w:style>
  <w:style w:type="character" w:styleId="FollowedHyperlink">
    <w:name w:val="FollowedHyperlink"/>
    <w:basedOn w:val="a0"/>
    <w:uiPriority w:val="99"/>
    <w:semiHidden/>
    <w:unhideWhenUsed/>
    <w:rsid w:val="006068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10710">
      <w:bodyDiv w:val="1"/>
      <w:marLeft w:val="0"/>
      <w:marRight w:val="0"/>
      <w:marTop w:val="0"/>
      <w:marBottom w:val="0"/>
      <w:divBdr>
        <w:top w:val="none" w:sz="0" w:space="0" w:color="auto"/>
        <w:left w:val="none" w:sz="0" w:space="0" w:color="auto"/>
        <w:bottom w:val="none" w:sz="0" w:space="0" w:color="auto"/>
        <w:right w:val="none" w:sz="0" w:space="0" w:color="auto"/>
      </w:divBdr>
    </w:div>
    <w:div w:id="146978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F44F759-3DAE-4D51-BBA1-2A8C08445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2161</Words>
  <Characters>10807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BOI</Company>
  <LinksUpToDate>false</LinksUpToDate>
  <CharactersWithSpaces>12943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יהודה פאש</dc:creator>
  <cp:lastModifiedBy>לירון דהן</cp:lastModifiedBy>
  <cp:revision>6</cp:revision>
  <cp:lastPrinted>2020-01-09T11:09:00Z</cp:lastPrinted>
  <dcterms:created xsi:type="dcterms:W3CDTF">2024-08-28T12:18:00Z</dcterms:created>
  <dcterms:modified xsi:type="dcterms:W3CDTF">2024-08-28T12:19:00Z</dcterms:modified>
</cp:coreProperties>
</file>