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16"/>
        <w:bidiVisual/>
        <w:tblW w:w="0" w:type="auto"/>
        <w:tblLayout w:type="fixed"/>
        <w:tblLook w:val="0000" w:firstRow="0" w:lastRow="0" w:firstColumn="0" w:lastColumn="0" w:noHBand="0" w:noVBand="0"/>
        <w:tblCaption w:val="כותרת"/>
        <w:tblDescription w:val="כותרת"/>
      </w:tblPr>
      <w:tblGrid>
        <w:gridCol w:w="3343"/>
        <w:gridCol w:w="2596"/>
        <w:gridCol w:w="3591"/>
      </w:tblGrid>
      <w:tr w:rsidR="00917C6D" w:rsidRPr="0086400E" w14:paraId="6093E59E" w14:textId="77777777" w:rsidTr="000D1589">
        <w:tc>
          <w:tcPr>
            <w:tcW w:w="3343" w:type="dxa"/>
            <w:tcBorders>
              <w:top w:val="nil"/>
              <w:left w:val="nil"/>
              <w:bottom w:val="nil"/>
              <w:right w:val="nil"/>
            </w:tcBorders>
            <w:vAlign w:val="center"/>
          </w:tcPr>
          <w:p w14:paraId="0F2EB29B" w14:textId="77777777" w:rsidR="00917C6D" w:rsidRPr="0086400E" w:rsidRDefault="00917C6D" w:rsidP="000D1589">
            <w:pPr>
              <w:ind w:left="97"/>
              <w:rPr>
                <w:rFonts w:ascii="David" w:hAnsi="David" w:cs="David"/>
                <w:b/>
                <w:bCs/>
                <w:sz w:val="28"/>
                <w:szCs w:val="28"/>
              </w:rPr>
            </w:pPr>
            <w:bookmarkStart w:id="0" w:name="_GoBack"/>
            <w:bookmarkEnd w:id="0"/>
            <w:r w:rsidRPr="0086400E">
              <w:rPr>
                <w:rFonts w:ascii="David" w:hAnsi="David" w:cs="David"/>
                <w:b/>
                <w:bCs/>
                <w:sz w:val="28"/>
                <w:szCs w:val="28"/>
                <w:rtl/>
              </w:rPr>
              <w:t>בנק ישראל</w:t>
            </w:r>
          </w:p>
          <w:p w14:paraId="0D869BAF" w14:textId="77777777" w:rsidR="00917C6D" w:rsidRPr="0086400E" w:rsidRDefault="00917C6D" w:rsidP="000D1589">
            <w:pPr>
              <w:ind w:left="97" w:right="-101"/>
              <w:rPr>
                <w:rFonts w:ascii="David" w:hAnsi="David" w:cs="David"/>
              </w:rPr>
            </w:pPr>
            <w:r w:rsidRPr="0086400E">
              <w:rPr>
                <w:rFonts w:ascii="David" w:hAnsi="David" w:cs="David"/>
                <w:rtl/>
              </w:rPr>
              <w:t>דוברות והסברה כלכלית</w:t>
            </w:r>
          </w:p>
        </w:tc>
        <w:tc>
          <w:tcPr>
            <w:tcW w:w="2596" w:type="dxa"/>
            <w:tcBorders>
              <w:top w:val="nil"/>
              <w:left w:val="nil"/>
              <w:bottom w:val="nil"/>
              <w:right w:val="nil"/>
            </w:tcBorders>
            <w:shd w:val="clear" w:color="auto" w:fill="FFFFFF" w:themeFill="background1"/>
          </w:tcPr>
          <w:p w14:paraId="000F44F8" w14:textId="77777777" w:rsidR="00917C6D" w:rsidRPr="0086400E" w:rsidRDefault="00917C6D" w:rsidP="000D1589">
            <w:pPr>
              <w:jc w:val="center"/>
              <w:rPr>
                <w:rFonts w:ascii="David" w:hAnsi="David" w:cs="David"/>
              </w:rPr>
            </w:pPr>
            <w:r w:rsidRPr="0086400E">
              <w:rPr>
                <w:rFonts w:ascii="David" w:hAnsi="David" w:cs="David"/>
                <w:noProof/>
              </w:rPr>
              <w:drawing>
                <wp:inline distT="0" distB="0" distL="0" distR="0" wp14:anchorId="10B0876C" wp14:editId="5F480024">
                  <wp:extent cx="707390" cy="707390"/>
                  <wp:effectExtent l="0" t="0" r="0" b="0"/>
                  <wp:docPr id="5" name="תמונה 5" descr="לוגו בנק ישראל" title="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pic:spPr>
                      </pic:pic>
                    </a:graphicData>
                  </a:graphic>
                </wp:inline>
              </w:drawing>
            </w:r>
          </w:p>
        </w:tc>
        <w:tc>
          <w:tcPr>
            <w:tcW w:w="3591" w:type="dxa"/>
            <w:tcBorders>
              <w:top w:val="nil"/>
              <w:left w:val="nil"/>
              <w:bottom w:val="nil"/>
              <w:right w:val="nil"/>
            </w:tcBorders>
            <w:vAlign w:val="center"/>
          </w:tcPr>
          <w:p w14:paraId="64D5A101" w14:textId="45C5B5E0" w:rsidR="00917C6D" w:rsidRPr="0086400E" w:rsidRDefault="00917C6D" w:rsidP="008255BB">
            <w:pPr>
              <w:spacing w:line="480" w:lineRule="auto"/>
              <w:jc w:val="right"/>
              <w:rPr>
                <w:rFonts w:ascii="David" w:hAnsi="David" w:cs="David"/>
              </w:rPr>
            </w:pPr>
            <w:r w:rsidRPr="0086400E">
              <w:rPr>
                <w:rFonts w:ascii="David" w:hAnsi="David" w:cs="David"/>
                <w:rtl/>
              </w:rPr>
              <w:t xml:space="preserve">‏ירושלים, </w:t>
            </w:r>
            <w:r w:rsidR="008255BB">
              <w:rPr>
                <w:rFonts w:ascii="David" w:hAnsi="David" w:cs="David" w:hint="cs"/>
                <w:rtl/>
              </w:rPr>
              <w:t>י"ב בטבת</w:t>
            </w:r>
            <w:r w:rsidRPr="0086400E">
              <w:rPr>
                <w:rFonts w:ascii="David" w:hAnsi="David" w:cs="David"/>
                <w:rtl/>
              </w:rPr>
              <w:t>, תש</w:t>
            </w:r>
            <w:r w:rsidR="008255BB">
              <w:rPr>
                <w:rFonts w:ascii="David" w:hAnsi="David" w:cs="David" w:hint="cs"/>
                <w:rtl/>
              </w:rPr>
              <w:t>"ף</w:t>
            </w:r>
          </w:p>
          <w:p w14:paraId="728E8512" w14:textId="074B6B45" w:rsidR="00917C6D" w:rsidRPr="0086400E" w:rsidRDefault="008255BB" w:rsidP="00EC3A5A">
            <w:pPr>
              <w:spacing w:line="480" w:lineRule="auto"/>
              <w:jc w:val="right"/>
              <w:rPr>
                <w:rFonts w:ascii="David" w:hAnsi="David" w:cs="David"/>
                <w:rtl/>
              </w:rPr>
            </w:pPr>
            <w:r>
              <w:rPr>
                <w:rFonts w:ascii="David" w:hAnsi="David" w:cs="David" w:hint="cs"/>
                <w:rtl/>
              </w:rPr>
              <w:t>9</w:t>
            </w:r>
            <w:r w:rsidR="00917C6D" w:rsidRPr="0086400E">
              <w:rPr>
                <w:rFonts w:ascii="David" w:hAnsi="David" w:cs="David"/>
                <w:rtl/>
              </w:rPr>
              <w:t xml:space="preserve"> ב</w:t>
            </w:r>
            <w:r w:rsidR="00EC3A5A" w:rsidRPr="0086400E">
              <w:rPr>
                <w:rFonts w:ascii="David" w:hAnsi="David" w:cs="David"/>
                <w:rtl/>
              </w:rPr>
              <w:t>ינואר</w:t>
            </w:r>
            <w:r w:rsidR="00917C6D" w:rsidRPr="0086400E">
              <w:rPr>
                <w:rFonts w:ascii="David" w:hAnsi="David" w:cs="David"/>
                <w:rtl/>
              </w:rPr>
              <w:t xml:space="preserve"> 20</w:t>
            </w:r>
            <w:r w:rsidR="00EC3A5A" w:rsidRPr="0086400E">
              <w:rPr>
                <w:rFonts w:ascii="David" w:hAnsi="David" w:cs="David"/>
                <w:rtl/>
              </w:rPr>
              <w:t>20</w:t>
            </w:r>
          </w:p>
        </w:tc>
      </w:tr>
    </w:tbl>
    <w:p w14:paraId="24DCD5C3" w14:textId="77777777" w:rsidR="00917C6D" w:rsidRPr="0086400E" w:rsidRDefault="00917C6D" w:rsidP="00917C6D">
      <w:pPr>
        <w:ind w:left="113"/>
        <w:rPr>
          <w:rFonts w:ascii="David" w:hAnsi="David" w:cs="David"/>
          <w:rtl/>
        </w:rPr>
      </w:pPr>
    </w:p>
    <w:p w14:paraId="47015AE1" w14:textId="77777777" w:rsidR="00917C6D" w:rsidRPr="0086400E" w:rsidRDefault="00917C6D" w:rsidP="00917C6D">
      <w:pPr>
        <w:ind w:left="113"/>
        <w:rPr>
          <w:rFonts w:ascii="David" w:hAnsi="David" w:cs="David"/>
          <w:rtl/>
        </w:rPr>
      </w:pPr>
      <w:r w:rsidRPr="0086400E">
        <w:rPr>
          <w:rFonts w:ascii="David" w:hAnsi="David" w:cs="David"/>
          <w:rtl/>
        </w:rPr>
        <w:t xml:space="preserve">הודעה לעיתונות: </w:t>
      </w:r>
    </w:p>
    <w:p w14:paraId="4826ECAE" w14:textId="77777777" w:rsidR="00917C6D" w:rsidRPr="0086400E" w:rsidRDefault="00917C6D" w:rsidP="00EC3A5A">
      <w:pPr>
        <w:pStyle w:val="a6"/>
        <w:spacing w:after="0" w:line="240" w:lineRule="auto"/>
        <w:ind w:left="113"/>
        <w:rPr>
          <w:rFonts w:ascii="David" w:hAnsi="David" w:cs="David"/>
          <w:rtl/>
        </w:rPr>
      </w:pPr>
      <w:r w:rsidRPr="0086400E">
        <w:rPr>
          <w:rFonts w:ascii="David" w:hAnsi="David" w:cs="David"/>
          <w:rtl/>
        </w:rPr>
        <w:t xml:space="preserve">התחזית המקרו-כלכלית של חטיבת המחקר, </w:t>
      </w:r>
      <w:r w:rsidR="00EC3A5A" w:rsidRPr="0086400E">
        <w:rPr>
          <w:rFonts w:ascii="David" w:hAnsi="David" w:cs="David"/>
          <w:rtl/>
        </w:rPr>
        <w:t>ינואר</w:t>
      </w:r>
      <w:r w:rsidRPr="0086400E">
        <w:rPr>
          <w:rFonts w:ascii="David" w:hAnsi="David" w:cs="David"/>
          <w:rtl/>
        </w:rPr>
        <w:t xml:space="preserve"> 20</w:t>
      </w:r>
      <w:r w:rsidR="00EC3A5A" w:rsidRPr="0086400E">
        <w:rPr>
          <w:rFonts w:ascii="David" w:hAnsi="David" w:cs="David"/>
          <w:rtl/>
        </w:rPr>
        <w:t>20</w:t>
      </w:r>
    </w:p>
    <w:p w14:paraId="1852BAE3" w14:textId="77777777" w:rsidR="00917C6D" w:rsidRPr="0086400E" w:rsidRDefault="00917C6D" w:rsidP="00917C6D">
      <w:pPr>
        <w:pStyle w:val="1"/>
        <w:ind w:left="113"/>
        <w:rPr>
          <w:rFonts w:ascii="David" w:hAnsi="David" w:cs="David"/>
          <w:rtl/>
        </w:rPr>
      </w:pPr>
      <w:r w:rsidRPr="0086400E">
        <w:rPr>
          <w:rFonts w:ascii="David" w:hAnsi="David" w:cs="David"/>
          <w:rtl/>
        </w:rPr>
        <w:t>תמצית</w:t>
      </w:r>
    </w:p>
    <w:p w14:paraId="38D84A9E" w14:textId="1FAC1457" w:rsidR="00917C6D" w:rsidRPr="0086400E" w:rsidRDefault="00917C6D" w:rsidP="000E232F">
      <w:pPr>
        <w:ind w:left="113"/>
        <w:rPr>
          <w:rFonts w:ascii="David" w:hAnsi="David" w:cs="David"/>
          <w:rtl/>
        </w:rPr>
      </w:pPr>
      <w:r w:rsidRPr="0086400E">
        <w:rPr>
          <w:rFonts w:ascii="David" w:hAnsi="David" w:cs="David"/>
          <w:rtl/>
        </w:rPr>
        <w:t>מסמך זה מציג את התחזית המקרו-כלכלית שחטיבת המחקר בבנק ישראל גיבשה ב</w:t>
      </w:r>
      <w:r w:rsidR="008A4862">
        <w:rPr>
          <w:rFonts w:ascii="David" w:hAnsi="David" w:cs="David" w:hint="cs"/>
          <w:rtl/>
        </w:rPr>
        <w:t>ינואר</w:t>
      </w:r>
      <w:r w:rsidRPr="0086400E">
        <w:rPr>
          <w:rFonts w:ascii="David" w:hAnsi="David" w:cs="David"/>
          <w:rtl/>
        </w:rPr>
        <w:t xml:space="preserve"> 20</w:t>
      </w:r>
      <w:r w:rsidR="008A4862">
        <w:rPr>
          <w:rFonts w:ascii="David" w:hAnsi="David" w:cs="David" w:hint="cs"/>
          <w:rtl/>
        </w:rPr>
        <w:t>20</w:t>
      </w:r>
      <w:r w:rsidRPr="0086400E">
        <w:rPr>
          <w:rStyle w:val="a5"/>
          <w:rFonts w:ascii="David" w:hAnsi="David" w:cs="David"/>
          <w:rtl/>
        </w:rPr>
        <w:footnoteReference w:id="1"/>
      </w:r>
      <w:r w:rsidRPr="0086400E">
        <w:rPr>
          <w:rFonts w:ascii="David" w:hAnsi="David" w:cs="David"/>
          <w:rtl/>
        </w:rPr>
        <w:t xml:space="preserve"> בנוגע למשתני המקרו העיקריים – התוצר, האינפלציה והריבית.</w:t>
      </w:r>
      <w:r w:rsidR="00A42606">
        <w:rPr>
          <w:rFonts w:ascii="David" w:hAnsi="David" w:cs="David" w:hint="cs"/>
          <w:rtl/>
        </w:rPr>
        <w:t xml:space="preserve"> </w:t>
      </w:r>
      <w:r w:rsidR="007E4236">
        <w:rPr>
          <w:rFonts w:ascii="David" w:hAnsi="David" w:cs="David" w:hint="cs"/>
          <w:rtl/>
        </w:rPr>
        <w:t>על פי התחזית, התוצר צפוי לצמוח ב</w:t>
      </w:r>
      <w:r w:rsidR="00576C91">
        <w:rPr>
          <w:rFonts w:ascii="David" w:hAnsi="David" w:cs="David" w:hint="cs"/>
          <w:rtl/>
        </w:rPr>
        <w:t>שיעור של 2.9</w:t>
      </w:r>
      <w:r w:rsidR="007E4236">
        <w:rPr>
          <w:rFonts w:ascii="David" w:hAnsi="David" w:cs="David" w:hint="cs"/>
          <w:rtl/>
        </w:rPr>
        <w:t xml:space="preserve">% ב-2020 </w:t>
      </w:r>
      <w:r w:rsidR="007E4236">
        <w:rPr>
          <w:rFonts w:ascii="David" w:hAnsi="David" w:cs="David"/>
          <w:rtl/>
        </w:rPr>
        <w:t>–</w:t>
      </w:r>
      <w:r w:rsidR="000E232F">
        <w:rPr>
          <w:rFonts w:ascii="David" w:hAnsi="David" w:cs="David" w:hint="cs"/>
          <w:rtl/>
        </w:rPr>
        <w:t xml:space="preserve"> מ</w:t>
      </w:r>
      <w:r w:rsidR="00576C91">
        <w:rPr>
          <w:rFonts w:ascii="David" w:hAnsi="David" w:cs="David" w:hint="cs"/>
          <w:rtl/>
        </w:rPr>
        <w:t>עט נמוך</w:t>
      </w:r>
      <w:r w:rsidR="007E4236">
        <w:rPr>
          <w:rFonts w:ascii="David" w:hAnsi="David" w:cs="David" w:hint="cs"/>
          <w:rtl/>
        </w:rPr>
        <w:t xml:space="preserve"> מהתחזית הקודמת. ב-2021 התוצר צפוי לצמוח ב-3.</w:t>
      </w:r>
      <w:r w:rsidR="00F54EB8">
        <w:rPr>
          <w:rFonts w:ascii="David" w:hAnsi="David" w:cs="David" w:hint="cs"/>
          <w:rtl/>
        </w:rPr>
        <w:t>2</w:t>
      </w:r>
      <w:r w:rsidR="007E4236">
        <w:rPr>
          <w:rFonts w:ascii="David" w:hAnsi="David" w:cs="David" w:hint="cs"/>
          <w:rtl/>
        </w:rPr>
        <w:t>%.</w:t>
      </w:r>
      <w:r w:rsidRPr="0086400E">
        <w:rPr>
          <w:rFonts w:ascii="David" w:hAnsi="David" w:cs="David"/>
          <w:rtl/>
        </w:rPr>
        <w:t xml:space="preserve"> </w:t>
      </w:r>
      <w:r w:rsidR="00576C91">
        <w:rPr>
          <w:rFonts w:ascii="David" w:hAnsi="David" w:cs="David" w:hint="cs"/>
          <w:rtl/>
        </w:rPr>
        <w:t xml:space="preserve">שיעור </w:t>
      </w:r>
      <w:r w:rsidRPr="0086400E">
        <w:rPr>
          <w:rFonts w:ascii="David" w:hAnsi="David" w:cs="David"/>
          <w:rtl/>
        </w:rPr>
        <w:t xml:space="preserve">האינפלציה </w:t>
      </w:r>
      <w:r w:rsidR="008A2B95">
        <w:rPr>
          <w:rFonts w:ascii="David" w:hAnsi="David" w:cs="David" w:hint="cs"/>
          <w:rtl/>
        </w:rPr>
        <w:t>ב</w:t>
      </w:r>
      <w:r w:rsidR="00B60259">
        <w:rPr>
          <w:rFonts w:ascii="David" w:hAnsi="David" w:cs="David" w:hint="cs"/>
          <w:rtl/>
        </w:rPr>
        <w:t>-</w:t>
      </w:r>
      <w:r w:rsidRPr="0086400E">
        <w:rPr>
          <w:rFonts w:ascii="David" w:hAnsi="David" w:cs="David"/>
          <w:rtl/>
        </w:rPr>
        <w:t>2020</w:t>
      </w:r>
      <w:r w:rsidR="008A2B95">
        <w:rPr>
          <w:rFonts w:ascii="David" w:hAnsi="David" w:cs="David" w:hint="cs"/>
          <w:rtl/>
        </w:rPr>
        <w:t xml:space="preserve"> </w:t>
      </w:r>
      <w:r w:rsidR="00B60259">
        <w:rPr>
          <w:rFonts w:ascii="David" w:hAnsi="David" w:cs="David" w:hint="cs"/>
          <w:rtl/>
        </w:rPr>
        <w:t xml:space="preserve">צפוי לעמוד על 1.0%, נמוך מהתחזית הקודמת, </w:t>
      </w:r>
      <w:r w:rsidR="008A2B95">
        <w:rPr>
          <w:rFonts w:ascii="David" w:hAnsi="David" w:cs="David" w:hint="cs"/>
          <w:rtl/>
        </w:rPr>
        <w:t xml:space="preserve">וב-2021 </w:t>
      </w:r>
      <w:r w:rsidR="00B60259">
        <w:rPr>
          <w:rFonts w:ascii="David" w:hAnsi="David" w:cs="David" w:hint="cs"/>
          <w:rtl/>
        </w:rPr>
        <w:t>ה</w:t>
      </w:r>
      <w:r w:rsidR="00576C91">
        <w:rPr>
          <w:rFonts w:ascii="David" w:hAnsi="David" w:cs="David" w:hint="cs"/>
          <w:rtl/>
        </w:rPr>
        <w:t>ו</w:t>
      </w:r>
      <w:r w:rsidR="00B60259">
        <w:rPr>
          <w:rFonts w:ascii="David" w:hAnsi="David" w:cs="David" w:hint="cs"/>
          <w:rtl/>
        </w:rPr>
        <w:t xml:space="preserve">א </w:t>
      </w:r>
      <w:r w:rsidR="008A2B95">
        <w:rPr>
          <w:rFonts w:ascii="David" w:hAnsi="David" w:cs="David" w:hint="cs"/>
          <w:rtl/>
        </w:rPr>
        <w:t xml:space="preserve">צפוי לעמוד </w:t>
      </w:r>
      <w:r w:rsidR="008A2B95" w:rsidRPr="008A5921">
        <w:rPr>
          <w:rFonts w:ascii="David" w:hAnsi="David" w:cs="David" w:hint="cs"/>
          <w:rtl/>
        </w:rPr>
        <w:t>על 1.4%</w:t>
      </w:r>
      <w:r w:rsidRPr="008A5921">
        <w:rPr>
          <w:rFonts w:ascii="David" w:hAnsi="David" w:cs="David"/>
          <w:rtl/>
        </w:rPr>
        <w:t xml:space="preserve">. </w:t>
      </w:r>
      <w:r w:rsidR="007E4236" w:rsidRPr="008A5921">
        <w:rPr>
          <w:rFonts w:ascii="David" w:hAnsi="David" w:cs="David" w:hint="cs"/>
          <w:rtl/>
        </w:rPr>
        <w:t xml:space="preserve">על פי התחזית, </w:t>
      </w:r>
      <w:r w:rsidRPr="008A5921">
        <w:rPr>
          <w:rFonts w:ascii="David" w:hAnsi="David" w:cs="David"/>
          <w:rtl/>
        </w:rPr>
        <w:t xml:space="preserve">הריבית המוניטרית צפויה </w:t>
      </w:r>
      <w:r w:rsidR="00DC7131" w:rsidRPr="008A5921">
        <w:rPr>
          <w:rFonts w:ascii="David" w:hAnsi="David" w:cs="David" w:hint="cs"/>
          <w:rtl/>
        </w:rPr>
        <w:t>לעמוד על</w:t>
      </w:r>
      <w:r w:rsidR="002A4FD2">
        <w:rPr>
          <w:rFonts w:ascii="David" w:hAnsi="David" w:cs="David" w:hint="cs"/>
          <w:rtl/>
        </w:rPr>
        <w:t xml:space="preserve"> </w:t>
      </w:r>
      <w:r w:rsidRPr="008A5921">
        <w:rPr>
          <w:rFonts w:ascii="David" w:hAnsi="David" w:cs="David"/>
          <w:rtl/>
        </w:rPr>
        <w:t>0.</w:t>
      </w:r>
      <w:r w:rsidR="008A2B95" w:rsidRPr="008A5921">
        <w:rPr>
          <w:rFonts w:ascii="David" w:hAnsi="David" w:cs="David" w:hint="cs"/>
          <w:rtl/>
        </w:rPr>
        <w:t>25</w:t>
      </w:r>
      <w:r w:rsidRPr="008A5921">
        <w:rPr>
          <w:rFonts w:ascii="David" w:hAnsi="David" w:cs="David"/>
          <w:rtl/>
        </w:rPr>
        <w:t xml:space="preserve">% </w:t>
      </w:r>
      <w:r w:rsidR="00677FE5">
        <w:rPr>
          <w:rFonts w:ascii="David" w:hAnsi="David" w:cs="David" w:hint="cs"/>
          <w:rtl/>
        </w:rPr>
        <w:t xml:space="preserve">או 0.1% </w:t>
      </w:r>
      <w:r w:rsidR="00B60259" w:rsidRPr="008A5921">
        <w:rPr>
          <w:rFonts w:ascii="David" w:hAnsi="David" w:cs="David" w:hint="cs"/>
          <w:rtl/>
        </w:rPr>
        <w:t>בעוד שנה</w:t>
      </w:r>
      <w:r w:rsidRPr="008A5921">
        <w:rPr>
          <w:rFonts w:ascii="David" w:hAnsi="David" w:cs="David"/>
          <w:rtl/>
        </w:rPr>
        <w:t>.</w:t>
      </w:r>
    </w:p>
    <w:p w14:paraId="5CB3530F" w14:textId="77777777" w:rsidR="00917C6D" w:rsidRPr="0086400E" w:rsidRDefault="00917C6D" w:rsidP="00917C6D">
      <w:pPr>
        <w:pStyle w:val="1"/>
        <w:ind w:left="113"/>
        <w:rPr>
          <w:rFonts w:ascii="David" w:hAnsi="David" w:cs="David"/>
          <w:rtl/>
        </w:rPr>
      </w:pPr>
      <w:r w:rsidRPr="0086400E">
        <w:rPr>
          <w:rFonts w:ascii="David" w:hAnsi="David" w:cs="David"/>
          <w:rtl/>
        </w:rPr>
        <w:t>התחזית</w:t>
      </w:r>
    </w:p>
    <w:p w14:paraId="6686411C" w14:textId="596FFDFB" w:rsidR="00917C6D" w:rsidRPr="0086400E" w:rsidRDefault="00B60259" w:rsidP="00B60259">
      <w:pPr>
        <w:ind w:left="113"/>
        <w:rPr>
          <w:rFonts w:ascii="David" w:hAnsi="David" w:cs="David"/>
          <w:rtl/>
        </w:rPr>
      </w:pPr>
      <w:r w:rsidRPr="00885F33">
        <w:rPr>
          <w:rFonts w:ascii="David" w:hAnsi="David" w:cs="David" w:hint="cs"/>
          <w:rtl/>
        </w:rPr>
        <w:t xml:space="preserve">חטיבת המחקר של בנק ישראל עורכת בכל רבעון תחזית מקרו-כלכלית </w:t>
      </w:r>
      <w:r>
        <w:rPr>
          <w:rFonts w:ascii="David" w:hAnsi="David" w:cs="David" w:hint="cs"/>
          <w:rtl/>
        </w:rPr>
        <w:t>ש</w:t>
      </w:r>
      <w:r w:rsidRPr="00885F33">
        <w:rPr>
          <w:rFonts w:ascii="David" w:hAnsi="David" w:cs="David" w:hint="cs"/>
          <w:rtl/>
        </w:rPr>
        <w:t>מתבססת על כמה מודלים, על מקורות מידע שונים ועל הערכות שיפוטיות</w:t>
      </w:r>
      <w:r w:rsidR="00917C6D" w:rsidRPr="0086400E">
        <w:rPr>
          <w:rFonts w:ascii="David" w:hAnsi="David" w:cs="David"/>
          <w:rtl/>
        </w:rPr>
        <w:t xml:space="preserve">. </w:t>
      </w:r>
      <w:r w:rsidRPr="00885F33">
        <w:rPr>
          <w:rFonts w:ascii="David" w:hAnsi="David" w:cs="David" w:hint="cs"/>
          <w:rtl/>
        </w:rPr>
        <w:t>בתהליך זה יש תפקיד מרכזי למודל ה-</w:t>
      </w:r>
      <w:r w:rsidRPr="00885F33">
        <w:rPr>
          <w:rFonts w:ascii="David" w:hAnsi="David" w:cs="David"/>
        </w:rPr>
        <w:t>DSGE</w:t>
      </w:r>
      <w:r w:rsidRPr="00885F33">
        <w:rPr>
          <w:rFonts w:ascii="David" w:hAnsi="David" w:cs="David" w:hint="cs"/>
          <w:rtl/>
        </w:rPr>
        <w:t xml:space="preserve"> (</w:t>
      </w:r>
      <w:r w:rsidRPr="00885F33">
        <w:rPr>
          <w:rFonts w:ascii="David" w:hAnsi="David" w:cs="David"/>
        </w:rPr>
        <w:t>Dynamic Stochastic General Equilibrium</w:t>
      </w:r>
      <w:r w:rsidRPr="00885F33">
        <w:rPr>
          <w:rFonts w:ascii="David" w:hAnsi="David" w:cs="David" w:hint="cs"/>
          <w:rtl/>
        </w:rPr>
        <w:t xml:space="preserve">) שפותח בחטיבת המחקר </w:t>
      </w:r>
      <w:r w:rsidRPr="00885F33">
        <w:rPr>
          <w:rFonts w:ascii="David" w:hAnsi="David" w:cs="David"/>
          <w:rtl/>
        </w:rPr>
        <w:t>–</w:t>
      </w:r>
      <w:r w:rsidRPr="00885F33">
        <w:rPr>
          <w:rFonts w:ascii="David" w:hAnsi="David" w:cs="David" w:hint="cs"/>
          <w:rtl/>
        </w:rPr>
        <w:t xml:space="preserve"> מודל מבני שמבוסס על יסודות מיקרו-כלכליים</w:t>
      </w:r>
      <w:r w:rsidRPr="0086400E">
        <w:rPr>
          <w:rStyle w:val="a5"/>
          <w:rFonts w:ascii="David" w:hAnsi="David" w:cs="David"/>
          <w:rtl/>
        </w:rPr>
        <w:t xml:space="preserve"> </w:t>
      </w:r>
      <w:r w:rsidR="00917C6D" w:rsidRPr="0086400E">
        <w:rPr>
          <w:rStyle w:val="a5"/>
          <w:rFonts w:ascii="David" w:hAnsi="David" w:cs="David"/>
          <w:rtl/>
        </w:rPr>
        <w:footnoteReference w:id="2"/>
      </w:r>
      <w:r w:rsidR="00917C6D" w:rsidRPr="0086400E">
        <w:rPr>
          <w:rFonts w:ascii="David" w:hAnsi="David" w:cs="David"/>
          <w:rtl/>
        </w:rPr>
        <w:t xml:space="preserve">. </w:t>
      </w:r>
      <w:r w:rsidRPr="00885F33">
        <w:rPr>
          <w:rFonts w:ascii="David" w:hAnsi="David" w:cs="David" w:hint="cs"/>
          <w:rtl/>
        </w:rPr>
        <w:t>המודל מספק מסגרת לניתוח הכוחות המשפיעים על הכלכלה ומאפשר לגבש את המידע מהמקורות השונים לכדי תחזית מקרו-כלכלית למשתנים ריאליים ונומינליים, המתאפיינת בעקביות פנימית ובסיפור כלכלי.</w:t>
      </w:r>
      <w:r w:rsidR="00917C6D" w:rsidRPr="0086400E">
        <w:rPr>
          <w:rFonts w:ascii="David" w:hAnsi="David" w:cs="David"/>
          <w:rtl/>
        </w:rPr>
        <w:t xml:space="preserve"> </w:t>
      </w:r>
    </w:p>
    <w:p w14:paraId="477CC722" w14:textId="77777777" w:rsidR="00917C6D" w:rsidRPr="0086400E" w:rsidRDefault="00917C6D" w:rsidP="00917C6D">
      <w:pPr>
        <w:pStyle w:val="2"/>
        <w:ind w:left="113"/>
        <w:rPr>
          <w:rFonts w:ascii="David" w:hAnsi="David" w:cs="David"/>
        </w:rPr>
      </w:pPr>
      <w:r w:rsidRPr="0086400E">
        <w:rPr>
          <w:rFonts w:ascii="David" w:hAnsi="David" w:cs="David"/>
          <w:rtl/>
        </w:rPr>
        <w:t>הסביבה העולמית</w:t>
      </w:r>
    </w:p>
    <w:p w14:paraId="18F035C7" w14:textId="6FBB3FC5" w:rsidR="00917C6D" w:rsidRPr="0086400E" w:rsidRDefault="00917C6D" w:rsidP="00FB16D3">
      <w:pPr>
        <w:ind w:left="113"/>
        <w:rPr>
          <w:rFonts w:ascii="David" w:hAnsi="David" w:cs="David"/>
          <w:rtl/>
        </w:rPr>
      </w:pPr>
      <w:r w:rsidRPr="0086400E">
        <w:rPr>
          <w:rFonts w:ascii="David" w:hAnsi="David" w:cs="David"/>
          <w:rtl/>
        </w:rPr>
        <w:t>הערכותינו לגבי ההתפתחויות בסביבה העולמית מתבססות בעיקרן על התחזיות שמגבשים מוסדות בין-לאומיים ובתי השקעות זרים.</w:t>
      </w:r>
      <w:r w:rsidR="00B60259">
        <w:rPr>
          <w:rFonts w:ascii="David" w:hAnsi="David" w:cs="David" w:hint="cs"/>
          <w:rtl/>
        </w:rPr>
        <w:t xml:space="preserve"> תחזית </w:t>
      </w:r>
      <w:r w:rsidR="002473B8">
        <w:rPr>
          <w:rFonts w:ascii="David" w:hAnsi="David" w:cs="David" w:hint="cs"/>
          <w:rtl/>
        </w:rPr>
        <w:t xml:space="preserve">צמיחת </w:t>
      </w:r>
      <w:r w:rsidR="00B60259" w:rsidRPr="0086400E">
        <w:rPr>
          <w:rFonts w:ascii="David" w:hAnsi="David" w:cs="David"/>
          <w:rtl/>
        </w:rPr>
        <w:t xml:space="preserve">יבוא </w:t>
      </w:r>
      <w:r w:rsidR="00B60259">
        <w:rPr>
          <w:rFonts w:ascii="David" w:hAnsi="David" w:cs="David" w:hint="cs"/>
          <w:rtl/>
        </w:rPr>
        <w:t>המדינות המפותחות</w:t>
      </w:r>
      <w:r w:rsidR="00B60259" w:rsidRPr="0086400E">
        <w:rPr>
          <w:rFonts w:ascii="David" w:hAnsi="David" w:cs="David"/>
          <w:rtl/>
        </w:rPr>
        <w:t xml:space="preserve"> בשנת 20</w:t>
      </w:r>
      <w:r w:rsidR="00B60259">
        <w:rPr>
          <w:rFonts w:ascii="David" w:hAnsi="David" w:cs="David" w:hint="cs"/>
          <w:rtl/>
        </w:rPr>
        <w:t>20</w:t>
      </w:r>
      <w:r w:rsidR="00B60259" w:rsidRPr="0086400E">
        <w:rPr>
          <w:rFonts w:ascii="David" w:hAnsi="David" w:cs="David"/>
          <w:rtl/>
        </w:rPr>
        <w:t xml:space="preserve"> </w:t>
      </w:r>
      <w:r w:rsidR="00B60259">
        <w:rPr>
          <w:rFonts w:ascii="David" w:hAnsi="David" w:cs="David" w:hint="cs"/>
          <w:rtl/>
        </w:rPr>
        <w:t>הופחתה ל</w:t>
      </w:r>
      <w:r w:rsidR="00B60259" w:rsidRPr="0086400E">
        <w:rPr>
          <w:rFonts w:ascii="David" w:hAnsi="David" w:cs="David"/>
          <w:rtl/>
        </w:rPr>
        <w:t>-</w:t>
      </w:r>
      <w:r w:rsidR="00B60259">
        <w:rPr>
          <w:rFonts w:ascii="David" w:hAnsi="David" w:cs="David" w:hint="cs"/>
          <w:rtl/>
        </w:rPr>
        <w:t>2.0</w:t>
      </w:r>
      <w:r w:rsidR="00B60259" w:rsidRPr="0086400E">
        <w:rPr>
          <w:rFonts w:ascii="David" w:hAnsi="David" w:cs="David"/>
          <w:rtl/>
        </w:rPr>
        <w:t>%</w:t>
      </w:r>
      <w:r w:rsidR="00B60259">
        <w:rPr>
          <w:rFonts w:ascii="David" w:hAnsi="David" w:cs="David" w:hint="cs"/>
          <w:rtl/>
        </w:rPr>
        <w:t>,</w:t>
      </w:r>
      <w:r w:rsidR="00B60259" w:rsidRPr="0086400E">
        <w:rPr>
          <w:rFonts w:ascii="David" w:hAnsi="David" w:cs="David"/>
          <w:rtl/>
        </w:rPr>
        <w:t xml:space="preserve"> ו</w:t>
      </w:r>
      <w:r w:rsidR="00B60259">
        <w:rPr>
          <w:rFonts w:ascii="David" w:hAnsi="David" w:cs="David" w:hint="cs"/>
          <w:rtl/>
        </w:rPr>
        <w:t>התחזית ל</w:t>
      </w:r>
      <w:r w:rsidR="00B60259" w:rsidRPr="0086400E">
        <w:rPr>
          <w:rFonts w:ascii="David" w:hAnsi="David" w:cs="David"/>
          <w:rtl/>
        </w:rPr>
        <w:t>שנת 202</w:t>
      </w:r>
      <w:r w:rsidR="00B60259">
        <w:rPr>
          <w:rFonts w:ascii="David" w:hAnsi="David" w:cs="David" w:hint="cs"/>
          <w:rtl/>
        </w:rPr>
        <w:t>1</w:t>
      </w:r>
      <w:r w:rsidR="00B60259" w:rsidRPr="0086400E">
        <w:rPr>
          <w:rFonts w:ascii="David" w:hAnsi="David" w:cs="David"/>
          <w:rtl/>
        </w:rPr>
        <w:t xml:space="preserve"> </w:t>
      </w:r>
      <w:r w:rsidR="00B60259">
        <w:rPr>
          <w:rFonts w:ascii="David" w:hAnsi="David" w:cs="David" w:hint="cs"/>
          <w:rtl/>
        </w:rPr>
        <w:t>עומדת על 2.</w:t>
      </w:r>
      <w:r w:rsidR="001A5F9B">
        <w:rPr>
          <w:rFonts w:ascii="David" w:hAnsi="David" w:cs="David" w:hint="cs"/>
          <w:rtl/>
        </w:rPr>
        <w:t>5</w:t>
      </w:r>
      <w:r w:rsidR="00B60259" w:rsidRPr="0086400E">
        <w:rPr>
          <w:rFonts w:ascii="David" w:hAnsi="David" w:cs="David"/>
          <w:rtl/>
        </w:rPr>
        <w:t>%.</w:t>
      </w:r>
      <w:r w:rsidRPr="0086400E">
        <w:rPr>
          <w:rFonts w:ascii="David" w:hAnsi="David" w:cs="David"/>
          <w:rtl/>
        </w:rPr>
        <w:t xml:space="preserve"> </w:t>
      </w:r>
      <w:r w:rsidR="00C62C87" w:rsidRPr="00C62C87">
        <w:rPr>
          <w:rFonts w:ascii="David" w:hAnsi="David" w:cs="David"/>
          <w:rtl/>
        </w:rPr>
        <w:t xml:space="preserve">ההנחות בדבר </w:t>
      </w:r>
      <w:r w:rsidR="002473B8">
        <w:rPr>
          <w:rFonts w:ascii="David" w:hAnsi="David" w:cs="David" w:hint="cs"/>
          <w:rtl/>
        </w:rPr>
        <w:t>התוצר</w:t>
      </w:r>
      <w:r w:rsidR="00C62C87" w:rsidRPr="00C62C87">
        <w:rPr>
          <w:rFonts w:ascii="David" w:hAnsi="David" w:cs="David"/>
          <w:rtl/>
        </w:rPr>
        <w:t xml:space="preserve">, האינפלציה והריבית </w:t>
      </w:r>
      <w:r w:rsidR="00C62C87">
        <w:rPr>
          <w:rFonts w:ascii="David" w:hAnsi="David" w:cs="David" w:hint="cs"/>
          <w:rtl/>
        </w:rPr>
        <w:t>ב</w:t>
      </w:r>
      <w:r w:rsidR="00B60259">
        <w:rPr>
          <w:rFonts w:ascii="David" w:hAnsi="David" w:cs="David" w:hint="cs"/>
          <w:rtl/>
        </w:rPr>
        <w:t>מדינות המפותחות</w:t>
      </w:r>
      <w:r w:rsidR="00C62C87" w:rsidRPr="00C62C87">
        <w:rPr>
          <w:rFonts w:ascii="David" w:hAnsi="David" w:cs="David"/>
          <w:rtl/>
        </w:rPr>
        <w:t xml:space="preserve"> דומות לאלו ששימשו אותנו ב</w:t>
      </w:r>
      <w:r w:rsidR="00C62C87">
        <w:rPr>
          <w:rFonts w:ascii="David" w:hAnsi="David" w:cs="David" w:hint="cs"/>
          <w:rtl/>
        </w:rPr>
        <w:t>תחזית הקודמת</w:t>
      </w:r>
      <w:r w:rsidR="00DC7131">
        <w:rPr>
          <w:rFonts w:ascii="David" w:hAnsi="David" w:cs="David" w:hint="cs"/>
          <w:rtl/>
        </w:rPr>
        <w:t>. בפרט,</w:t>
      </w:r>
      <w:r w:rsidRPr="0086400E">
        <w:rPr>
          <w:rFonts w:ascii="David" w:hAnsi="David" w:cs="David"/>
          <w:rtl/>
        </w:rPr>
        <w:t xml:space="preserve"> אנו מניחים כי ה</w:t>
      </w:r>
      <w:r w:rsidR="002473B8">
        <w:rPr>
          <w:rFonts w:ascii="David" w:hAnsi="David" w:cs="David" w:hint="cs"/>
          <w:rtl/>
        </w:rPr>
        <w:t>תוצר ב</w:t>
      </w:r>
      <w:r w:rsidRPr="0086400E">
        <w:rPr>
          <w:rFonts w:ascii="David" w:hAnsi="David" w:cs="David"/>
          <w:rtl/>
        </w:rPr>
        <w:t>משקים המפותחים יצמח ב-1.</w:t>
      </w:r>
      <w:r w:rsidR="00C62C87">
        <w:rPr>
          <w:rFonts w:ascii="David" w:hAnsi="David" w:cs="David" w:hint="cs"/>
          <w:rtl/>
        </w:rPr>
        <w:t>3</w:t>
      </w:r>
      <w:r w:rsidRPr="0086400E">
        <w:rPr>
          <w:rFonts w:ascii="David" w:hAnsi="David" w:cs="David"/>
          <w:rtl/>
        </w:rPr>
        <w:t xml:space="preserve">% </w:t>
      </w:r>
      <w:r w:rsidR="001A5F9B">
        <w:rPr>
          <w:rFonts w:ascii="David" w:hAnsi="David" w:cs="David" w:hint="cs"/>
          <w:rtl/>
        </w:rPr>
        <w:t>ו</w:t>
      </w:r>
      <w:r w:rsidRPr="0086400E">
        <w:rPr>
          <w:rFonts w:ascii="David" w:hAnsi="David" w:cs="David"/>
          <w:rtl/>
        </w:rPr>
        <w:t>-1.</w:t>
      </w:r>
      <w:r w:rsidR="00C62C87">
        <w:rPr>
          <w:rFonts w:ascii="David" w:hAnsi="David" w:cs="David" w:hint="cs"/>
          <w:rtl/>
        </w:rPr>
        <w:t>5</w:t>
      </w:r>
      <w:r w:rsidRPr="0086400E">
        <w:rPr>
          <w:rFonts w:ascii="David" w:hAnsi="David" w:cs="David"/>
          <w:rtl/>
        </w:rPr>
        <w:t>%</w:t>
      </w:r>
      <w:r w:rsidR="001A5F9B">
        <w:rPr>
          <w:rFonts w:ascii="David" w:hAnsi="David" w:cs="David" w:hint="cs"/>
          <w:rtl/>
        </w:rPr>
        <w:t xml:space="preserve"> בשנים 2020 ו- 2021, בהתאמה, וכי האינפלציה</w:t>
      </w:r>
      <w:r w:rsidRPr="0086400E">
        <w:rPr>
          <w:rFonts w:ascii="David" w:hAnsi="David" w:cs="David"/>
          <w:rtl/>
        </w:rPr>
        <w:t xml:space="preserve"> </w:t>
      </w:r>
      <w:r w:rsidR="001A5F9B">
        <w:rPr>
          <w:rFonts w:ascii="David" w:hAnsi="David" w:cs="David" w:hint="cs"/>
          <w:rtl/>
        </w:rPr>
        <w:t xml:space="preserve">בשנים אלו </w:t>
      </w:r>
      <w:r w:rsidRPr="0086400E">
        <w:rPr>
          <w:rFonts w:ascii="David" w:hAnsi="David" w:cs="David"/>
          <w:rtl/>
        </w:rPr>
        <w:t>תסתכם ב-1.</w:t>
      </w:r>
      <w:r w:rsidR="00C62C87">
        <w:rPr>
          <w:rFonts w:ascii="David" w:hAnsi="David" w:cs="David" w:hint="cs"/>
          <w:rtl/>
        </w:rPr>
        <w:t>6</w:t>
      </w:r>
      <w:r w:rsidRPr="0086400E">
        <w:rPr>
          <w:rFonts w:ascii="David" w:hAnsi="David" w:cs="David"/>
          <w:rtl/>
        </w:rPr>
        <w:t>% ו</w:t>
      </w:r>
      <w:r w:rsidR="001A5F9B">
        <w:rPr>
          <w:rFonts w:ascii="David" w:hAnsi="David" w:cs="David" w:hint="cs"/>
          <w:rtl/>
        </w:rPr>
        <w:t>-</w:t>
      </w:r>
      <w:r w:rsidRPr="0086400E">
        <w:rPr>
          <w:rFonts w:ascii="David" w:hAnsi="David" w:cs="David"/>
          <w:rtl/>
        </w:rPr>
        <w:t>1.</w:t>
      </w:r>
      <w:r w:rsidR="00C62C87">
        <w:rPr>
          <w:rFonts w:ascii="David" w:hAnsi="David" w:cs="David" w:hint="cs"/>
          <w:rtl/>
        </w:rPr>
        <w:t>7</w:t>
      </w:r>
      <w:r w:rsidR="00C62C87">
        <w:rPr>
          <w:rFonts w:ascii="David" w:hAnsi="David" w:cs="David"/>
          <w:rtl/>
        </w:rPr>
        <w:t>%.</w:t>
      </w:r>
      <w:r w:rsidR="00C62C87">
        <w:rPr>
          <w:rFonts w:ascii="David" w:hAnsi="David" w:cs="David" w:hint="cs"/>
          <w:rtl/>
        </w:rPr>
        <w:t xml:space="preserve"> </w:t>
      </w:r>
      <w:r w:rsidR="001A5F9B" w:rsidRPr="00C21E73">
        <w:rPr>
          <w:rFonts w:ascii="David" w:hAnsi="David" w:cs="David" w:hint="eastAsia"/>
          <w:rtl/>
        </w:rPr>
        <w:t>המחיר</w:t>
      </w:r>
      <w:r w:rsidR="001A5F9B" w:rsidRPr="00C21E73">
        <w:rPr>
          <w:rFonts w:ascii="David" w:hAnsi="David" w:cs="David"/>
          <w:rtl/>
        </w:rPr>
        <w:t xml:space="preserve"> הממוצע </w:t>
      </w:r>
      <w:r w:rsidR="001A5F9B" w:rsidRPr="00C21E73">
        <w:rPr>
          <w:rFonts w:ascii="David" w:hAnsi="David" w:cs="David" w:hint="eastAsia"/>
          <w:rtl/>
        </w:rPr>
        <w:t>של</w:t>
      </w:r>
      <w:r w:rsidR="001A5F9B" w:rsidRPr="00C21E73">
        <w:rPr>
          <w:rFonts w:ascii="David" w:hAnsi="David" w:cs="David"/>
          <w:rtl/>
        </w:rPr>
        <w:t xml:space="preserve"> </w:t>
      </w:r>
      <w:r w:rsidR="001A5F9B" w:rsidRPr="00C21E73">
        <w:rPr>
          <w:rFonts w:ascii="David" w:hAnsi="David" w:cs="David" w:hint="eastAsia"/>
          <w:rtl/>
        </w:rPr>
        <w:t>חבית</w:t>
      </w:r>
      <w:r w:rsidR="001A5F9B" w:rsidRPr="00C21E73">
        <w:rPr>
          <w:rFonts w:ascii="David" w:hAnsi="David" w:cs="David"/>
          <w:rtl/>
        </w:rPr>
        <w:t xml:space="preserve"> נפט מסוג "ברנט" עמד </w:t>
      </w:r>
      <w:r w:rsidR="001A5F9B" w:rsidRPr="00C21E73">
        <w:rPr>
          <w:rFonts w:ascii="David" w:hAnsi="David" w:cs="David" w:hint="eastAsia"/>
          <w:rtl/>
        </w:rPr>
        <w:t>ברב</w:t>
      </w:r>
      <w:r w:rsidR="001A5F9B" w:rsidRPr="00A76F60">
        <w:rPr>
          <w:rFonts w:ascii="David" w:hAnsi="David" w:cs="David" w:hint="eastAsia"/>
          <w:rtl/>
        </w:rPr>
        <w:t>עון</w:t>
      </w:r>
      <w:r w:rsidR="001A5F9B" w:rsidRPr="00C21E73">
        <w:rPr>
          <w:rFonts w:ascii="David" w:hAnsi="David" w:cs="David"/>
          <w:rtl/>
        </w:rPr>
        <w:t xml:space="preserve"> </w:t>
      </w:r>
      <w:r w:rsidR="001A5F9B">
        <w:rPr>
          <w:rFonts w:ascii="David" w:hAnsi="David" w:cs="David" w:hint="cs"/>
          <w:rtl/>
        </w:rPr>
        <w:t>הרביעי</w:t>
      </w:r>
      <w:r w:rsidR="001A5F9B" w:rsidRPr="00C21E73">
        <w:rPr>
          <w:rFonts w:ascii="David" w:hAnsi="David" w:cs="David"/>
          <w:rtl/>
        </w:rPr>
        <w:t xml:space="preserve"> של 2019 </w:t>
      </w:r>
      <w:r w:rsidR="001A5F9B" w:rsidRPr="00C21E73">
        <w:rPr>
          <w:rFonts w:ascii="David" w:hAnsi="David" w:cs="David" w:hint="eastAsia"/>
          <w:rtl/>
        </w:rPr>
        <w:t>על</w:t>
      </w:r>
      <w:r w:rsidR="001A5F9B" w:rsidRPr="00C21E73">
        <w:rPr>
          <w:rFonts w:ascii="David" w:hAnsi="David" w:cs="David"/>
          <w:rtl/>
        </w:rPr>
        <w:t xml:space="preserve"> </w:t>
      </w:r>
      <w:r w:rsidR="001A5F9B" w:rsidRPr="00C21E73">
        <w:rPr>
          <w:rFonts w:ascii="David" w:hAnsi="David" w:cs="David" w:hint="eastAsia"/>
          <w:rtl/>
        </w:rPr>
        <w:t>כ</w:t>
      </w:r>
      <w:r w:rsidR="001A5F9B" w:rsidRPr="00C21E73">
        <w:rPr>
          <w:rFonts w:ascii="David" w:hAnsi="David" w:cs="David"/>
          <w:rtl/>
        </w:rPr>
        <w:t>-6</w:t>
      </w:r>
      <w:r w:rsidR="00F54EB8">
        <w:rPr>
          <w:rFonts w:ascii="David" w:hAnsi="David" w:cs="David" w:hint="cs"/>
          <w:rtl/>
        </w:rPr>
        <w:t>2</w:t>
      </w:r>
      <w:r w:rsidR="001A5F9B">
        <w:rPr>
          <w:rFonts w:ascii="David" w:hAnsi="David" w:cs="David"/>
          <w:rtl/>
        </w:rPr>
        <w:t xml:space="preserve"> דולרים</w:t>
      </w:r>
      <w:r w:rsidR="001A5F9B">
        <w:rPr>
          <w:rFonts w:ascii="David" w:hAnsi="David" w:cs="David" w:hint="cs"/>
          <w:rtl/>
        </w:rPr>
        <w:t xml:space="preserve">, בדומה </w:t>
      </w:r>
      <w:r w:rsidR="008152A5">
        <w:rPr>
          <w:rFonts w:ascii="David" w:hAnsi="David" w:cs="David" w:hint="cs"/>
          <w:rtl/>
        </w:rPr>
        <w:t>ל</w:t>
      </w:r>
      <w:r w:rsidR="001A5F9B">
        <w:rPr>
          <w:rFonts w:ascii="David" w:hAnsi="David" w:cs="David" w:hint="cs"/>
          <w:rtl/>
        </w:rPr>
        <w:t>רבעון השלישי</w:t>
      </w:r>
      <w:r w:rsidR="009C6571">
        <w:rPr>
          <w:rFonts w:ascii="David" w:eastAsia="Calibri" w:hAnsi="David" w:cs="David" w:hint="cs"/>
          <w:rtl/>
        </w:rPr>
        <w:t>, אולם לקראת סוף הרבעון עלה מחירו לכ-68 דולרים.</w:t>
      </w:r>
    </w:p>
    <w:p w14:paraId="3EF5D22C" w14:textId="77777777" w:rsidR="00917C6D" w:rsidRPr="0086400E" w:rsidRDefault="00917C6D" w:rsidP="00917C6D">
      <w:pPr>
        <w:pStyle w:val="2"/>
        <w:ind w:left="113"/>
        <w:rPr>
          <w:rFonts w:ascii="David" w:hAnsi="David" w:cs="David"/>
          <w:rtl/>
        </w:rPr>
      </w:pPr>
      <w:r w:rsidRPr="0086400E">
        <w:rPr>
          <w:rFonts w:ascii="David" w:hAnsi="David" w:cs="David"/>
          <w:rtl/>
        </w:rPr>
        <w:t>הפעילות הריאלית בישראל</w:t>
      </w:r>
    </w:p>
    <w:p w14:paraId="28DD0BE9" w14:textId="7DCB02BD" w:rsidR="00EC5EF2" w:rsidRDefault="007E4236" w:rsidP="007F7B86">
      <w:pPr>
        <w:ind w:left="113"/>
        <w:rPr>
          <w:rFonts w:ascii="David" w:hAnsi="David" w:cs="David"/>
          <w:rtl/>
        </w:rPr>
      </w:pPr>
      <w:r>
        <w:rPr>
          <w:rFonts w:ascii="David" w:hAnsi="David" w:cs="David" w:hint="cs"/>
          <w:b/>
          <w:bCs/>
          <w:rtl/>
        </w:rPr>
        <w:t>התוצר צפוי לצמוח בשיעור של</w:t>
      </w:r>
      <w:r w:rsidR="003A665E" w:rsidRPr="0086400E">
        <w:rPr>
          <w:rFonts w:ascii="David" w:hAnsi="David" w:cs="David"/>
          <w:b/>
          <w:bCs/>
          <w:rtl/>
        </w:rPr>
        <w:t xml:space="preserve"> </w:t>
      </w:r>
      <w:r w:rsidR="00576C91">
        <w:rPr>
          <w:rFonts w:ascii="David" w:hAnsi="David" w:cs="David" w:hint="cs"/>
          <w:b/>
          <w:bCs/>
          <w:rtl/>
        </w:rPr>
        <w:t>2.9</w:t>
      </w:r>
      <w:r w:rsidR="00917C6D" w:rsidRPr="0086400E">
        <w:rPr>
          <w:rFonts w:ascii="David" w:hAnsi="David" w:cs="David"/>
          <w:b/>
          <w:bCs/>
          <w:rtl/>
        </w:rPr>
        <w:t>%</w:t>
      </w:r>
      <w:r>
        <w:rPr>
          <w:rFonts w:ascii="David" w:hAnsi="David" w:cs="David" w:hint="cs"/>
          <w:b/>
          <w:bCs/>
          <w:rtl/>
        </w:rPr>
        <w:t xml:space="preserve"> בשנת 2020</w:t>
      </w:r>
      <w:r w:rsidR="00917C6D" w:rsidRPr="0086400E">
        <w:rPr>
          <w:rFonts w:ascii="David" w:hAnsi="David" w:cs="David"/>
          <w:b/>
          <w:bCs/>
          <w:rtl/>
        </w:rPr>
        <w:t>,</w:t>
      </w:r>
      <w:r w:rsidR="0052339B">
        <w:rPr>
          <w:rFonts w:ascii="David" w:hAnsi="David" w:cs="David" w:hint="cs"/>
          <w:b/>
          <w:bCs/>
          <w:rtl/>
        </w:rPr>
        <w:t xml:space="preserve"> </w:t>
      </w:r>
      <w:r w:rsidR="00576C91">
        <w:rPr>
          <w:rFonts w:ascii="David" w:hAnsi="David" w:cs="David" w:hint="cs"/>
          <w:b/>
          <w:bCs/>
          <w:rtl/>
        </w:rPr>
        <w:t>מעט נמוך</w:t>
      </w:r>
      <w:r w:rsidR="0052339B">
        <w:rPr>
          <w:rFonts w:ascii="David" w:hAnsi="David" w:cs="David" w:hint="cs"/>
          <w:b/>
          <w:bCs/>
          <w:rtl/>
        </w:rPr>
        <w:t xml:space="preserve"> </w:t>
      </w:r>
      <w:r w:rsidR="00576C91">
        <w:rPr>
          <w:rFonts w:ascii="David" w:hAnsi="David" w:cs="David" w:hint="cs"/>
          <w:b/>
          <w:bCs/>
          <w:rtl/>
        </w:rPr>
        <w:t>מה</w:t>
      </w:r>
      <w:r w:rsidR="0052339B">
        <w:rPr>
          <w:rFonts w:ascii="David" w:hAnsi="David" w:cs="David" w:hint="cs"/>
          <w:b/>
          <w:bCs/>
          <w:rtl/>
        </w:rPr>
        <w:t>תחזית הקודמת,</w:t>
      </w:r>
      <w:r w:rsidR="00917C6D" w:rsidRPr="0086400E">
        <w:rPr>
          <w:rFonts w:ascii="David" w:hAnsi="David" w:cs="David"/>
          <w:b/>
          <w:bCs/>
          <w:rtl/>
        </w:rPr>
        <w:t xml:space="preserve"> </w:t>
      </w:r>
      <w:r>
        <w:rPr>
          <w:rFonts w:ascii="David" w:hAnsi="David" w:cs="David" w:hint="cs"/>
          <w:b/>
          <w:bCs/>
          <w:rtl/>
        </w:rPr>
        <w:t>ובשיעור של 3.</w:t>
      </w:r>
      <w:r w:rsidR="00F54EB8">
        <w:rPr>
          <w:rFonts w:ascii="David" w:hAnsi="David" w:cs="David" w:hint="cs"/>
          <w:b/>
          <w:bCs/>
          <w:rtl/>
        </w:rPr>
        <w:t>2</w:t>
      </w:r>
      <w:r>
        <w:rPr>
          <w:rFonts w:ascii="David" w:hAnsi="David" w:cs="David" w:hint="cs"/>
          <w:b/>
          <w:bCs/>
          <w:rtl/>
        </w:rPr>
        <w:t xml:space="preserve">% בשנת 2021 </w:t>
      </w:r>
      <w:r w:rsidR="00917C6D" w:rsidRPr="0086400E">
        <w:rPr>
          <w:rFonts w:ascii="David" w:hAnsi="David" w:cs="David"/>
          <w:rtl/>
        </w:rPr>
        <w:t>(</w:t>
      </w:r>
      <w:r w:rsidR="00917C6D" w:rsidRPr="0086400E">
        <w:rPr>
          <w:rFonts w:ascii="David" w:hAnsi="David" w:cs="David"/>
          <w:rtl/>
        </w:rPr>
        <w:fldChar w:fldCharType="begin"/>
      </w:r>
      <w:r w:rsidR="00917C6D" w:rsidRPr="0086400E">
        <w:rPr>
          <w:rFonts w:ascii="David" w:hAnsi="David" w:cs="David"/>
          <w:rtl/>
        </w:rPr>
        <w:instrText xml:space="preserve"> </w:instrText>
      </w:r>
      <w:r w:rsidR="00917C6D" w:rsidRPr="0086400E">
        <w:rPr>
          <w:rFonts w:ascii="David" w:hAnsi="David" w:cs="David"/>
        </w:rPr>
        <w:instrText>REF</w:instrText>
      </w:r>
      <w:r w:rsidR="00917C6D" w:rsidRPr="0086400E">
        <w:rPr>
          <w:rFonts w:ascii="David" w:hAnsi="David" w:cs="David"/>
          <w:rtl/>
        </w:rPr>
        <w:instrText xml:space="preserve"> _</w:instrText>
      </w:r>
      <w:r w:rsidR="00917C6D" w:rsidRPr="0086400E">
        <w:rPr>
          <w:rFonts w:ascii="David" w:hAnsi="David" w:cs="David"/>
        </w:rPr>
        <w:instrText>Ref503088307 \h</w:instrText>
      </w:r>
      <w:r w:rsidR="00917C6D" w:rsidRPr="0086400E">
        <w:rPr>
          <w:rFonts w:ascii="David" w:hAnsi="David" w:cs="David"/>
          <w:rtl/>
        </w:rPr>
        <w:instrText xml:space="preserve">  \* </w:instrText>
      </w:r>
      <w:r w:rsidR="00917C6D" w:rsidRPr="0086400E">
        <w:rPr>
          <w:rFonts w:ascii="David" w:hAnsi="David" w:cs="David"/>
        </w:rPr>
        <w:instrText>MERGEFORMAT</w:instrText>
      </w:r>
      <w:r w:rsidR="00917C6D" w:rsidRPr="0086400E">
        <w:rPr>
          <w:rFonts w:ascii="David" w:hAnsi="David" w:cs="David"/>
          <w:rtl/>
        </w:rPr>
        <w:instrText xml:space="preserve"> </w:instrText>
      </w:r>
      <w:r w:rsidR="00917C6D" w:rsidRPr="0086400E">
        <w:rPr>
          <w:rFonts w:ascii="David" w:hAnsi="David" w:cs="David"/>
          <w:rtl/>
        </w:rPr>
      </w:r>
      <w:r w:rsidR="00917C6D" w:rsidRPr="0086400E">
        <w:rPr>
          <w:rFonts w:ascii="David" w:hAnsi="David" w:cs="David"/>
          <w:rtl/>
        </w:rPr>
        <w:fldChar w:fldCharType="separate"/>
      </w:r>
      <w:r w:rsidR="00C45083" w:rsidRPr="0086400E">
        <w:rPr>
          <w:rFonts w:ascii="David" w:hAnsi="David" w:cs="David"/>
          <w:rtl/>
        </w:rPr>
        <w:t xml:space="preserve">לוח </w:t>
      </w:r>
      <w:r w:rsidR="00C45083">
        <w:rPr>
          <w:rFonts w:ascii="David" w:hAnsi="David" w:cs="David"/>
          <w:noProof/>
          <w:rtl/>
        </w:rPr>
        <w:t>1</w:t>
      </w:r>
      <w:r w:rsidR="00917C6D" w:rsidRPr="0086400E">
        <w:rPr>
          <w:rFonts w:ascii="David" w:hAnsi="David" w:cs="David"/>
          <w:rtl/>
        </w:rPr>
        <w:fldChar w:fldCharType="end"/>
      </w:r>
      <w:r w:rsidR="00917C6D" w:rsidRPr="0086400E">
        <w:rPr>
          <w:rFonts w:ascii="David" w:hAnsi="David" w:cs="David"/>
          <w:rtl/>
        </w:rPr>
        <w:t>).</w:t>
      </w:r>
      <w:r w:rsidR="00AD2FF4" w:rsidRPr="0086400E">
        <w:rPr>
          <w:rFonts w:ascii="David" w:hAnsi="David" w:cs="David"/>
          <w:b/>
          <w:bCs/>
          <w:rtl/>
        </w:rPr>
        <w:t xml:space="preserve"> </w:t>
      </w:r>
      <w:r w:rsidR="007F7B86">
        <w:rPr>
          <w:rFonts w:ascii="David" w:hAnsi="David" w:cs="David" w:hint="cs"/>
          <w:rtl/>
        </w:rPr>
        <w:t>ה</w:t>
      </w:r>
      <w:r w:rsidR="00A22C3F">
        <w:rPr>
          <w:rFonts w:ascii="David" w:hAnsi="David" w:cs="David" w:hint="cs"/>
          <w:rtl/>
        </w:rPr>
        <w:t xml:space="preserve">תחזית </w:t>
      </w:r>
      <w:r w:rsidR="007F7B86">
        <w:rPr>
          <w:rFonts w:ascii="David" w:hAnsi="David" w:cs="David" w:hint="cs"/>
          <w:rtl/>
        </w:rPr>
        <w:t>ל-2020 כוללת השפעה של תחילת</w:t>
      </w:r>
      <w:r w:rsidR="00A22C3F">
        <w:rPr>
          <w:rFonts w:ascii="David" w:hAnsi="David" w:cs="David" w:hint="cs"/>
          <w:rtl/>
        </w:rPr>
        <w:t xml:space="preserve"> </w:t>
      </w:r>
      <w:r w:rsidR="004B06BB">
        <w:rPr>
          <w:rFonts w:ascii="David" w:hAnsi="David" w:cs="David" w:hint="cs"/>
          <w:rtl/>
        </w:rPr>
        <w:t>הפקת הגז ממאגר "לוויתן"</w:t>
      </w:r>
      <w:r w:rsidR="007F7B86">
        <w:rPr>
          <w:rFonts w:ascii="David" w:hAnsi="David" w:cs="David" w:hint="cs"/>
          <w:rtl/>
        </w:rPr>
        <w:t>,</w:t>
      </w:r>
      <w:r w:rsidR="004B06BB">
        <w:rPr>
          <w:rFonts w:ascii="David" w:hAnsi="David" w:cs="David" w:hint="cs"/>
          <w:rtl/>
        </w:rPr>
        <w:t xml:space="preserve"> </w:t>
      </w:r>
      <w:r w:rsidR="007F7B86">
        <w:rPr>
          <w:rFonts w:ascii="David" w:hAnsi="David" w:cs="David" w:hint="cs"/>
          <w:rtl/>
        </w:rPr>
        <w:t xml:space="preserve">שלהערכתנו תתרום </w:t>
      </w:r>
      <w:r w:rsidR="004B06BB">
        <w:rPr>
          <w:rFonts w:ascii="David" w:hAnsi="David" w:cs="David" w:hint="cs"/>
          <w:rtl/>
        </w:rPr>
        <w:t>כ-0.3%</w:t>
      </w:r>
      <w:r w:rsidR="007F7B86">
        <w:rPr>
          <w:rFonts w:ascii="David" w:hAnsi="David" w:cs="David" w:hint="cs"/>
          <w:rtl/>
        </w:rPr>
        <w:t xml:space="preserve"> לצמיחת התוצר בשנה זו</w:t>
      </w:r>
      <w:r w:rsidR="004B06BB">
        <w:rPr>
          <w:rFonts w:ascii="David" w:hAnsi="David" w:cs="David" w:hint="cs"/>
          <w:rtl/>
        </w:rPr>
        <w:t>.</w:t>
      </w:r>
      <w:r w:rsidR="00FC04FE">
        <w:rPr>
          <w:rFonts w:ascii="David" w:hAnsi="David" w:cs="David" w:hint="cs"/>
          <w:rtl/>
        </w:rPr>
        <w:t xml:space="preserve"> </w:t>
      </w:r>
      <w:r w:rsidR="00EE6683">
        <w:rPr>
          <w:rFonts w:ascii="David" w:hAnsi="David" w:cs="David" w:hint="cs"/>
          <w:rtl/>
        </w:rPr>
        <w:t xml:space="preserve">בהשוואה לתחזית הקודמת, תחזית הייצוא </w:t>
      </w:r>
      <w:r w:rsidR="0052339B">
        <w:rPr>
          <w:rFonts w:ascii="David" w:hAnsi="David" w:cs="David" w:hint="cs"/>
          <w:rtl/>
        </w:rPr>
        <w:t xml:space="preserve">ל-2020 </w:t>
      </w:r>
      <w:r w:rsidR="00EE6683">
        <w:rPr>
          <w:rFonts w:ascii="David" w:hAnsi="David" w:cs="David" w:hint="cs"/>
          <w:rtl/>
        </w:rPr>
        <w:t xml:space="preserve">עודכנה כלפי מטה לאור הירידה בתחזיות לסחר העולמי וכן בשל </w:t>
      </w:r>
      <w:r>
        <w:rPr>
          <w:rFonts w:ascii="David" w:hAnsi="David" w:cs="David" w:hint="cs"/>
          <w:rtl/>
        </w:rPr>
        <w:t xml:space="preserve">שינוי בצפי לגבי </w:t>
      </w:r>
      <w:r w:rsidR="00EE6683">
        <w:rPr>
          <w:rFonts w:ascii="David" w:hAnsi="David" w:cs="David" w:hint="cs"/>
          <w:rtl/>
        </w:rPr>
        <w:t>ה</w:t>
      </w:r>
      <w:r w:rsidR="00EE6683" w:rsidRPr="0086400E">
        <w:rPr>
          <w:rFonts w:ascii="David" w:hAnsi="David" w:cs="David"/>
          <w:rtl/>
        </w:rPr>
        <w:t>פעילות המקומית של חברות גדולות</w:t>
      </w:r>
      <w:r w:rsidR="00EE6683">
        <w:rPr>
          <w:rFonts w:ascii="David" w:hAnsi="David" w:cs="David" w:hint="cs"/>
          <w:rtl/>
        </w:rPr>
        <w:t>. פעילות זו צפויה להתבטא גם בעלייה בהשקעות המיובאות</w:t>
      </w:r>
      <w:r w:rsidR="0052339B">
        <w:rPr>
          <w:rFonts w:ascii="David" w:hAnsi="David" w:cs="David" w:hint="cs"/>
          <w:rtl/>
        </w:rPr>
        <w:t xml:space="preserve"> ב-2020</w:t>
      </w:r>
      <w:r w:rsidR="00EE6683">
        <w:rPr>
          <w:rFonts w:ascii="David" w:hAnsi="David" w:cs="David" w:hint="cs"/>
          <w:rtl/>
        </w:rPr>
        <w:t>, מעבר לזו שגולמה בתחזית הקודמת.</w:t>
      </w:r>
      <w:r w:rsidR="00EC5EF2">
        <w:rPr>
          <w:rFonts w:ascii="David" w:hAnsi="David" w:cs="David" w:hint="cs"/>
          <w:rtl/>
        </w:rPr>
        <w:t xml:space="preserve"> ההנחות לגבי המדיניות הפיסקאלית עודכנו לאור </w:t>
      </w:r>
      <w:r w:rsidR="00DC7131">
        <w:rPr>
          <w:rFonts w:ascii="David" w:hAnsi="David" w:cs="David" w:hint="cs"/>
          <w:rtl/>
        </w:rPr>
        <w:t xml:space="preserve">ההחלטה על פיזור הכנסת וקיום </w:t>
      </w:r>
      <w:r w:rsidR="00EC5EF2">
        <w:rPr>
          <w:rFonts w:ascii="David" w:hAnsi="David" w:cs="David" w:hint="cs"/>
          <w:rtl/>
        </w:rPr>
        <w:t>בחירות נוספות ב</w:t>
      </w:r>
      <w:r w:rsidR="0052339B">
        <w:rPr>
          <w:rFonts w:ascii="David" w:hAnsi="David" w:cs="David" w:hint="cs"/>
          <w:rtl/>
        </w:rPr>
        <w:t xml:space="preserve">תחילת </w:t>
      </w:r>
      <w:r w:rsidR="00EC5EF2">
        <w:rPr>
          <w:rFonts w:ascii="David" w:hAnsi="David" w:cs="David" w:hint="cs"/>
          <w:rtl/>
        </w:rPr>
        <w:t>2020. בפרט, אנו מניחים כי חלק</w:t>
      </w:r>
      <w:r w:rsidR="00F54EB8">
        <w:rPr>
          <w:rFonts w:ascii="David" w:hAnsi="David" w:cs="David" w:hint="cs"/>
          <w:rtl/>
        </w:rPr>
        <w:t>ה</w:t>
      </w:r>
      <w:r w:rsidR="00EC5EF2">
        <w:rPr>
          <w:rFonts w:ascii="David" w:hAnsi="David" w:cs="David" w:hint="cs"/>
          <w:rtl/>
        </w:rPr>
        <w:t xml:space="preserve"> ה</w:t>
      </w:r>
      <w:r w:rsidR="00C85CCC">
        <w:rPr>
          <w:rFonts w:ascii="David" w:hAnsi="David" w:cs="David" w:hint="cs"/>
          <w:rtl/>
        </w:rPr>
        <w:t>ראשון</w:t>
      </w:r>
      <w:r w:rsidR="00EC5EF2">
        <w:rPr>
          <w:rFonts w:ascii="David" w:hAnsi="David" w:cs="David" w:hint="cs"/>
          <w:rtl/>
        </w:rPr>
        <w:t xml:space="preserve"> של שנת 2020 יתנהל בתקציב המשכי. בנוסף, אנו מניחים ש</w:t>
      </w:r>
      <w:r w:rsidR="00DC7131">
        <w:rPr>
          <w:rFonts w:ascii="David" w:hAnsi="David" w:cs="David" w:hint="cs"/>
          <w:rtl/>
        </w:rPr>
        <w:t xml:space="preserve">לאחר הבחירות והקמת </w:t>
      </w:r>
      <w:r w:rsidR="00EC5EF2">
        <w:rPr>
          <w:rFonts w:ascii="David" w:hAnsi="David" w:cs="David" w:hint="cs"/>
          <w:rtl/>
        </w:rPr>
        <w:t xml:space="preserve">הממשלה </w:t>
      </w:r>
      <w:r w:rsidR="00DC7131">
        <w:rPr>
          <w:rFonts w:ascii="David" w:hAnsi="David" w:cs="David" w:hint="cs"/>
          <w:rtl/>
        </w:rPr>
        <w:t>יינקטו</w:t>
      </w:r>
      <w:r w:rsidR="00EC5EF2">
        <w:rPr>
          <w:rFonts w:ascii="David" w:hAnsi="David" w:cs="David" w:hint="cs"/>
          <w:rtl/>
        </w:rPr>
        <w:t xml:space="preserve"> צעדים במטרה </w:t>
      </w:r>
      <w:r w:rsidR="00EC5EF2">
        <w:rPr>
          <w:rFonts w:ascii="David" w:hAnsi="David" w:cs="David" w:hint="cs"/>
          <w:rtl/>
        </w:rPr>
        <w:lastRenderedPageBreak/>
        <w:t>להקטין את הגירעון</w:t>
      </w:r>
      <w:r w:rsidR="0052339B">
        <w:rPr>
          <w:rFonts w:ascii="David" w:hAnsi="David" w:cs="David" w:hint="cs"/>
          <w:rtl/>
        </w:rPr>
        <w:t xml:space="preserve">, </w:t>
      </w:r>
      <w:r w:rsidR="00DC7131">
        <w:rPr>
          <w:rFonts w:ascii="David" w:hAnsi="David" w:cs="David" w:hint="cs"/>
          <w:rtl/>
        </w:rPr>
        <w:t>הן באמצעות</w:t>
      </w:r>
      <w:r w:rsidR="0052339B">
        <w:rPr>
          <w:rFonts w:ascii="David" w:hAnsi="David" w:cs="David" w:hint="cs"/>
          <w:rtl/>
        </w:rPr>
        <w:t xml:space="preserve"> האטה של קצב גידול ההוצאה הציבורית בהשוואה לשנים קודמות, ו</w:t>
      </w:r>
      <w:r w:rsidR="00DC7131">
        <w:rPr>
          <w:rFonts w:ascii="David" w:hAnsi="David" w:cs="David" w:hint="cs"/>
          <w:rtl/>
        </w:rPr>
        <w:t xml:space="preserve">הן באמצעות </w:t>
      </w:r>
      <w:r w:rsidR="0052339B">
        <w:rPr>
          <w:rFonts w:ascii="David" w:hAnsi="David" w:cs="David" w:hint="cs"/>
          <w:rtl/>
        </w:rPr>
        <w:t xml:space="preserve">העלאת צד ההכנסות. </w:t>
      </w:r>
    </w:p>
    <w:p w14:paraId="6976B7A1" w14:textId="6F6E5BBF" w:rsidR="00917C6D" w:rsidRPr="0086400E" w:rsidRDefault="00917C6D" w:rsidP="00917C6D">
      <w:pPr>
        <w:pStyle w:val="aa"/>
        <w:ind w:left="113"/>
        <w:rPr>
          <w:rFonts w:ascii="David" w:hAnsi="David" w:cs="David"/>
          <w:rtl/>
        </w:rPr>
      </w:pPr>
      <w:bookmarkStart w:id="1" w:name="_Ref503088307"/>
      <w:r w:rsidRPr="0086400E">
        <w:rPr>
          <w:rFonts w:ascii="David" w:hAnsi="David" w:cs="David"/>
          <w:rtl/>
        </w:rPr>
        <w:t xml:space="preserve">לוח </w:t>
      </w:r>
      <w:r w:rsidRPr="0086400E">
        <w:rPr>
          <w:rFonts w:ascii="David" w:hAnsi="David" w:cs="David"/>
          <w:rtl/>
        </w:rPr>
        <w:fldChar w:fldCharType="begin"/>
      </w:r>
      <w:r w:rsidRPr="0086400E">
        <w:rPr>
          <w:rFonts w:ascii="David" w:hAnsi="David" w:cs="David"/>
          <w:rtl/>
        </w:rPr>
        <w:instrText xml:space="preserve"> </w:instrText>
      </w:r>
      <w:r w:rsidRPr="0086400E">
        <w:rPr>
          <w:rFonts w:ascii="David" w:hAnsi="David" w:cs="David"/>
        </w:rPr>
        <w:instrText>SEQ</w:instrText>
      </w:r>
      <w:r w:rsidRPr="0086400E">
        <w:rPr>
          <w:rFonts w:ascii="David" w:hAnsi="David" w:cs="David"/>
          <w:rtl/>
        </w:rPr>
        <w:instrText xml:space="preserve"> לוח \* </w:instrText>
      </w:r>
      <w:r w:rsidRPr="0086400E">
        <w:rPr>
          <w:rFonts w:ascii="David" w:hAnsi="David" w:cs="David"/>
        </w:rPr>
        <w:instrText>ARABIC</w:instrText>
      </w:r>
      <w:r w:rsidRPr="0086400E">
        <w:rPr>
          <w:rFonts w:ascii="David" w:hAnsi="David" w:cs="David"/>
          <w:rtl/>
        </w:rPr>
        <w:instrText xml:space="preserve"> </w:instrText>
      </w:r>
      <w:r w:rsidRPr="0086400E">
        <w:rPr>
          <w:rFonts w:ascii="David" w:hAnsi="David" w:cs="David"/>
          <w:rtl/>
        </w:rPr>
        <w:fldChar w:fldCharType="separate"/>
      </w:r>
      <w:r w:rsidR="00C45083">
        <w:rPr>
          <w:rFonts w:ascii="David" w:hAnsi="David" w:cs="David"/>
          <w:noProof/>
          <w:rtl/>
        </w:rPr>
        <w:t>1</w:t>
      </w:r>
      <w:r w:rsidRPr="0086400E">
        <w:rPr>
          <w:rFonts w:ascii="David" w:hAnsi="David" w:cs="David"/>
          <w:rtl/>
        </w:rPr>
        <w:fldChar w:fldCharType="end"/>
      </w:r>
      <w:bookmarkEnd w:id="1"/>
    </w:p>
    <w:p w14:paraId="0A6F82D1" w14:textId="567B8CC0" w:rsidR="00917C6D" w:rsidRPr="0086400E" w:rsidRDefault="00917C6D" w:rsidP="000C5E91">
      <w:pPr>
        <w:pStyle w:val="aa"/>
        <w:ind w:left="113"/>
        <w:rPr>
          <w:rFonts w:ascii="David" w:hAnsi="David" w:cs="David"/>
          <w:rtl/>
        </w:rPr>
      </w:pPr>
      <w:r w:rsidRPr="0086400E">
        <w:rPr>
          <w:rFonts w:ascii="David" w:hAnsi="David" w:cs="David"/>
          <w:rtl/>
        </w:rPr>
        <w:t>תחזית חטיבת המחקר</w:t>
      </w:r>
      <w:r w:rsidR="00DD3A08">
        <w:rPr>
          <w:rFonts w:ascii="David" w:hAnsi="David" w:cs="David" w:hint="cs"/>
          <w:rtl/>
        </w:rPr>
        <w:t xml:space="preserve"> </w:t>
      </w:r>
      <w:r w:rsidR="000C5E91">
        <w:rPr>
          <w:rFonts w:ascii="David" w:hAnsi="David" w:cs="David" w:hint="cs"/>
          <w:rtl/>
        </w:rPr>
        <w:t>ל</w:t>
      </w:r>
      <w:r w:rsidRPr="0086400E">
        <w:rPr>
          <w:rFonts w:ascii="David" w:hAnsi="David" w:cs="David"/>
          <w:rtl/>
        </w:rPr>
        <w:t>-20</w:t>
      </w:r>
      <w:r w:rsidR="00DF169C" w:rsidRPr="0086400E">
        <w:rPr>
          <w:rFonts w:ascii="David" w:hAnsi="David" w:cs="David"/>
          <w:rtl/>
        </w:rPr>
        <w:t>20</w:t>
      </w:r>
      <w:r w:rsidRPr="0086400E">
        <w:rPr>
          <w:rFonts w:ascii="David" w:hAnsi="David" w:cs="David"/>
          <w:rtl/>
        </w:rPr>
        <w:t>—202</w:t>
      </w:r>
      <w:r w:rsidR="00DF169C" w:rsidRPr="0086400E">
        <w:rPr>
          <w:rFonts w:ascii="David" w:hAnsi="David" w:cs="David"/>
          <w:rtl/>
        </w:rPr>
        <w:t>1</w:t>
      </w:r>
    </w:p>
    <w:p w14:paraId="5A301EC3" w14:textId="447E4740" w:rsidR="00A37C4A" w:rsidRPr="0086400E" w:rsidRDefault="00917C6D" w:rsidP="00EC5EF2">
      <w:pPr>
        <w:pStyle w:val="aa"/>
        <w:ind w:left="113"/>
        <w:rPr>
          <w:rFonts w:ascii="David" w:hAnsi="David" w:cs="David"/>
          <w:rtl/>
        </w:rPr>
      </w:pPr>
      <w:r w:rsidRPr="0086400E">
        <w:rPr>
          <w:rFonts w:ascii="David" w:hAnsi="David" w:cs="David"/>
          <w:b w:val="0"/>
          <w:bCs w:val="0"/>
          <w:rtl/>
        </w:rPr>
        <w:t>(שיעורי השינוי באחוזים, אלא אם צוין אחרת)</w:t>
      </w:r>
    </w:p>
    <w:tbl>
      <w:tblPr>
        <w:bidiVisual/>
        <w:tblW w:w="7712" w:type="dxa"/>
        <w:jc w:val="center"/>
        <w:tblLayout w:type="fixed"/>
        <w:tblLook w:val="04A0" w:firstRow="1" w:lastRow="0" w:firstColumn="1" w:lastColumn="0" w:noHBand="0" w:noVBand="1"/>
      </w:tblPr>
      <w:tblGrid>
        <w:gridCol w:w="3402"/>
        <w:gridCol w:w="1077"/>
        <w:gridCol w:w="1077"/>
        <w:gridCol w:w="1078"/>
        <w:gridCol w:w="1078"/>
      </w:tblGrid>
      <w:tr w:rsidR="00EC5EF2" w:rsidRPr="0086400E" w14:paraId="690E44C4" w14:textId="77777777" w:rsidTr="00F54EB8">
        <w:trPr>
          <w:trHeight w:val="630"/>
          <w:jc w:val="center"/>
        </w:trPr>
        <w:tc>
          <w:tcPr>
            <w:tcW w:w="3402" w:type="dxa"/>
            <w:tcBorders>
              <w:bottom w:val="single" w:sz="4" w:space="0" w:color="auto"/>
              <w:right w:val="single" w:sz="4" w:space="0" w:color="auto"/>
            </w:tcBorders>
            <w:shd w:val="clear" w:color="auto" w:fill="auto"/>
            <w:noWrap/>
            <w:vAlign w:val="bottom"/>
            <w:hideMark/>
          </w:tcPr>
          <w:p w14:paraId="08252426" w14:textId="77777777" w:rsidR="00EC5EF2" w:rsidRPr="0086400E" w:rsidRDefault="00EC5EF2" w:rsidP="000D1589">
            <w:pPr>
              <w:pStyle w:val="Tablenc"/>
              <w:bidi w:val="0"/>
              <w:rPr>
                <w:rFonts w:ascii="David" w:hAnsi="David" w:cs="David"/>
              </w:rPr>
            </w:pPr>
            <w:r w:rsidRPr="0086400E">
              <w:rPr>
                <w:rFonts w:ascii="David" w:hAnsi="David" w:cs="David"/>
              </w:rPr>
              <w:t> </w:t>
            </w:r>
          </w:p>
        </w:tc>
        <w:tc>
          <w:tcPr>
            <w:tcW w:w="1077" w:type="dxa"/>
            <w:tcBorders>
              <w:left w:val="single" w:sz="4" w:space="0" w:color="auto"/>
              <w:bottom w:val="single" w:sz="4" w:space="0" w:color="auto"/>
            </w:tcBorders>
            <w:shd w:val="clear" w:color="auto" w:fill="D9D9D9" w:themeFill="background1" w:themeFillShade="D9"/>
            <w:noWrap/>
            <w:vAlign w:val="center"/>
            <w:hideMark/>
          </w:tcPr>
          <w:p w14:paraId="13E88AD1" w14:textId="4E3C99AF" w:rsidR="00EC5EF2" w:rsidRPr="0086400E" w:rsidRDefault="00EC5EF2" w:rsidP="00A37C4A">
            <w:pPr>
              <w:pStyle w:val="Tablenc"/>
              <w:jc w:val="center"/>
              <w:rPr>
                <w:rFonts w:ascii="David" w:hAnsi="David" w:cs="David"/>
                <w:rtl/>
              </w:rPr>
            </w:pPr>
            <w:r w:rsidRPr="0086400E">
              <w:rPr>
                <w:rFonts w:ascii="David" w:hAnsi="David" w:cs="David"/>
                <w:rtl/>
              </w:rPr>
              <w:t xml:space="preserve">2019 </w:t>
            </w:r>
            <w:r w:rsidRPr="0086400E">
              <w:rPr>
                <w:rFonts w:ascii="David" w:hAnsi="David" w:cs="David"/>
                <w:sz w:val="22"/>
                <w:szCs w:val="22"/>
                <w:vertAlign w:val="superscript"/>
                <w:rtl/>
              </w:rPr>
              <w:t>1</w:t>
            </w:r>
          </w:p>
        </w:tc>
        <w:tc>
          <w:tcPr>
            <w:tcW w:w="1077" w:type="dxa"/>
            <w:tcBorders>
              <w:left w:val="single" w:sz="4" w:space="0" w:color="auto"/>
              <w:bottom w:val="single" w:sz="4" w:space="0" w:color="auto"/>
            </w:tcBorders>
            <w:shd w:val="clear" w:color="auto" w:fill="auto"/>
            <w:noWrap/>
            <w:vAlign w:val="center"/>
            <w:hideMark/>
          </w:tcPr>
          <w:p w14:paraId="5B223291" w14:textId="41807773" w:rsidR="00EC5EF2" w:rsidRPr="0086400E" w:rsidRDefault="00EC5EF2" w:rsidP="00A37C4A">
            <w:pPr>
              <w:pStyle w:val="Tablenc"/>
              <w:jc w:val="center"/>
              <w:rPr>
                <w:rFonts w:ascii="David" w:hAnsi="David" w:cs="David"/>
                <w:rtl/>
              </w:rPr>
            </w:pPr>
            <w:r w:rsidRPr="0086400E">
              <w:rPr>
                <w:rFonts w:ascii="David" w:hAnsi="David" w:cs="David"/>
                <w:rtl/>
              </w:rPr>
              <w:t>התחזית ל-2020</w:t>
            </w:r>
          </w:p>
        </w:tc>
        <w:tc>
          <w:tcPr>
            <w:tcW w:w="1078" w:type="dxa"/>
            <w:tcBorders>
              <w:bottom w:val="single" w:sz="4" w:space="0" w:color="auto"/>
              <w:right w:val="single" w:sz="4" w:space="0" w:color="auto"/>
            </w:tcBorders>
            <w:shd w:val="clear" w:color="auto" w:fill="auto"/>
            <w:vAlign w:val="center"/>
            <w:hideMark/>
          </w:tcPr>
          <w:p w14:paraId="49FAB8D2" w14:textId="77777777" w:rsidR="00EC5EF2" w:rsidRPr="0086400E" w:rsidRDefault="00EC5EF2" w:rsidP="000D1589">
            <w:pPr>
              <w:pStyle w:val="Tablenc"/>
              <w:jc w:val="center"/>
              <w:rPr>
                <w:rFonts w:ascii="David" w:hAnsi="David" w:cs="David"/>
                <w:color w:val="4F81BD" w:themeColor="accent1"/>
              </w:rPr>
            </w:pPr>
            <w:r w:rsidRPr="0086400E">
              <w:rPr>
                <w:rFonts w:ascii="David" w:hAnsi="David" w:cs="David"/>
                <w:color w:val="4F81BD" w:themeColor="accent1"/>
                <w:rtl/>
              </w:rPr>
              <w:t>השינוי מהתחזית הקודמת</w:t>
            </w:r>
          </w:p>
        </w:tc>
        <w:tc>
          <w:tcPr>
            <w:tcW w:w="1078" w:type="dxa"/>
            <w:tcBorders>
              <w:left w:val="single" w:sz="4" w:space="0" w:color="auto"/>
              <w:bottom w:val="single" w:sz="4" w:space="0" w:color="auto"/>
              <w:right w:val="single" w:sz="4" w:space="0" w:color="FFFFFF" w:themeColor="background1"/>
            </w:tcBorders>
            <w:vAlign w:val="center"/>
          </w:tcPr>
          <w:p w14:paraId="32912974" w14:textId="7AF12EAE" w:rsidR="00EC5EF2" w:rsidRPr="0086400E" w:rsidRDefault="00EC5EF2" w:rsidP="00A37C4A">
            <w:pPr>
              <w:pStyle w:val="Tablenc"/>
              <w:jc w:val="center"/>
              <w:rPr>
                <w:rFonts w:ascii="David" w:hAnsi="David" w:cs="David"/>
                <w:color w:val="4F81BD" w:themeColor="accent1"/>
                <w:rtl/>
              </w:rPr>
            </w:pPr>
            <w:r w:rsidRPr="0086400E">
              <w:rPr>
                <w:rFonts w:ascii="David" w:hAnsi="David" w:cs="David"/>
                <w:rtl/>
              </w:rPr>
              <w:t>התחזית ל-2021</w:t>
            </w:r>
          </w:p>
        </w:tc>
      </w:tr>
      <w:tr w:rsidR="00F54EB8" w:rsidRPr="0086400E" w14:paraId="4CE54AF2" w14:textId="77777777" w:rsidTr="00F54EB8">
        <w:trPr>
          <w:trHeight w:val="300"/>
          <w:jc w:val="center"/>
        </w:trPr>
        <w:tc>
          <w:tcPr>
            <w:tcW w:w="3402" w:type="dxa"/>
            <w:tcBorders>
              <w:top w:val="single" w:sz="4" w:space="0" w:color="auto"/>
              <w:right w:val="single" w:sz="4" w:space="0" w:color="auto"/>
            </w:tcBorders>
            <w:shd w:val="clear" w:color="auto" w:fill="auto"/>
            <w:vAlign w:val="center"/>
            <w:hideMark/>
          </w:tcPr>
          <w:p w14:paraId="6371046B" w14:textId="77777777" w:rsidR="00F54EB8" w:rsidRPr="0086400E" w:rsidRDefault="00F54EB8" w:rsidP="00F54EB8">
            <w:pPr>
              <w:pStyle w:val="Tablenc"/>
              <w:jc w:val="left"/>
              <w:rPr>
                <w:rFonts w:ascii="David" w:hAnsi="David" w:cs="David"/>
                <w:color w:val="FF0000"/>
                <w:sz w:val="22"/>
                <w:szCs w:val="22"/>
                <w:rtl/>
              </w:rPr>
            </w:pPr>
            <w:r w:rsidRPr="0086400E">
              <w:rPr>
                <w:rFonts w:ascii="David" w:hAnsi="David" w:cs="David"/>
                <w:sz w:val="22"/>
                <w:szCs w:val="22"/>
                <w:rtl/>
              </w:rPr>
              <w:t>התמ"ג</w:t>
            </w:r>
          </w:p>
        </w:tc>
        <w:tc>
          <w:tcPr>
            <w:tcW w:w="1077" w:type="dxa"/>
            <w:tcBorders>
              <w:top w:val="single" w:sz="4" w:space="0" w:color="auto"/>
              <w:left w:val="single" w:sz="4" w:space="0" w:color="auto"/>
            </w:tcBorders>
            <w:shd w:val="clear" w:color="auto" w:fill="D9D9D9" w:themeFill="background1" w:themeFillShade="D9"/>
            <w:noWrap/>
            <w:vAlign w:val="center"/>
            <w:hideMark/>
          </w:tcPr>
          <w:p w14:paraId="01C36853" w14:textId="3543F279" w:rsidR="00F54EB8" w:rsidRPr="0086400E" w:rsidRDefault="00C26B24" w:rsidP="00F54EB8">
            <w:pPr>
              <w:pStyle w:val="Tablenc"/>
              <w:bidi w:val="0"/>
              <w:ind w:right="340"/>
              <w:jc w:val="right"/>
              <w:rPr>
                <w:rFonts w:ascii="David" w:hAnsi="David" w:cs="David"/>
                <w:sz w:val="22"/>
                <w:szCs w:val="22"/>
              </w:rPr>
            </w:pPr>
            <w:r>
              <w:rPr>
                <w:rFonts w:ascii="David" w:hAnsi="David" w:cs="David"/>
                <w:sz w:val="22"/>
                <w:szCs w:val="22"/>
              </w:rPr>
              <w:t>3.3</w:t>
            </w:r>
          </w:p>
        </w:tc>
        <w:tc>
          <w:tcPr>
            <w:tcW w:w="1077" w:type="dxa"/>
            <w:tcBorders>
              <w:top w:val="single" w:sz="4" w:space="0" w:color="auto"/>
              <w:left w:val="single" w:sz="4" w:space="0" w:color="auto"/>
            </w:tcBorders>
            <w:shd w:val="clear" w:color="auto" w:fill="auto"/>
            <w:noWrap/>
            <w:vAlign w:val="center"/>
            <w:hideMark/>
          </w:tcPr>
          <w:p w14:paraId="4085D766" w14:textId="053EA92F" w:rsidR="00F54EB8" w:rsidRPr="0086400E" w:rsidRDefault="00243AAB" w:rsidP="00F54EB8">
            <w:pPr>
              <w:pStyle w:val="Tablenc"/>
              <w:bidi w:val="0"/>
              <w:ind w:right="340"/>
              <w:jc w:val="right"/>
              <w:rPr>
                <w:rFonts w:ascii="David" w:hAnsi="David" w:cs="David"/>
                <w:sz w:val="22"/>
                <w:szCs w:val="22"/>
                <w:highlight w:val="yellow"/>
              </w:rPr>
            </w:pPr>
            <w:r>
              <w:rPr>
                <w:rFonts w:ascii="David" w:hAnsi="David" w:cs="David" w:hint="cs"/>
                <w:sz w:val="22"/>
                <w:szCs w:val="22"/>
                <w:rtl/>
              </w:rPr>
              <w:t>2.9</w:t>
            </w:r>
          </w:p>
        </w:tc>
        <w:tc>
          <w:tcPr>
            <w:tcW w:w="1078" w:type="dxa"/>
            <w:tcBorders>
              <w:top w:val="single" w:sz="4" w:space="0" w:color="auto"/>
              <w:right w:val="single" w:sz="4" w:space="0" w:color="auto"/>
            </w:tcBorders>
            <w:shd w:val="clear" w:color="auto" w:fill="auto"/>
            <w:noWrap/>
            <w:vAlign w:val="center"/>
            <w:hideMark/>
          </w:tcPr>
          <w:p w14:paraId="69A53414" w14:textId="37D3F39D" w:rsidR="00F54EB8" w:rsidRPr="0086400E" w:rsidRDefault="00243AAB" w:rsidP="00F54EB8">
            <w:pPr>
              <w:pStyle w:val="Tablenc"/>
              <w:bidi w:val="0"/>
              <w:ind w:right="340"/>
              <w:jc w:val="right"/>
              <w:rPr>
                <w:rFonts w:ascii="David" w:hAnsi="David" w:cs="David"/>
                <w:color w:val="4F81BD" w:themeColor="accent1"/>
                <w:sz w:val="22"/>
                <w:szCs w:val="22"/>
              </w:rPr>
            </w:pPr>
            <w:r>
              <w:rPr>
                <w:rFonts w:ascii="David" w:hAnsi="David" w:cs="David"/>
                <w:color w:val="4F81BD"/>
                <w:sz w:val="22"/>
                <w:szCs w:val="22"/>
              </w:rPr>
              <w:t>-0.1</w:t>
            </w:r>
          </w:p>
        </w:tc>
        <w:tc>
          <w:tcPr>
            <w:tcW w:w="1078" w:type="dxa"/>
            <w:tcBorders>
              <w:top w:val="single" w:sz="4" w:space="0" w:color="auto"/>
              <w:left w:val="single" w:sz="4" w:space="0" w:color="auto"/>
              <w:right w:val="single" w:sz="4" w:space="0" w:color="FFFFFF" w:themeColor="background1"/>
            </w:tcBorders>
            <w:vAlign w:val="center"/>
          </w:tcPr>
          <w:p w14:paraId="01CBD3D0" w14:textId="3F4718BE" w:rsidR="00F54EB8" w:rsidRPr="0086400E" w:rsidRDefault="00F54EB8" w:rsidP="00F54EB8">
            <w:pPr>
              <w:pStyle w:val="Tablenc"/>
              <w:bidi w:val="0"/>
              <w:ind w:right="340"/>
              <w:jc w:val="right"/>
              <w:rPr>
                <w:rFonts w:ascii="David" w:hAnsi="David" w:cs="David"/>
                <w:sz w:val="22"/>
                <w:szCs w:val="22"/>
              </w:rPr>
            </w:pPr>
            <w:r>
              <w:rPr>
                <w:rFonts w:ascii="David" w:hAnsi="David" w:cs="David"/>
                <w:sz w:val="22"/>
                <w:szCs w:val="22"/>
              </w:rPr>
              <w:t>3.2</w:t>
            </w:r>
          </w:p>
        </w:tc>
      </w:tr>
      <w:tr w:rsidR="00F54EB8" w:rsidRPr="0086400E" w14:paraId="2D119F1C" w14:textId="77777777" w:rsidTr="00F54EB8">
        <w:trPr>
          <w:trHeight w:val="285"/>
          <w:jc w:val="center"/>
        </w:trPr>
        <w:tc>
          <w:tcPr>
            <w:tcW w:w="3402" w:type="dxa"/>
            <w:tcBorders>
              <w:right w:val="single" w:sz="4" w:space="0" w:color="auto"/>
            </w:tcBorders>
            <w:shd w:val="clear" w:color="auto" w:fill="auto"/>
            <w:vAlign w:val="center"/>
            <w:hideMark/>
          </w:tcPr>
          <w:p w14:paraId="13790990" w14:textId="77777777" w:rsidR="00F54EB8" w:rsidRPr="0086400E" w:rsidRDefault="00F54EB8" w:rsidP="00F54EB8">
            <w:pPr>
              <w:pStyle w:val="Tablenc"/>
              <w:jc w:val="left"/>
              <w:rPr>
                <w:rFonts w:ascii="David" w:hAnsi="David" w:cs="David"/>
                <w:sz w:val="22"/>
                <w:szCs w:val="22"/>
                <w:rtl/>
              </w:rPr>
            </w:pPr>
            <w:r w:rsidRPr="0086400E">
              <w:rPr>
                <w:rFonts w:ascii="David" w:hAnsi="David" w:cs="David"/>
                <w:sz w:val="22"/>
                <w:szCs w:val="22"/>
                <w:rtl/>
              </w:rPr>
              <w:t>הצריכה הפרטית</w:t>
            </w:r>
          </w:p>
        </w:tc>
        <w:tc>
          <w:tcPr>
            <w:tcW w:w="1077" w:type="dxa"/>
            <w:tcBorders>
              <w:left w:val="single" w:sz="4" w:space="0" w:color="auto"/>
            </w:tcBorders>
            <w:shd w:val="clear" w:color="auto" w:fill="D9D9D9" w:themeFill="background1" w:themeFillShade="D9"/>
            <w:noWrap/>
            <w:vAlign w:val="center"/>
            <w:hideMark/>
          </w:tcPr>
          <w:p w14:paraId="257093D5" w14:textId="189922D4" w:rsidR="00F54EB8" w:rsidRPr="0086400E" w:rsidRDefault="00C26B24" w:rsidP="00F54EB8">
            <w:pPr>
              <w:pStyle w:val="Tablenc"/>
              <w:bidi w:val="0"/>
              <w:ind w:right="340"/>
              <w:jc w:val="right"/>
              <w:rPr>
                <w:rFonts w:ascii="David" w:hAnsi="David" w:cs="David"/>
                <w:sz w:val="22"/>
                <w:szCs w:val="22"/>
              </w:rPr>
            </w:pPr>
            <w:r>
              <w:rPr>
                <w:rFonts w:ascii="David" w:hAnsi="David" w:cs="David"/>
                <w:sz w:val="22"/>
                <w:szCs w:val="22"/>
              </w:rPr>
              <w:t>3.9</w:t>
            </w:r>
          </w:p>
        </w:tc>
        <w:tc>
          <w:tcPr>
            <w:tcW w:w="1077" w:type="dxa"/>
            <w:tcBorders>
              <w:left w:val="single" w:sz="4" w:space="0" w:color="auto"/>
            </w:tcBorders>
            <w:shd w:val="clear" w:color="auto" w:fill="auto"/>
            <w:noWrap/>
            <w:vAlign w:val="center"/>
            <w:hideMark/>
          </w:tcPr>
          <w:p w14:paraId="6AE426E5" w14:textId="146EF7AF" w:rsidR="00F54EB8" w:rsidRPr="0086400E" w:rsidRDefault="004236EF" w:rsidP="00C440A0">
            <w:pPr>
              <w:pStyle w:val="Tablenc"/>
              <w:bidi w:val="0"/>
              <w:ind w:right="340"/>
              <w:jc w:val="right"/>
              <w:rPr>
                <w:rFonts w:ascii="David" w:hAnsi="David" w:cs="David"/>
                <w:sz w:val="22"/>
                <w:szCs w:val="22"/>
                <w:rtl/>
              </w:rPr>
            </w:pPr>
            <w:r>
              <w:rPr>
                <w:rFonts w:ascii="David" w:hAnsi="David" w:cs="David"/>
                <w:sz w:val="22"/>
                <w:szCs w:val="22"/>
              </w:rPr>
              <w:t>2.</w:t>
            </w:r>
            <w:r w:rsidR="00C440A0">
              <w:rPr>
                <w:rFonts w:ascii="David" w:hAnsi="David" w:cs="David"/>
                <w:sz w:val="22"/>
                <w:szCs w:val="22"/>
              </w:rPr>
              <w:t>5</w:t>
            </w:r>
          </w:p>
        </w:tc>
        <w:tc>
          <w:tcPr>
            <w:tcW w:w="1078" w:type="dxa"/>
            <w:tcBorders>
              <w:right w:val="single" w:sz="4" w:space="0" w:color="auto"/>
            </w:tcBorders>
            <w:shd w:val="clear" w:color="auto" w:fill="auto"/>
            <w:noWrap/>
            <w:vAlign w:val="center"/>
            <w:hideMark/>
          </w:tcPr>
          <w:p w14:paraId="4DB51B32" w14:textId="3995E386" w:rsidR="00F54EB8" w:rsidRPr="0086400E" w:rsidRDefault="00C440A0" w:rsidP="00F54EB8">
            <w:pPr>
              <w:pStyle w:val="Tablenc"/>
              <w:bidi w:val="0"/>
              <w:ind w:right="340"/>
              <w:jc w:val="right"/>
              <w:rPr>
                <w:rFonts w:ascii="David" w:hAnsi="David" w:cs="David"/>
                <w:color w:val="4F81BD" w:themeColor="accent1"/>
                <w:sz w:val="22"/>
                <w:szCs w:val="22"/>
                <w:rtl/>
              </w:rPr>
            </w:pPr>
            <w:r>
              <w:rPr>
                <w:rFonts w:ascii="David" w:hAnsi="David" w:cs="David"/>
                <w:color w:val="4F81BD" w:themeColor="accent1"/>
                <w:sz w:val="22"/>
                <w:szCs w:val="22"/>
              </w:rPr>
              <w:t>0.5</w:t>
            </w:r>
          </w:p>
        </w:tc>
        <w:tc>
          <w:tcPr>
            <w:tcW w:w="1078" w:type="dxa"/>
            <w:tcBorders>
              <w:left w:val="single" w:sz="4" w:space="0" w:color="auto"/>
              <w:right w:val="single" w:sz="4" w:space="0" w:color="FFFFFF" w:themeColor="background1"/>
            </w:tcBorders>
            <w:vAlign w:val="center"/>
          </w:tcPr>
          <w:p w14:paraId="37E13EAE" w14:textId="03C1E505" w:rsidR="00F54EB8" w:rsidRPr="0086400E" w:rsidRDefault="00F54EB8" w:rsidP="00F54EB8">
            <w:pPr>
              <w:pStyle w:val="Tablenc"/>
              <w:bidi w:val="0"/>
              <w:ind w:right="340"/>
              <w:jc w:val="right"/>
              <w:rPr>
                <w:rFonts w:ascii="David" w:hAnsi="David" w:cs="David"/>
                <w:sz w:val="22"/>
                <w:szCs w:val="22"/>
                <w:rtl/>
              </w:rPr>
            </w:pPr>
            <w:r>
              <w:rPr>
                <w:rFonts w:ascii="David" w:hAnsi="David" w:cs="David"/>
                <w:sz w:val="22"/>
                <w:szCs w:val="22"/>
              </w:rPr>
              <w:t>2.5</w:t>
            </w:r>
          </w:p>
        </w:tc>
      </w:tr>
      <w:tr w:rsidR="00F54EB8" w:rsidRPr="0086400E" w14:paraId="16EAFECD" w14:textId="77777777" w:rsidTr="00F54EB8">
        <w:trPr>
          <w:trHeight w:val="285"/>
          <w:jc w:val="center"/>
        </w:trPr>
        <w:tc>
          <w:tcPr>
            <w:tcW w:w="3402" w:type="dxa"/>
            <w:tcBorders>
              <w:right w:val="single" w:sz="4" w:space="0" w:color="auto"/>
            </w:tcBorders>
            <w:shd w:val="clear" w:color="auto" w:fill="auto"/>
            <w:vAlign w:val="center"/>
            <w:hideMark/>
          </w:tcPr>
          <w:p w14:paraId="1811C6B2" w14:textId="77777777" w:rsidR="00F54EB8" w:rsidRPr="0086400E" w:rsidRDefault="00F54EB8" w:rsidP="00F54EB8">
            <w:pPr>
              <w:pStyle w:val="Tablenc"/>
              <w:jc w:val="left"/>
              <w:rPr>
                <w:rFonts w:ascii="David" w:hAnsi="David" w:cs="David"/>
                <w:sz w:val="22"/>
                <w:szCs w:val="22"/>
                <w:rtl/>
              </w:rPr>
            </w:pPr>
            <w:r w:rsidRPr="0086400E">
              <w:rPr>
                <w:rFonts w:ascii="David" w:hAnsi="David" w:cs="David"/>
                <w:sz w:val="22"/>
                <w:szCs w:val="22"/>
                <w:rtl/>
              </w:rPr>
              <w:t>ההשקעה בנכסים קבועים (ללא אוניות ומטוסים)</w:t>
            </w:r>
          </w:p>
        </w:tc>
        <w:tc>
          <w:tcPr>
            <w:tcW w:w="1077" w:type="dxa"/>
            <w:tcBorders>
              <w:left w:val="single" w:sz="4" w:space="0" w:color="auto"/>
            </w:tcBorders>
            <w:shd w:val="clear" w:color="auto" w:fill="D9D9D9" w:themeFill="background1" w:themeFillShade="D9"/>
            <w:noWrap/>
            <w:vAlign w:val="center"/>
            <w:hideMark/>
          </w:tcPr>
          <w:p w14:paraId="7D00661D" w14:textId="3C15CD66" w:rsidR="00F54EB8" w:rsidRPr="00437165" w:rsidRDefault="00437165" w:rsidP="00F54EB8">
            <w:pPr>
              <w:pStyle w:val="Tablenc"/>
              <w:bidi w:val="0"/>
              <w:ind w:right="340"/>
              <w:jc w:val="right"/>
              <w:rPr>
                <w:rFonts w:ascii="David" w:hAnsi="David" w:cs="David"/>
                <w:sz w:val="22"/>
                <w:szCs w:val="22"/>
              </w:rPr>
            </w:pPr>
            <w:r>
              <w:rPr>
                <w:rFonts w:ascii="David" w:hAnsi="David" w:cs="David"/>
                <w:sz w:val="22"/>
                <w:szCs w:val="22"/>
              </w:rPr>
              <w:t>0.9</w:t>
            </w:r>
          </w:p>
        </w:tc>
        <w:tc>
          <w:tcPr>
            <w:tcW w:w="1077" w:type="dxa"/>
            <w:tcBorders>
              <w:left w:val="single" w:sz="4" w:space="0" w:color="auto"/>
            </w:tcBorders>
            <w:shd w:val="clear" w:color="auto" w:fill="auto"/>
            <w:noWrap/>
            <w:vAlign w:val="center"/>
            <w:hideMark/>
          </w:tcPr>
          <w:p w14:paraId="135A635E" w14:textId="7146CC33" w:rsidR="00F54EB8" w:rsidRPr="0086400E" w:rsidRDefault="00B11B65" w:rsidP="00F54EB8">
            <w:pPr>
              <w:pStyle w:val="Tablenc"/>
              <w:bidi w:val="0"/>
              <w:ind w:right="340"/>
              <w:jc w:val="right"/>
              <w:rPr>
                <w:rFonts w:ascii="David" w:hAnsi="David" w:cs="David"/>
                <w:sz w:val="22"/>
                <w:szCs w:val="22"/>
              </w:rPr>
            </w:pPr>
            <w:r>
              <w:rPr>
                <w:rFonts w:ascii="David" w:hAnsi="David" w:cs="David"/>
                <w:sz w:val="22"/>
                <w:szCs w:val="22"/>
              </w:rPr>
              <w:t>-0.5</w:t>
            </w:r>
          </w:p>
        </w:tc>
        <w:tc>
          <w:tcPr>
            <w:tcW w:w="1078" w:type="dxa"/>
            <w:tcBorders>
              <w:right w:val="single" w:sz="4" w:space="0" w:color="auto"/>
            </w:tcBorders>
            <w:shd w:val="clear" w:color="auto" w:fill="auto"/>
            <w:noWrap/>
            <w:vAlign w:val="center"/>
            <w:hideMark/>
          </w:tcPr>
          <w:p w14:paraId="0DA2D84E" w14:textId="417CB240" w:rsidR="00F54EB8" w:rsidRPr="0086400E" w:rsidRDefault="00F54EB8" w:rsidP="00B11B65">
            <w:pPr>
              <w:pStyle w:val="Tablenc"/>
              <w:bidi w:val="0"/>
              <w:ind w:right="340"/>
              <w:jc w:val="right"/>
              <w:rPr>
                <w:rFonts w:ascii="David" w:hAnsi="David" w:cs="David"/>
                <w:color w:val="4F81BD" w:themeColor="accent1"/>
                <w:sz w:val="22"/>
                <w:szCs w:val="22"/>
              </w:rPr>
            </w:pPr>
            <w:r>
              <w:rPr>
                <w:rFonts w:ascii="David" w:hAnsi="David" w:cs="David"/>
                <w:color w:val="4F81BD"/>
                <w:sz w:val="22"/>
                <w:szCs w:val="22"/>
              </w:rPr>
              <w:t>1.</w:t>
            </w:r>
            <w:r w:rsidR="00B11B65">
              <w:rPr>
                <w:rFonts w:ascii="David" w:hAnsi="David" w:cs="David"/>
                <w:color w:val="4F81BD"/>
                <w:sz w:val="22"/>
                <w:szCs w:val="22"/>
              </w:rPr>
              <w:t>5</w:t>
            </w:r>
          </w:p>
        </w:tc>
        <w:tc>
          <w:tcPr>
            <w:tcW w:w="1078" w:type="dxa"/>
            <w:tcBorders>
              <w:left w:val="single" w:sz="4" w:space="0" w:color="auto"/>
              <w:right w:val="single" w:sz="4" w:space="0" w:color="FFFFFF" w:themeColor="background1"/>
            </w:tcBorders>
            <w:vAlign w:val="center"/>
          </w:tcPr>
          <w:p w14:paraId="3B50E2EE" w14:textId="3ECC4F1E" w:rsidR="00F54EB8" w:rsidRPr="0086400E" w:rsidRDefault="004236EF" w:rsidP="00F54EB8">
            <w:pPr>
              <w:pStyle w:val="Tablenc"/>
              <w:bidi w:val="0"/>
              <w:ind w:right="340"/>
              <w:jc w:val="right"/>
              <w:rPr>
                <w:rFonts w:ascii="David" w:hAnsi="David" w:cs="David"/>
                <w:sz w:val="22"/>
                <w:szCs w:val="22"/>
                <w:rtl/>
              </w:rPr>
            </w:pPr>
            <w:r>
              <w:rPr>
                <w:rFonts w:ascii="David" w:hAnsi="David" w:cs="David"/>
                <w:sz w:val="22"/>
                <w:szCs w:val="22"/>
              </w:rPr>
              <w:t>3.0</w:t>
            </w:r>
          </w:p>
        </w:tc>
      </w:tr>
      <w:tr w:rsidR="00F54EB8" w:rsidRPr="0086400E" w14:paraId="16EA5A9C" w14:textId="77777777" w:rsidTr="00F54EB8">
        <w:trPr>
          <w:trHeight w:val="300"/>
          <w:jc w:val="center"/>
        </w:trPr>
        <w:tc>
          <w:tcPr>
            <w:tcW w:w="3402" w:type="dxa"/>
            <w:tcBorders>
              <w:right w:val="single" w:sz="4" w:space="0" w:color="auto"/>
            </w:tcBorders>
            <w:shd w:val="clear" w:color="auto" w:fill="auto"/>
            <w:vAlign w:val="center"/>
            <w:hideMark/>
          </w:tcPr>
          <w:p w14:paraId="503DC9ED" w14:textId="77777777" w:rsidR="00F54EB8" w:rsidRPr="0086400E" w:rsidRDefault="00F54EB8" w:rsidP="00F54EB8">
            <w:pPr>
              <w:pStyle w:val="Tablenc"/>
              <w:jc w:val="left"/>
              <w:rPr>
                <w:rFonts w:ascii="David" w:hAnsi="David" w:cs="David"/>
                <w:sz w:val="22"/>
                <w:szCs w:val="22"/>
                <w:rtl/>
              </w:rPr>
            </w:pPr>
            <w:r w:rsidRPr="0086400E">
              <w:rPr>
                <w:rFonts w:ascii="David" w:hAnsi="David" w:cs="David"/>
                <w:sz w:val="22"/>
                <w:szCs w:val="22"/>
                <w:rtl/>
              </w:rPr>
              <w:t>הצריכה הציבורית (ללא יבוא ביטחוני)</w:t>
            </w:r>
          </w:p>
        </w:tc>
        <w:tc>
          <w:tcPr>
            <w:tcW w:w="1077" w:type="dxa"/>
            <w:tcBorders>
              <w:left w:val="single" w:sz="4" w:space="0" w:color="auto"/>
            </w:tcBorders>
            <w:shd w:val="clear" w:color="auto" w:fill="D9D9D9" w:themeFill="background1" w:themeFillShade="D9"/>
            <w:noWrap/>
            <w:vAlign w:val="center"/>
            <w:hideMark/>
          </w:tcPr>
          <w:p w14:paraId="6D785F90" w14:textId="4BD5462D" w:rsidR="00F54EB8" w:rsidRPr="00437165" w:rsidRDefault="00437165" w:rsidP="00F54EB8">
            <w:pPr>
              <w:pStyle w:val="Tablenc"/>
              <w:bidi w:val="0"/>
              <w:ind w:right="340"/>
              <w:jc w:val="right"/>
              <w:rPr>
                <w:rFonts w:ascii="David" w:hAnsi="David" w:cs="David"/>
                <w:sz w:val="22"/>
                <w:szCs w:val="22"/>
              </w:rPr>
            </w:pPr>
            <w:r>
              <w:rPr>
                <w:rFonts w:ascii="David" w:hAnsi="David" w:cs="David"/>
                <w:sz w:val="22"/>
                <w:szCs w:val="22"/>
              </w:rPr>
              <w:t>3.8</w:t>
            </w:r>
          </w:p>
        </w:tc>
        <w:tc>
          <w:tcPr>
            <w:tcW w:w="1077" w:type="dxa"/>
            <w:tcBorders>
              <w:left w:val="single" w:sz="4" w:space="0" w:color="auto"/>
            </w:tcBorders>
            <w:shd w:val="clear" w:color="auto" w:fill="auto"/>
            <w:noWrap/>
            <w:vAlign w:val="center"/>
            <w:hideMark/>
          </w:tcPr>
          <w:p w14:paraId="3DF708AE" w14:textId="7991F726" w:rsidR="00F54EB8" w:rsidRPr="0086400E" w:rsidRDefault="00F54EB8" w:rsidP="00F54EB8">
            <w:pPr>
              <w:pStyle w:val="Tablenc"/>
              <w:bidi w:val="0"/>
              <w:ind w:right="340"/>
              <w:jc w:val="right"/>
              <w:rPr>
                <w:rFonts w:ascii="David" w:hAnsi="David" w:cs="David"/>
                <w:sz w:val="22"/>
                <w:szCs w:val="22"/>
              </w:rPr>
            </w:pPr>
            <w:r>
              <w:rPr>
                <w:rFonts w:ascii="David" w:hAnsi="David" w:cs="David"/>
                <w:sz w:val="22"/>
                <w:szCs w:val="22"/>
              </w:rPr>
              <w:t>2.5</w:t>
            </w:r>
          </w:p>
        </w:tc>
        <w:tc>
          <w:tcPr>
            <w:tcW w:w="1078" w:type="dxa"/>
            <w:tcBorders>
              <w:right w:val="single" w:sz="4" w:space="0" w:color="auto"/>
            </w:tcBorders>
            <w:shd w:val="clear" w:color="auto" w:fill="auto"/>
            <w:noWrap/>
            <w:vAlign w:val="center"/>
            <w:hideMark/>
          </w:tcPr>
          <w:p w14:paraId="4914CE4E" w14:textId="33824235" w:rsidR="00F54EB8" w:rsidRPr="0086400E" w:rsidRDefault="00F54EB8" w:rsidP="00F54EB8">
            <w:pPr>
              <w:pStyle w:val="Tablenc"/>
              <w:bidi w:val="0"/>
              <w:ind w:right="340"/>
              <w:jc w:val="right"/>
              <w:rPr>
                <w:rFonts w:ascii="David" w:hAnsi="David" w:cs="David"/>
                <w:color w:val="4F81BD" w:themeColor="accent1"/>
                <w:sz w:val="22"/>
                <w:szCs w:val="22"/>
              </w:rPr>
            </w:pPr>
            <w:r>
              <w:rPr>
                <w:rFonts w:ascii="David" w:hAnsi="David" w:cs="David"/>
                <w:color w:val="4F81BD"/>
                <w:sz w:val="22"/>
                <w:szCs w:val="22"/>
              </w:rPr>
              <w:t>1.0</w:t>
            </w:r>
          </w:p>
        </w:tc>
        <w:tc>
          <w:tcPr>
            <w:tcW w:w="1078" w:type="dxa"/>
            <w:tcBorders>
              <w:left w:val="single" w:sz="4" w:space="0" w:color="auto"/>
              <w:right w:val="single" w:sz="4" w:space="0" w:color="FFFFFF" w:themeColor="background1"/>
            </w:tcBorders>
            <w:vAlign w:val="center"/>
          </w:tcPr>
          <w:p w14:paraId="3E3B7109" w14:textId="5F251965" w:rsidR="00F54EB8" w:rsidRPr="0086400E" w:rsidRDefault="00F54EB8" w:rsidP="00F54EB8">
            <w:pPr>
              <w:pStyle w:val="Tablenc"/>
              <w:bidi w:val="0"/>
              <w:ind w:right="340"/>
              <w:jc w:val="right"/>
              <w:rPr>
                <w:rFonts w:ascii="David" w:hAnsi="David" w:cs="David"/>
                <w:sz w:val="22"/>
                <w:szCs w:val="22"/>
              </w:rPr>
            </w:pPr>
            <w:r>
              <w:rPr>
                <w:rFonts w:ascii="David" w:hAnsi="David" w:cs="David"/>
                <w:sz w:val="22"/>
                <w:szCs w:val="22"/>
              </w:rPr>
              <w:t>2.5</w:t>
            </w:r>
          </w:p>
        </w:tc>
      </w:tr>
      <w:tr w:rsidR="00F54EB8" w:rsidRPr="0086400E" w14:paraId="25D661FD" w14:textId="77777777" w:rsidTr="00F54EB8">
        <w:trPr>
          <w:trHeight w:val="300"/>
          <w:jc w:val="center"/>
        </w:trPr>
        <w:tc>
          <w:tcPr>
            <w:tcW w:w="3402" w:type="dxa"/>
            <w:tcBorders>
              <w:right w:val="single" w:sz="4" w:space="0" w:color="auto"/>
            </w:tcBorders>
            <w:shd w:val="clear" w:color="auto" w:fill="auto"/>
            <w:vAlign w:val="center"/>
            <w:hideMark/>
          </w:tcPr>
          <w:p w14:paraId="37A2C21A" w14:textId="77777777" w:rsidR="00F54EB8" w:rsidRPr="0086400E" w:rsidRDefault="00F54EB8" w:rsidP="00F54EB8">
            <w:pPr>
              <w:pStyle w:val="Tablenc"/>
              <w:jc w:val="left"/>
              <w:rPr>
                <w:rFonts w:ascii="David" w:hAnsi="David" w:cs="David"/>
                <w:sz w:val="22"/>
                <w:szCs w:val="22"/>
                <w:rtl/>
              </w:rPr>
            </w:pPr>
            <w:r w:rsidRPr="0086400E">
              <w:rPr>
                <w:rFonts w:ascii="David" w:hAnsi="David" w:cs="David"/>
                <w:sz w:val="22"/>
                <w:szCs w:val="22"/>
                <w:rtl/>
              </w:rPr>
              <w:t>היצוא (ללא יהלומים והזנק)</w:t>
            </w:r>
          </w:p>
        </w:tc>
        <w:tc>
          <w:tcPr>
            <w:tcW w:w="1077" w:type="dxa"/>
            <w:tcBorders>
              <w:left w:val="single" w:sz="4" w:space="0" w:color="auto"/>
            </w:tcBorders>
            <w:shd w:val="clear" w:color="auto" w:fill="D9D9D9" w:themeFill="background1" w:themeFillShade="D9"/>
            <w:noWrap/>
            <w:vAlign w:val="center"/>
            <w:hideMark/>
          </w:tcPr>
          <w:p w14:paraId="79FD3875" w14:textId="38253290" w:rsidR="00F54EB8" w:rsidRPr="00437165" w:rsidRDefault="00437165" w:rsidP="00F54EB8">
            <w:pPr>
              <w:pStyle w:val="Tablenc"/>
              <w:bidi w:val="0"/>
              <w:ind w:right="340"/>
              <w:jc w:val="right"/>
              <w:rPr>
                <w:rFonts w:ascii="David" w:hAnsi="David" w:cs="David"/>
                <w:sz w:val="22"/>
                <w:szCs w:val="22"/>
              </w:rPr>
            </w:pPr>
            <w:r>
              <w:rPr>
                <w:rFonts w:ascii="David" w:hAnsi="David" w:cs="David"/>
                <w:sz w:val="22"/>
                <w:szCs w:val="22"/>
              </w:rPr>
              <w:t>4.7</w:t>
            </w:r>
          </w:p>
        </w:tc>
        <w:tc>
          <w:tcPr>
            <w:tcW w:w="1077" w:type="dxa"/>
            <w:tcBorders>
              <w:left w:val="single" w:sz="4" w:space="0" w:color="auto"/>
            </w:tcBorders>
            <w:shd w:val="clear" w:color="auto" w:fill="auto"/>
            <w:noWrap/>
            <w:vAlign w:val="center"/>
            <w:hideMark/>
          </w:tcPr>
          <w:p w14:paraId="026BD89E" w14:textId="15E1E030" w:rsidR="00F54EB8" w:rsidRPr="0086400E" w:rsidRDefault="00B02296" w:rsidP="00F54EB8">
            <w:pPr>
              <w:pStyle w:val="Tablenc"/>
              <w:bidi w:val="0"/>
              <w:ind w:right="340"/>
              <w:jc w:val="right"/>
              <w:rPr>
                <w:rFonts w:ascii="David" w:hAnsi="David" w:cs="David"/>
                <w:sz w:val="22"/>
                <w:szCs w:val="22"/>
              </w:rPr>
            </w:pPr>
            <w:r>
              <w:rPr>
                <w:rFonts w:ascii="David" w:hAnsi="David" w:cs="David"/>
                <w:sz w:val="22"/>
                <w:szCs w:val="22"/>
              </w:rPr>
              <w:t>4</w:t>
            </w:r>
            <w:r w:rsidR="00B925CD">
              <w:rPr>
                <w:rFonts w:ascii="David" w:hAnsi="David" w:cs="David"/>
                <w:sz w:val="22"/>
                <w:szCs w:val="22"/>
              </w:rPr>
              <w:t>.5</w:t>
            </w:r>
          </w:p>
        </w:tc>
        <w:tc>
          <w:tcPr>
            <w:tcW w:w="1078" w:type="dxa"/>
            <w:tcBorders>
              <w:right w:val="single" w:sz="4" w:space="0" w:color="auto"/>
            </w:tcBorders>
            <w:shd w:val="clear" w:color="auto" w:fill="auto"/>
            <w:noWrap/>
            <w:vAlign w:val="center"/>
          </w:tcPr>
          <w:p w14:paraId="7E61DF77" w14:textId="600EE33B" w:rsidR="00F54EB8" w:rsidRPr="0086400E" w:rsidRDefault="00F54EB8" w:rsidP="00B925CD">
            <w:pPr>
              <w:pStyle w:val="Tablenc"/>
              <w:bidi w:val="0"/>
              <w:ind w:right="340"/>
              <w:jc w:val="right"/>
              <w:rPr>
                <w:rFonts w:ascii="David" w:hAnsi="David" w:cs="David"/>
                <w:color w:val="4F81BD" w:themeColor="accent1"/>
                <w:sz w:val="22"/>
                <w:szCs w:val="22"/>
              </w:rPr>
            </w:pPr>
            <w:r>
              <w:rPr>
                <w:rFonts w:ascii="David" w:hAnsi="David" w:cs="David"/>
                <w:color w:val="4F81BD"/>
                <w:sz w:val="22"/>
                <w:szCs w:val="22"/>
              </w:rPr>
              <w:t>-1.</w:t>
            </w:r>
            <w:r w:rsidR="00B925CD">
              <w:rPr>
                <w:rFonts w:ascii="David" w:hAnsi="David" w:cs="David"/>
                <w:color w:val="4F81BD"/>
                <w:sz w:val="22"/>
                <w:szCs w:val="22"/>
              </w:rPr>
              <w:t>0</w:t>
            </w:r>
          </w:p>
        </w:tc>
        <w:tc>
          <w:tcPr>
            <w:tcW w:w="1078" w:type="dxa"/>
            <w:tcBorders>
              <w:left w:val="single" w:sz="4" w:space="0" w:color="auto"/>
              <w:right w:val="single" w:sz="4" w:space="0" w:color="FFFFFF" w:themeColor="background1"/>
            </w:tcBorders>
            <w:vAlign w:val="center"/>
          </w:tcPr>
          <w:p w14:paraId="0BC6CFAC" w14:textId="297B5579" w:rsidR="00F54EB8" w:rsidRPr="0086400E" w:rsidRDefault="00F54EB8" w:rsidP="00B925CD">
            <w:pPr>
              <w:pStyle w:val="Tablenc"/>
              <w:bidi w:val="0"/>
              <w:ind w:right="340"/>
              <w:jc w:val="right"/>
              <w:rPr>
                <w:rFonts w:ascii="David" w:hAnsi="David" w:cs="David"/>
                <w:sz w:val="22"/>
                <w:szCs w:val="22"/>
              </w:rPr>
            </w:pPr>
            <w:r>
              <w:rPr>
                <w:rFonts w:ascii="David" w:hAnsi="David" w:cs="David"/>
                <w:sz w:val="22"/>
                <w:szCs w:val="22"/>
              </w:rPr>
              <w:t>4.</w:t>
            </w:r>
            <w:r w:rsidR="00B925CD">
              <w:rPr>
                <w:rFonts w:ascii="David" w:hAnsi="David" w:cs="David"/>
                <w:sz w:val="22"/>
                <w:szCs w:val="22"/>
              </w:rPr>
              <w:t>0</w:t>
            </w:r>
          </w:p>
        </w:tc>
      </w:tr>
      <w:tr w:rsidR="00F54EB8" w:rsidRPr="0086400E" w14:paraId="420CF122" w14:textId="77777777" w:rsidTr="00F54EB8">
        <w:trPr>
          <w:trHeight w:val="300"/>
          <w:jc w:val="center"/>
        </w:trPr>
        <w:tc>
          <w:tcPr>
            <w:tcW w:w="3402" w:type="dxa"/>
            <w:tcBorders>
              <w:bottom w:val="single" w:sz="4" w:space="0" w:color="auto"/>
              <w:right w:val="single" w:sz="4" w:space="0" w:color="auto"/>
            </w:tcBorders>
            <w:shd w:val="clear" w:color="auto" w:fill="auto"/>
            <w:vAlign w:val="center"/>
            <w:hideMark/>
          </w:tcPr>
          <w:p w14:paraId="2C79EC5F" w14:textId="77777777" w:rsidR="00F54EB8" w:rsidRPr="0086400E" w:rsidRDefault="00F54EB8" w:rsidP="00F54EB8">
            <w:pPr>
              <w:pStyle w:val="Tablenc"/>
              <w:jc w:val="left"/>
              <w:rPr>
                <w:rFonts w:ascii="David" w:hAnsi="David" w:cs="David"/>
                <w:sz w:val="22"/>
                <w:szCs w:val="22"/>
                <w:rtl/>
              </w:rPr>
            </w:pPr>
            <w:r w:rsidRPr="0086400E">
              <w:rPr>
                <w:rFonts w:ascii="David" w:hAnsi="David" w:cs="David"/>
                <w:sz w:val="22"/>
                <w:szCs w:val="22"/>
                <w:rtl/>
              </w:rPr>
              <w:t>היבוא האזרחי (ללא יהלומים, אוניות ומטוסים)</w:t>
            </w:r>
          </w:p>
        </w:tc>
        <w:tc>
          <w:tcPr>
            <w:tcW w:w="1077" w:type="dxa"/>
            <w:tcBorders>
              <w:left w:val="single" w:sz="4" w:space="0" w:color="auto"/>
              <w:bottom w:val="single" w:sz="4" w:space="0" w:color="auto"/>
            </w:tcBorders>
            <w:shd w:val="clear" w:color="auto" w:fill="D9D9D9" w:themeFill="background1" w:themeFillShade="D9"/>
            <w:noWrap/>
            <w:vAlign w:val="center"/>
            <w:hideMark/>
          </w:tcPr>
          <w:p w14:paraId="5C6DBA99" w14:textId="41F710D3" w:rsidR="00F54EB8" w:rsidRPr="00437165" w:rsidRDefault="00437165" w:rsidP="00F54EB8">
            <w:pPr>
              <w:pStyle w:val="Tablenc"/>
              <w:bidi w:val="0"/>
              <w:ind w:right="340"/>
              <w:jc w:val="right"/>
              <w:rPr>
                <w:rFonts w:ascii="David" w:hAnsi="David" w:cs="David"/>
                <w:sz w:val="22"/>
                <w:szCs w:val="22"/>
              </w:rPr>
            </w:pPr>
            <w:r>
              <w:rPr>
                <w:rFonts w:ascii="David" w:hAnsi="David" w:cs="David"/>
                <w:sz w:val="22"/>
                <w:szCs w:val="22"/>
              </w:rPr>
              <w:t>4.3</w:t>
            </w:r>
          </w:p>
        </w:tc>
        <w:tc>
          <w:tcPr>
            <w:tcW w:w="1077" w:type="dxa"/>
            <w:tcBorders>
              <w:left w:val="single" w:sz="4" w:space="0" w:color="auto"/>
              <w:bottom w:val="single" w:sz="4" w:space="0" w:color="auto"/>
            </w:tcBorders>
            <w:shd w:val="clear" w:color="auto" w:fill="auto"/>
            <w:noWrap/>
            <w:vAlign w:val="center"/>
            <w:hideMark/>
          </w:tcPr>
          <w:p w14:paraId="789C615C" w14:textId="7A559037" w:rsidR="00F54EB8" w:rsidRPr="0086400E" w:rsidRDefault="00C440A0" w:rsidP="00F54EB8">
            <w:pPr>
              <w:pStyle w:val="Tablenc"/>
              <w:bidi w:val="0"/>
              <w:ind w:right="340"/>
              <w:jc w:val="right"/>
              <w:rPr>
                <w:rFonts w:ascii="David" w:hAnsi="David" w:cs="David"/>
                <w:sz w:val="22"/>
                <w:szCs w:val="22"/>
                <w:highlight w:val="yellow"/>
              </w:rPr>
            </w:pPr>
            <w:r>
              <w:rPr>
                <w:rFonts w:ascii="David" w:hAnsi="David" w:cs="David"/>
                <w:sz w:val="22"/>
                <w:szCs w:val="22"/>
              </w:rPr>
              <w:t>1.0</w:t>
            </w:r>
          </w:p>
        </w:tc>
        <w:tc>
          <w:tcPr>
            <w:tcW w:w="1078" w:type="dxa"/>
            <w:tcBorders>
              <w:bottom w:val="single" w:sz="4" w:space="0" w:color="auto"/>
              <w:right w:val="single" w:sz="4" w:space="0" w:color="auto"/>
            </w:tcBorders>
            <w:shd w:val="clear" w:color="auto" w:fill="auto"/>
            <w:noWrap/>
            <w:vAlign w:val="center"/>
            <w:hideMark/>
          </w:tcPr>
          <w:p w14:paraId="22500833" w14:textId="39EAACF3" w:rsidR="00F54EB8" w:rsidRPr="0086400E" w:rsidRDefault="00F54EB8" w:rsidP="00C440A0">
            <w:pPr>
              <w:pStyle w:val="Tablenc"/>
              <w:bidi w:val="0"/>
              <w:ind w:right="340"/>
              <w:jc w:val="right"/>
              <w:rPr>
                <w:rFonts w:ascii="David" w:hAnsi="David" w:cs="David"/>
                <w:color w:val="4F81BD" w:themeColor="accent1"/>
                <w:sz w:val="22"/>
                <w:szCs w:val="22"/>
                <w:rtl/>
              </w:rPr>
            </w:pPr>
            <w:r>
              <w:rPr>
                <w:rFonts w:ascii="David" w:hAnsi="David" w:cs="David"/>
                <w:color w:val="4F81BD"/>
                <w:sz w:val="22"/>
                <w:szCs w:val="22"/>
              </w:rPr>
              <w:t>1.</w:t>
            </w:r>
            <w:r w:rsidR="00C440A0">
              <w:rPr>
                <w:rFonts w:ascii="David" w:hAnsi="David" w:cs="David"/>
                <w:color w:val="4F81BD"/>
                <w:sz w:val="22"/>
                <w:szCs w:val="22"/>
              </w:rPr>
              <w:t>5</w:t>
            </w:r>
          </w:p>
        </w:tc>
        <w:tc>
          <w:tcPr>
            <w:tcW w:w="1078" w:type="dxa"/>
            <w:tcBorders>
              <w:left w:val="single" w:sz="4" w:space="0" w:color="auto"/>
              <w:bottom w:val="single" w:sz="4" w:space="0" w:color="auto"/>
              <w:right w:val="single" w:sz="4" w:space="0" w:color="FFFFFF" w:themeColor="background1"/>
            </w:tcBorders>
            <w:vAlign w:val="center"/>
          </w:tcPr>
          <w:p w14:paraId="73575714" w14:textId="7F5153B5" w:rsidR="00F54EB8" w:rsidRPr="0086400E" w:rsidRDefault="00F54EB8" w:rsidP="00F54EB8">
            <w:pPr>
              <w:pStyle w:val="Tablenc"/>
              <w:bidi w:val="0"/>
              <w:ind w:right="340"/>
              <w:jc w:val="right"/>
              <w:rPr>
                <w:rFonts w:ascii="David" w:hAnsi="David" w:cs="David"/>
                <w:sz w:val="22"/>
                <w:szCs w:val="22"/>
                <w:rtl/>
              </w:rPr>
            </w:pPr>
            <w:r>
              <w:rPr>
                <w:rFonts w:ascii="David" w:hAnsi="David" w:cs="David"/>
                <w:sz w:val="22"/>
                <w:szCs w:val="22"/>
              </w:rPr>
              <w:t>2.5</w:t>
            </w:r>
          </w:p>
        </w:tc>
      </w:tr>
      <w:tr w:rsidR="00F54EB8" w:rsidRPr="0086400E" w14:paraId="7D2A4996" w14:textId="77777777" w:rsidTr="00F54EB8">
        <w:trPr>
          <w:trHeight w:val="315"/>
          <w:jc w:val="center"/>
        </w:trPr>
        <w:tc>
          <w:tcPr>
            <w:tcW w:w="3402" w:type="dxa"/>
            <w:tcBorders>
              <w:top w:val="single" w:sz="4" w:space="0" w:color="auto"/>
              <w:bottom w:val="single" w:sz="4" w:space="0" w:color="auto"/>
              <w:right w:val="single" w:sz="4" w:space="0" w:color="auto"/>
            </w:tcBorders>
            <w:shd w:val="clear" w:color="auto" w:fill="auto"/>
            <w:vAlign w:val="center"/>
            <w:hideMark/>
          </w:tcPr>
          <w:p w14:paraId="058B81E4" w14:textId="77777777" w:rsidR="00F54EB8" w:rsidRPr="0086400E" w:rsidRDefault="00F54EB8" w:rsidP="00F54EB8">
            <w:pPr>
              <w:pStyle w:val="Tablenc"/>
              <w:jc w:val="left"/>
              <w:rPr>
                <w:rFonts w:ascii="David" w:hAnsi="David" w:cs="David"/>
                <w:sz w:val="22"/>
                <w:szCs w:val="22"/>
                <w:rtl/>
              </w:rPr>
            </w:pPr>
            <w:r w:rsidRPr="0086400E">
              <w:rPr>
                <w:rFonts w:ascii="David" w:hAnsi="David" w:cs="David"/>
                <w:sz w:val="22"/>
                <w:szCs w:val="22"/>
                <w:rtl/>
              </w:rPr>
              <w:t>האבטלה (שיעור)</w:t>
            </w:r>
            <w:r w:rsidRPr="0086400E">
              <w:rPr>
                <w:rFonts w:ascii="David" w:hAnsi="David" w:cs="David"/>
                <w:sz w:val="22"/>
                <w:szCs w:val="22"/>
                <w:vertAlign w:val="superscript"/>
                <w:rtl/>
              </w:rPr>
              <w:t>2</w:t>
            </w:r>
          </w:p>
        </w:tc>
        <w:tc>
          <w:tcPr>
            <w:tcW w:w="1077" w:type="dxa"/>
            <w:tcBorders>
              <w:top w:val="single" w:sz="4" w:space="0" w:color="auto"/>
              <w:left w:val="single" w:sz="4" w:space="0" w:color="auto"/>
              <w:bottom w:val="single" w:sz="4" w:space="0" w:color="auto"/>
            </w:tcBorders>
            <w:shd w:val="clear" w:color="auto" w:fill="D9D9D9" w:themeFill="background1" w:themeFillShade="D9"/>
            <w:noWrap/>
            <w:vAlign w:val="center"/>
            <w:hideMark/>
          </w:tcPr>
          <w:p w14:paraId="5402C7D1" w14:textId="5BE1B25A" w:rsidR="00F54EB8" w:rsidRPr="0086400E" w:rsidRDefault="00F54EB8" w:rsidP="00F54EB8">
            <w:pPr>
              <w:pStyle w:val="Tablenc"/>
              <w:bidi w:val="0"/>
              <w:ind w:right="340"/>
              <w:jc w:val="right"/>
              <w:rPr>
                <w:rFonts w:ascii="David" w:hAnsi="David" w:cs="David"/>
                <w:sz w:val="22"/>
                <w:szCs w:val="22"/>
                <w:rtl/>
              </w:rPr>
            </w:pPr>
            <w:r>
              <w:rPr>
                <w:rFonts w:ascii="David" w:hAnsi="David" w:cs="David"/>
                <w:sz w:val="22"/>
                <w:szCs w:val="22"/>
              </w:rPr>
              <w:t>3.3</w:t>
            </w:r>
          </w:p>
        </w:tc>
        <w:tc>
          <w:tcPr>
            <w:tcW w:w="1077" w:type="dxa"/>
            <w:tcBorders>
              <w:top w:val="single" w:sz="4" w:space="0" w:color="auto"/>
              <w:left w:val="single" w:sz="4" w:space="0" w:color="auto"/>
              <w:bottom w:val="single" w:sz="4" w:space="0" w:color="auto"/>
            </w:tcBorders>
            <w:shd w:val="clear" w:color="auto" w:fill="auto"/>
            <w:noWrap/>
            <w:vAlign w:val="center"/>
            <w:hideMark/>
          </w:tcPr>
          <w:p w14:paraId="09B87B6A" w14:textId="7211F70A" w:rsidR="00F54EB8" w:rsidRPr="0086400E" w:rsidRDefault="00F54EB8" w:rsidP="00F54EB8">
            <w:pPr>
              <w:pStyle w:val="Tablenc"/>
              <w:bidi w:val="0"/>
              <w:ind w:right="340"/>
              <w:jc w:val="right"/>
              <w:rPr>
                <w:rFonts w:ascii="David" w:hAnsi="David" w:cs="David"/>
                <w:sz w:val="22"/>
                <w:szCs w:val="22"/>
              </w:rPr>
            </w:pPr>
            <w:r>
              <w:rPr>
                <w:rFonts w:ascii="David" w:hAnsi="David" w:cs="David"/>
                <w:sz w:val="22"/>
                <w:szCs w:val="22"/>
              </w:rPr>
              <w:t>3.3</w:t>
            </w:r>
          </w:p>
        </w:tc>
        <w:tc>
          <w:tcPr>
            <w:tcW w:w="1078" w:type="dxa"/>
            <w:tcBorders>
              <w:top w:val="single" w:sz="4" w:space="0" w:color="auto"/>
              <w:bottom w:val="single" w:sz="4" w:space="0" w:color="auto"/>
              <w:right w:val="single" w:sz="4" w:space="0" w:color="auto"/>
            </w:tcBorders>
            <w:shd w:val="clear" w:color="auto" w:fill="auto"/>
            <w:noWrap/>
            <w:vAlign w:val="center"/>
            <w:hideMark/>
          </w:tcPr>
          <w:p w14:paraId="056346DC" w14:textId="2F629C4A" w:rsidR="00F54EB8" w:rsidRPr="0086400E" w:rsidRDefault="00F54EB8" w:rsidP="00F54EB8">
            <w:pPr>
              <w:pStyle w:val="Tablenc"/>
              <w:bidi w:val="0"/>
              <w:ind w:right="340"/>
              <w:jc w:val="right"/>
              <w:rPr>
                <w:rFonts w:ascii="David" w:hAnsi="David" w:cs="David"/>
                <w:color w:val="4F81BD" w:themeColor="accent1"/>
                <w:sz w:val="22"/>
                <w:szCs w:val="22"/>
              </w:rPr>
            </w:pPr>
            <w:r>
              <w:rPr>
                <w:rFonts w:ascii="David" w:hAnsi="David" w:cs="David"/>
                <w:color w:val="4F81BD"/>
                <w:sz w:val="22"/>
                <w:szCs w:val="22"/>
              </w:rPr>
              <w:t>-0.1</w:t>
            </w:r>
          </w:p>
        </w:tc>
        <w:tc>
          <w:tcPr>
            <w:tcW w:w="1078" w:type="dxa"/>
            <w:tcBorders>
              <w:top w:val="single" w:sz="4" w:space="0" w:color="auto"/>
              <w:left w:val="single" w:sz="4" w:space="0" w:color="auto"/>
              <w:bottom w:val="single" w:sz="4" w:space="0" w:color="auto"/>
              <w:right w:val="single" w:sz="4" w:space="0" w:color="FFFFFF" w:themeColor="background1"/>
            </w:tcBorders>
            <w:vAlign w:val="center"/>
          </w:tcPr>
          <w:p w14:paraId="4CA225FC" w14:textId="629AFED7" w:rsidR="00F54EB8" w:rsidRPr="0086400E" w:rsidRDefault="00F54EB8" w:rsidP="00F54EB8">
            <w:pPr>
              <w:pStyle w:val="Tablenc"/>
              <w:bidi w:val="0"/>
              <w:ind w:right="340"/>
              <w:jc w:val="right"/>
              <w:rPr>
                <w:rFonts w:ascii="David" w:hAnsi="David" w:cs="David"/>
                <w:sz w:val="22"/>
                <w:szCs w:val="22"/>
                <w:rtl/>
              </w:rPr>
            </w:pPr>
            <w:r>
              <w:rPr>
                <w:rFonts w:ascii="David" w:hAnsi="David" w:cs="David"/>
                <w:sz w:val="22"/>
                <w:szCs w:val="22"/>
              </w:rPr>
              <w:t>3.3</w:t>
            </w:r>
          </w:p>
        </w:tc>
      </w:tr>
      <w:tr w:rsidR="00F54EB8" w:rsidRPr="0086400E" w14:paraId="3A797B6D" w14:textId="23997A82" w:rsidTr="00F54EB8">
        <w:trPr>
          <w:trHeight w:val="315"/>
          <w:jc w:val="center"/>
        </w:trPr>
        <w:tc>
          <w:tcPr>
            <w:tcW w:w="3402" w:type="dxa"/>
            <w:tcBorders>
              <w:bottom w:val="single" w:sz="4" w:space="0" w:color="auto"/>
              <w:right w:val="single" w:sz="4" w:space="0" w:color="auto"/>
            </w:tcBorders>
            <w:shd w:val="clear" w:color="auto" w:fill="auto"/>
            <w:vAlign w:val="center"/>
          </w:tcPr>
          <w:p w14:paraId="5A560CA8" w14:textId="754E601F" w:rsidR="00F54EB8" w:rsidRPr="0086400E" w:rsidRDefault="00F54EB8" w:rsidP="00F54EB8">
            <w:pPr>
              <w:pStyle w:val="Tablenc"/>
              <w:rPr>
                <w:rFonts w:ascii="David" w:hAnsi="David" w:cs="David"/>
                <w:sz w:val="22"/>
                <w:szCs w:val="22"/>
                <w:rtl/>
              </w:rPr>
            </w:pPr>
            <w:r w:rsidRPr="0086400E">
              <w:rPr>
                <w:rFonts w:ascii="David" w:hAnsi="David" w:cs="David"/>
                <w:sz w:val="22"/>
                <w:szCs w:val="22"/>
                <w:rtl/>
              </w:rPr>
              <w:t>האינפלציה</w:t>
            </w:r>
            <w:r w:rsidRPr="0086400E">
              <w:rPr>
                <w:rFonts w:ascii="David" w:hAnsi="David" w:cs="David"/>
                <w:sz w:val="22"/>
                <w:szCs w:val="22"/>
                <w:vertAlign w:val="superscript"/>
                <w:rtl/>
              </w:rPr>
              <w:t>3</w:t>
            </w:r>
          </w:p>
        </w:tc>
        <w:tc>
          <w:tcPr>
            <w:tcW w:w="1077" w:type="dxa"/>
            <w:tcBorders>
              <w:left w:val="single" w:sz="4" w:space="0" w:color="auto"/>
              <w:bottom w:val="single" w:sz="4" w:space="0" w:color="auto"/>
            </w:tcBorders>
            <w:shd w:val="clear" w:color="auto" w:fill="D9D9D9" w:themeFill="background1" w:themeFillShade="D9"/>
            <w:noWrap/>
            <w:vAlign w:val="center"/>
          </w:tcPr>
          <w:p w14:paraId="32306AF7" w14:textId="075BE46F" w:rsidR="00F54EB8" w:rsidRPr="0086400E" w:rsidRDefault="00F54EB8" w:rsidP="00F54EB8">
            <w:pPr>
              <w:pStyle w:val="Tablenc"/>
              <w:bidi w:val="0"/>
              <w:ind w:right="340"/>
              <w:jc w:val="right"/>
              <w:rPr>
                <w:rFonts w:ascii="David" w:hAnsi="David" w:cs="David"/>
                <w:sz w:val="22"/>
                <w:szCs w:val="22"/>
              </w:rPr>
            </w:pPr>
            <w:r>
              <w:rPr>
                <w:rFonts w:ascii="David" w:hAnsi="David" w:cs="David"/>
                <w:sz w:val="22"/>
                <w:szCs w:val="22"/>
              </w:rPr>
              <w:t>0.4</w:t>
            </w:r>
          </w:p>
        </w:tc>
        <w:tc>
          <w:tcPr>
            <w:tcW w:w="1077" w:type="dxa"/>
            <w:tcBorders>
              <w:left w:val="single" w:sz="4" w:space="0" w:color="auto"/>
              <w:bottom w:val="single" w:sz="4" w:space="0" w:color="auto"/>
            </w:tcBorders>
            <w:shd w:val="clear" w:color="auto" w:fill="auto"/>
            <w:noWrap/>
            <w:vAlign w:val="center"/>
          </w:tcPr>
          <w:p w14:paraId="068448B8" w14:textId="094A7664" w:rsidR="00F54EB8" w:rsidRPr="0086400E" w:rsidRDefault="00F54EB8" w:rsidP="00F54EB8">
            <w:pPr>
              <w:pStyle w:val="Tablenc"/>
              <w:bidi w:val="0"/>
              <w:ind w:right="340"/>
              <w:jc w:val="right"/>
              <w:rPr>
                <w:rFonts w:ascii="David" w:hAnsi="David" w:cs="David"/>
                <w:sz w:val="22"/>
                <w:szCs w:val="22"/>
                <w:rtl/>
              </w:rPr>
            </w:pPr>
            <w:r>
              <w:rPr>
                <w:rFonts w:ascii="David" w:hAnsi="David" w:cs="David"/>
                <w:sz w:val="22"/>
                <w:szCs w:val="22"/>
              </w:rPr>
              <w:t>1.0</w:t>
            </w:r>
          </w:p>
        </w:tc>
        <w:tc>
          <w:tcPr>
            <w:tcW w:w="1078" w:type="dxa"/>
            <w:tcBorders>
              <w:bottom w:val="single" w:sz="4" w:space="0" w:color="auto"/>
              <w:right w:val="single" w:sz="4" w:space="0" w:color="auto"/>
            </w:tcBorders>
            <w:shd w:val="clear" w:color="auto" w:fill="auto"/>
            <w:noWrap/>
            <w:vAlign w:val="center"/>
          </w:tcPr>
          <w:p w14:paraId="1BE67D28" w14:textId="5ED468FD" w:rsidR="00F54EB8" w:rsidRPr="0086400E" w:rsidRDefault="00F54EB8" w:rsidP="00F54EB8">
            <w:pPr>
              <w:pStyle w:val="Tablenc"/>
              <w:bidi w:val="0"/>
              <w:ind w:right="340"/>
              <w:jc w:val="right"/>
              <w:rPr>
                <w:rFonts w:ascii="David" w:hAnsi="David" w:cs="David"/>
                <w:color w:val="4F81BD" w:themeColor="accent1"/>
                <w:sz w:val="22"/>
                <w:szCs w:val="22"/>
              </w:rPr>
            </w:pPr>
            <w:r>
              <w:rPr>
                <w:rFonts w:ascii="David" w:hAnsi="David" w:cs="David"/>
                <w:color w:val="4F81BD"/>
                <w:sz w:val="22"/>
                <w:szCs w:val="22"/>
              </w:rPr>
              <w:t>-0.2</w:t>
            </w:r>
          </w:p>
        </w:tc>
        <w:tc>
          <w:tcPr>
            <w:tcW w:w="1078" w:type="dxa"/>
            <w:tcBorders>
              <w:left w:val="single" w:sz="4" w:space="0" w:color="auto"/>
              <w:bottom w:val="single" w:sz="4" w:space="0" w:color="auto"/>
              <w:right w:val="single" w:sz="4" w:space="0" w:color="FFFFFF" w:themeColor="background1"/>
            </w:tcBorders>
            <w:vAlign w:val="center"/>
          </w:tcPr>
          <w:p w14:paraId="745C37DA" w14:textId="6650316F" w:rsidR="00F54EB8" w:rsidRPr="0086400E" w:rsidRDefault="00F54EB8" w:rsidP="00F54EB8">
            <w:pPr>
              <w:pStyle w:val="Tablenc"/>
              <w:bidi w:val="0"/>
              <w:ind w:right="340"/>
              <w:jc w:val="right"/>
              <w:rPr>
                <w:rFonts w:ascii="David" w:hAnsi="David" w:cs="David"/>
                <w:sz w:val="22"/>
                <w:szCs w:val="22"/>
                <w:rtl/>
              </w:rPr>
            </w:pPr>
            <w:r>
              <w:rPr>
                <w:rFonts w:ascii="David" w:hAnsi="David" w:cs="David"/>
                <w:sz w:val="22"/>
                <w:szCs w:val="22"/>
              </w:rPr>
              <w:t>1.4</w:t>
            </w:r>
          </w:p>
        </w:tc>
      </w:tr>
    </w:tbl>
    <w:p w14:paraId="0B1F5607" w14:textId="01E8C6F3" w:rsidR="00917C6D" w:rsidRPr="0086400E" w:rsidRDefault="00917C6D" w:rsidP="00EA1778">
      <w:pPr>
        <w:pStyle w:val="a9"/>
        <w:numPr>
          <w:ilvl w:val="0"/>
          <w:numId w:val="2"/>
        </w:numPr>
        <w:spacing w:line="276" w:lineRule="auto"/>
        <w:ind w:left="1105"/>
        <w:rPr>
          <w:rFonts w:ascii="David" w:hAnsi="David" w:cs="David"/>
        </w:rPr>
      </w:pPr>
      <w:r w:rsidRPr="0086400E">
        <w:rPr>
          <w:rFonts w:ascii="David" w:hAnsi="David" w:cs="David"/>
          <w:rtl/>
        </w:rPr>
        <w:t xml:space="preserve">נתוני החשבונאות הלאומית – אומדן </w:t>
      </w:r>
      <w:r w:rsidR="00EC5EF2">
        <w:rPr>
          <w:rFonts w:ascii="David" w:hAnsi="David" w:cs="David" w:hint="cs"/>
          <w:rtl/>
        </w:rPr>
        <w:t>ראשון</w:t>
      </w:r>
      <w:r w:rsidRPr="0086400E">
        <w:rPr>
          <w:rFonts w:ascii="David" w:hAnsi="David" w:cs="David"/>
          <w:rtl/>
        </w:rPr>
        <w:t xml:space="preserve"> של הלמ"ס</w:t>
      </w:r>
      <w:r w:rsidR="00EA1778">
        <w:rPr>
          <w:rFonts w:ascii="David" w:hAnsi="David" w:cs="David" w:hint="cs"/>
          <w:rtl/>
        </w:rPr>
        <w:t>.</w:t>
      </w:r>
    </w:p>
    <w:p w14:paraId="4C33EFA2" w14:textId="77777777" w:rsidR="00917C6D" w:rsidRPr="0086400E" w:rsidRDefault="00917C6D" w:rsidP="00917C6D">
      <w:pPr>
        <w:pStyle w:val="a9"/>
        <w:numPr>
          <w:ilvl w:val="0"/>
          <w:numId w:val="2"/>
        </w:numPr>
        <w:spacing w:line="276" w:lineRule="auto"/>
        <w:ind w:left="1105"/>
        <w:rPr>
          <w:rFonts w:ascii="David" w:hAnsi="David" w:cs="David"/>
        </w:rPr>
      </w:pPr>
      <w:r w:rsidRPr="0086400E">
        <w:rPr>
          <w:rFonts w:ascii="David" w:hAnsi="David" w:cs="David"/>
          <w:rtl/>
        </w:rPr>
        <w:t>הממוצע השנתי של האבטלה בגילי העבודה העיקריים (25–64).</w:t>
      </w:r>
    </w:p>
    <w:p w14:paraId="7F7CF051" w14:textId="5693D628" w:rsidR="00917C6D" w:rsidRPr="0086400E" w:rsidRDefault="00917C6D" w:rsidP="00917C6D">
      <w:pPr>
        <w:pStyle w:val="a9"/>
        <w:numPr>
          <w:ilvl w:val="0"/>
          <w:numId w:val="2"/>
        </w:numPr>
        <w:spacing w:line="276" w:lineRule="auto"/>
        <w:ind w:left="1105"/>
        <w:rPr>
          <w:rFonts w:ascii="David" w:hAnsi="David" w:cs="David"/>
        </w:rPr>
      </w:pPr>
      <w:r w:rsidRPr="0086400E">
        <w:rPr>
          <w:rFonts w:ascii="David" w:hAnsi="David" w:cs="David"/>
          <w:rtl/>
        </w:rPr>
        <w:t>הממוצע של מדד המחירים לצרכן ברבעון האחרון בשנה לעומת הממוצע ברבעון האחרון בשנה הקודמת.</w:t>
      </w:r>
    </w:p>
    <w:p w14:paraId="1287F2D8" w14:textId="77777777" w:rsidR="00917C6D" w:rsidRPr="0086400E" w:rsidRDefault="00917C6D" w:rsidP="00917C6D">
      <w:pPr>
        <w:pStyle w:val="2"/>
        <w:ind w:left="113"/>
        <w:rPr>
          <w:rFonts w:ascii="David" w:hAnsi="David" w:cs="David"/>
        </w:rPr>
      </w:pPr>
      <w:r w:rsidRPr="0086400E">
        <w:rPr>
          <w:rFonts w:ascii="David" w:hAnsi="David" w:cs="David"/>
          <w:rtl/>
        </w:rPr>
        <w:t>האינפלציה והריבית</w:t>
      </w:r>
    </w:p>
    <w:p w14:paraId="26CAEFFD" w14:textId="4F6C5F50" w:rsidR="00E53AD9" w:rsidRDefault="00917C6D" w:rsidP="00D513B8">
      <w:pPr>
        <w:spacing w:after="240"/>
        <w:ind w:left="113"/>
        <w:rPr>
          <w:rFonts w:ascii="David" w:hAnsi="David" w:cs="David"/>
          <w:rtl/>
        </w:rPr>
      </w:pPr>
      <w:r w:rsidRPr="00553C63">
        <w:rPr>
          <w:rFonts w:ascii="David" w:hAnsi="David" w:cs="David"/>
          <w:rtl/>
        </w:rPr>
        <w:t>להערכתנו,</w:t>
      </w:r>
      <w:r w:rsidRPr="0086400E">
        <w:rPr>
          <w:rFonts w:ascii="David" w:hAnsi="David" w:cs="David"/>
          <w:b/>
          <w:bCs/>
          <w:rtl/>
        </w:rPr>
        <w:t xml:space="preserve"> </w:t>
      </w:r>
      <w:r w:rsidR="00EF6380">
        <w:rPr>
          <w:rFonts w:ascii="David" w:hAnsi="David" w:cs="David" w:hint="cs"/>
          <w:b/>
          <w:bCs/>
          <w:rtl/>
        </w:rPr>
        <w:t xml:space="preserve">שיעור </w:t>
      </w:r>
      <w:r w:rsidRPr="0086400E">
        <w:rPr>
          <w:rFonts w:ascii="David" w:hAnsi="David" w:cs="David"/>
          <w:b/>
          <w:bCs/>
          <w:rtl/>
        </w:rPr>
        <w:t xml:space="preserve">האינפלציה בארבעת הרבעונים הקרובים </w:t>
      </w:r>
      <w:r w:rsidR="00EF6380">
        <w:rPr>
          <w:rFonts w:ascii="David" w:hAnsi="David" w:cs="David" w:hint="cs"/>
          <w:b/>
          <w:bCs/>
          <w:rtl/>
        </w:rPr>
        <w:t>י</w:t>
      </w:r>
      <w:r w:rsidRPr="0086400E">
        <w:rPr>
          <w:rFonts w:ascii="David" w:hAnsi="David" w:cs="David"/>
          <w:b/>
          <w:bCs/>
          <w:rtl/>
        </w:rPr>
        <w:t xml:space="preserve">עמוד על </w:t>
      </w:r>
      <w:r w:rsidR="00302A5B" w:rsidRPr="0086400E">
        <w:rPr>
          <w:rFonts w:ascii="David" w:hAnsi="David" w:cs="David"/>
          <w:b/>
          <w:bCs/>
        </w:rPr>
        <w:t>1.0%</w:t>
      </w:r>
      <w:r w:rsidR="0052339B">
        <w:rPr>
          <w:rFonts w:ascii="David" w:hAnsi="David" w:cs="David" w:hint="cs"/>
          <w:b/>
          <w:bCs/>
          <w:rtl/>
        </w:rPr>
        <w:t>, מעט נמוך מהערכתנו הקודמת.</w:t>
      </w:r>
      <w:r w:rsidRPr="0086400E">
        <w:rPr>
          <w:rFonts w:ascii="David" w:hAnsi="David" w:cs="David"/>
          <w:b/>
          <w:bCs/>
          <w:rtl/>
        </w:rPr>
        <w:t xml:space="preserve"> </w:t>
      </w:r>
      <w:r w:rsidR="0052339B">
        <w:rPr>
          <w:rFonts w:ascii="David" w:hAnsi="David" w:cs="David" w:hint="cs"/>
          <w:b/>
          <w:bCs/>
          <w:rtl/>
        </w:rPr>
        <w:t xml:space="preserve">האינפלציה </w:t>
      </w:r>
      <w:r w:rsidRPr="0086400E">
        <w:rPr>
          <w:rFonts w:ascii="David" w:hAnsi="David" w:cs="David"/>
          <w:b/>
          <w:bCs/>
          <w:rtl/>
        </w:rPr>
        <w:t>בסוף 202</w:t>
      </w:r>
      <w:r w:rsidR="00302A5B" w:rsidRPr="0086400E">
        <w:rPr>
          <w:rFonts w:ascii="David" w:hAnsi="David" w:cs="David"/>
          <w:b/>
          <w:bCs/>
          <w:rtl/>
        </w:rPr>
        <w:t>1</w:t>
      </w:r>
      <w:r w:rsidRPr="0086400E">
        <w:rPr>
          <w:rFonts w:ascii="David" w:hAnsi="David" w:cs="David"/>
          <w:b/>
          <w:bCs/>
          <w:rtl/>
        </w:rPr>
        <w:t xml:space="preserve"> </w:t>
      </w:r>
      <w:r w:rsidR="0052339B">
        <w:rPr>
          <w:rFonts w:ascii="David" w:hAnsi="David" w:cs="David" w:hint="cs"/>
          <w:b/>
          <w:bCs/>
          <w:rtl/>
        </w:rPr>
        <w:t>צפויה להסתכם</w:t>
      </w:r>
      <w:r w:rsidRPr="0086400E">
        <w:rPr>
          <w:rFonts w:ascii="David" w:hAnsi="David" w:cs="David"/>
          <w:b/>
          <w:bCs/>
          <w:rtl/>
        </w:rPr>
        <w:t xml:space="preserve"> ב-1.</w:t>
      </w:r>
      <w:r w:rsidR="00302A5B" w:rsidRPr="0086400E">
        <w:rPr>
          <w:rFonts w:ascii="David" w:hAnsi="David" w:cs="David"/>
          <w:b/>
          <w:bCs/>
          <w:rtl/>
        </w:rPr>
        <w:t>4</w:t>
      </w:r>
      <w:r w:rsidRPr="0086400E">
        <w:rPr>
          <w:rFonts w:ascii="David" w:hAnsi="David" w:cs="David"/>
          <w:b/>
          <w:bCs/>
          <w:rtl/>
        </w:rPr>
        <w:t>%.</w:t>
      </w:r>
      <w:r w:rsidR="003023A0" w:rsidRPr="0086400E">
        <w:rPr>
          <w:rFonts w:ascii="David" w:hAnsi="David" w:cs="David"/>
          <w:rtl/>
        </w:rPr>
        <w:t xml:space="preserve"> </w:t>
      </w:r>
      <w:r w:rsidR="00E53AD9">
        <w:rPr>
          <w:rFonts w:ascii="David" w:hAnsi="David" w:cs="David" w:hint="cs"/>
          <w:rtl/>
        </w:rPr>
        <w:t xml:space="preserve">אנו מעריכים כי שוק העבודה </w:t>
      </w:r>
      <w:r w:rsidR="00DC7131">
        <w:rPr>
          <w:rFonts w:ascii="David" w:hAnsi="David" w:cs="David" w:hint="cs"/>
          <w:rtl/>
        </w:rPr>
        <w:t>מתייצב</w:t>
      </w:r>
      <w:r w:rsidR="00E53AD9">
        <w:rPr>
          <w:rFonts w:ascii="David" w:hAnsi="David" w:cs="David" w:hint="cs"/>
          <w:rtl/>
        </w:rPr>
        <w:t xml:space="preserve"> בסביבה של תעסוקה מלאה</w:t>
      </w:r>
      <w:r w:rsidR="00DC7131">
        <w:rPr>
          <w:rFonts w:ascii="David" w:hAnsi="David" w:cs="David" w:hint="cs"/>
          <w:rtl/>
        </w:rPr>
        <w:t>,</w:t>
      </w:r>
      <w:r w:rsidR="00E53AD9">
        <w:rPr>
          <w:rFonts w:ascii="David" w:hAnsi="David" w:cs="David" w:hint="cs"/>
          <w:rtl/>
        </w:rPr>
        <w:t xml:space="preserve"> </w:t>
      </w:r>
      <w:r w:rsidR="00DC7131">
        <w:rPr>
          <w:rFonts w:ascii="David" w:hAnsi="David" w:cs="David" w:hint="cs"/>
          <w:rtl/>
        </w:rPr>
        <w:t xml:space="preserve">כך </w:t>
      </w:r>
      <w:r w:rsidR="007E4236">
        <w:rPr>
          <w:rFonts w:ascii="David" w:hAnsi="David" w:cs="David" w:hint="cs"/>
          <w:rtl/>
        </w:rPr>
        <w:t>ש</w:t>
      </w:r>
      <w:r w:rsidR="00E53AD9">
        <w:rPr>
          <w:rFonts w:ascii="David" w:hAnsi="David" w:cs="David" w:hint="cs"/>
          <w:rtl/>
        </w:rPr>
        <w:t xml:space="preserve">לא צפויה התגברות של לחצים מכיוון </w:t>
      </w:r>
      <w:r w:rsidR="007E4236">
        <w:rPr>
          <w:rFonts w:ascii="David" w:hAnsi="David" w:cs="David" w:hint="cs"/>
          <w:rtl/>
        </w:rPr>
        <w:t>זה</w:t>
      </w:r>
      <w:r w:rsidR="00093363">
        <w:rPr>
          <w:rFonts w:ascii="David" w:hAnsi="David" w:cs="David" w:hint="cs"/>
          <w:rtl/>
        </w:rPr>
        <w:t xml:space="preserve"> על המחירים המקומיים</w:t>
      </w:r>
      <w:r w:rsidR="007E4236">
        <w:rPr>
          <w:rFonts w:ascii="David" w:hAnsi="David" w:cs="David" w:hint="cs"/>
          <w:rtl/>
        </w:rPr>
        <w:t>.</w:t>
      </w:r>
      <w:r w:rsidR="00E53AD9">
        <w:rPr>
          <w:rFonts w:ascii="David" w:hAnsi="David" w:cs="David" w:hint="cs"/>
          <w:rtl/>
        </w:rPr>
        <w:t xml:space="preserve"> </w:t>
      </w:r>
      <w:r w:rsidR="007E4236">
        <w:rPr>
          <w:rFonts w:ascii="David" w:hAnsi="David" w:cs="David" w:hint="cs"/>
          <w:rtl/>
        </w:rPr>
        <w:t>בפרט,</w:t>
      </w:r>
      <w:r w:rsidR="00E53AD9">
        <w:rPr>
          <w:rFonts w:ascii="David" w:hAnsi="David" w:cs="David" w:hint="cs"/>
          <w:rtl/>
        </w:rPr>
        <w:t xml:space="preserve"> אנו מעריכים </w:t>
      </w:r>
      <w:r w:rsidR="00E53AD9" w:rsidRPr="0086400E">
        <w:rPr>
          <w:rFonts w:ascii="David" w:hAnsi="David" w:cs="David"/>
          <w:rtl/>
        </w:rPr>
        <w:t xml:space="preserve">כי עליות השכר ימשיכו לתרום לאינפלציה </w:t>
      </w:r>
      <w:r w:rsidR="00093363">
        <w:rPr>
          <w:rFonts w:ascii="David" w:hAnsi="David" w:cs="David" w:hint="cs"/>
          <w:rtl/>
        </w:rPr>
        <w:t>במחירי השירותים והמוצרים הבלתי סחירים</w:t>
      </w:r>
      <w:r w:rsidR="00E53AD9" w:rsidRPr="0086400E">
        <w:rPr>
          <w:rFonts w:ascii="David" w:hAnsi="David" w:cs="David"/>
          <w:rtl/>
        </w:rPr>
        <w:t xml:space="preserve"> </w:t>
      </w:r>
      <w:r w:rsidR="00361D21">
        <w:rPr>
          <w:rFonts w:ascii="David" w:hAnsi="David" w:cs="David" w:hint="cs"/>
          <w:rtl/>
        </w:rPr>
        <w:t xml:space="preserve">באותה המידה שבה </w:t>
      </w:r>
      <w:r w:rsidR="00C85CCC">
        <w:rPr>
          <w:rFonts w:ascii="David" w:hAnsi="David" w:cs="David"/>
          <w:rtl/>
        </w:rPr>
        <w:t xml:space="preserve">תרמו </w:t>
      </w:r>
      <w:r w:rsidR="00C85CCC">
        <w:rPr>
          <w:rFonts w:ascii="David" w:hAnsi="David" w:cs="David" w:hint="cs"/>
          <w:rtl/>
        </w:rPr>
        <w:t>בתקופה האחרונה</w:t>
      </w:r>
      <w:r w:rsidR="00E53AD9">
        <w:rPr>
          <w:rFonts w:ascii="David" w:hAnsi="David" w:cs="David" w:hint="cs"/>
          <w:rtl/>
        </w:rPr>
        <w:t xml:space="preserve">. </w:t>
      </w:r>
      <w:r w:rsidR="00093363">
        <w:rPr>
          <w:rFonts w:ascii="David" w:hAnsi="David" w:cs="David" w:hint="cs"/>
          <w:rtl/>
        </w:rPr>
        <w:t xml:space="preserve"> </w:t>
      </w:r>
      <w:r w:rsidR="00307018">
        <w:rPr>
          <w:rFonts w:ascii="David" w:hAnsi="David" w:cs="David" w:hint="cs"/>
          <w:rtl/>
        </w:rPr>
        <w:t>אשר ל</w:t>
      </w:r>
      <w:r w:rsidR="00E22423">
        <w:rPr>
          <w:rFonts w:ascii="David" w:hAnsi="David" w:cs="David" w:hint="cs"/>
          <w:rtl/>
        </w:rPr>
        <w:t>אינפלציה ב</w:t>
      </w:r>
      <w:r w:rsidR="00093363">
        <w:rPr>
          <w:rFonts w:ascii="David" w:hAnsi="David" w:cs="David" w:hint="cs"/>
          <w:rtl/>
        </w:rPr>
        <w:t>מחירי המוצרים הסחירים</w:t>
      </w:r>
      <w:r w:rsidR="00307018">
        <w:rPr>
          <w:rFonts w:ascii="David" w:hAnsi="David" w:cs="David" w:hint="cs"/>
          <w:rtl/>
        </w:rPr>
        <w:t xml:space="preserve">, אנו מעריכים כי </w:t>
      </w:r>
      <w:r w:rsidR="00093363">
        <w:rPr>
          <w:rFonts w:ascii="David" w:hAnsi="David" w:cs="David" w:hint="cs"/>
          <w:rtl/>
        </w:rPr>
        <w:t xml:space="preserve">טרם מוצה תהליך </w:t>
      </w:r>
      <w:r w:rsidR="00093363" w:rsidRPr="003B7CB9">
        <w:rPr>
          <w:rFonts w:ascii="David" w:hAnsi="David" w:cs="David" w:hint="eastAsia"/>
          <w:rtl/>
        </w:rPr>
        <w:t>הגידול</w:t>
      </w:r>
      <w:r w:rsidR="00093363" w:rsidRPr="003B7CB9">
        <w:rPr>
          <w:rFonts w:ascii="David" w:hAnsi="David" w:cs="David"/>
          <w:rtl/>
        </w:rPr>
        <w:t xml:space="preserve"> </w:t>
      </w:r>
      <w:r w:rsidR="00093363" w:rsidRPr="003B7CB9">
        <w:rPr>
          <w:rFonts w:ascii="David" w:hAnsi="David" w:cs="David" w:hint="eastAsia"/>
          <w:rtl/>
        </w:rPr>
        <w:t>בתחרות</w:t>
      </w:r>
      <w:r w:rsidR="00093363">
        <w:rPr>
          <w:rFonts w:ascii="David" w:hAnsi="David" w:cs="David" w:hint="cs"/>
          <w:rtl/>
        </w:rPr>
        <w:t xml:space="preserve"> אשר מושפע, בין היתר,</w:t>
      </w:r>
      <w:r w:rsidR="00093363" w:rsidRPr="003B7CB9">
        <w:rPr>
          <w:rFonts w:ascii="David" w:hAnsi="David" w:cs="David"/>
          <w:rtl/>
        </w:rPr>
        <w:t xml:space="preserve"> </w:t>
      </w:r>
      <w:r w:rsidR="00093363">
        <w:rPr>
          <w:rFonts w:ascii="David" w:hAnsi="David" w:cs="David" w:hint="cs"/>
          <w:rtl/>
        </w:rPr>
        <w:t>מ</w:t>
      </w:r>
      <w:r w:rsidR="00093363">
        <w:rPr>
          <w:rFonts w:ascii="David" w:hAnsi="David" w:cs="David"/>
          <w:rtl/>
        </w:rPr>
        <w:t>התפתחות המסחר באינטרנט</w:t>
      </w:r>
      <w:r w:rsidR="00093363">
        <w:rPr>
          <w:rFonts w:ascii="David" w:hAnsi="David" w:cs="David" w:hint="cs"/>
          <w:rtl/>
        </w:rPr>
        <w:t xml:space="preserve">. </w:t>
      </w:r>
      <w:r w:rsidR="00D513B8">
        <w:rPr>
          <w:rFonts w:ascii="David" w:hAnsi="David" w:cs="David" w:hint="cs"/>
          <w:rtl/>
        </w:rPr>
        <w:t>מחירי המוצרים הסחירים צפויים להמשיך להיות מושפעים מתהליך זה וכן מהייסוף שהתרחש בשער החליפין.</w:t>
      </w:r>
      <w:r w:rsidR="005037F6">
        <w:rPr>
          <w:rFonts w:ascii="David" w:hAnsi="David" w:cs="David" w:hint="cs"/>
          <w:rtl/>
        </w:rPr>
        <w:t xml:space="preserve"> לאור כל אלה</w:t>
      </w:r>
      <w:r w:rsidR="00093363">
        <w:rPr>
          <w:rFonts w:ascii="David" w:hAnsi="David" w:cs="David" w:hint="cs"/>
          <w:rtl/>
        </w:rPr>
        <w:t xml:space="preserve">, </w:t>
      </w:r>
      <w:r w:rsidR="00705EA9">
        <w:rPr>
          <w:rFonts w:ascii="David" w:hAnsi="David" w:cs="David" w:hint="cs"/>
          <w:rtl/>
        </w:rPr>
        <w:t>אנו ממשיכים להעריך ש</w:t>
      </w:r>
      <w:r w:rsidR="00E53AD9">
        <w:rPr>
          <w:rFonts w:ascii="David" w:hAnsi="David" w:cs="David" w:hint="cs"/>
          <w:rtl/>
        </w:rPr>
        <w:t>עלי</w:t>
      </w:r>
      <w:r w:rsidR="00361D21">
        <w:rPr>
          <w:rFonts w:ascii="David" w:hAnsi="David" w:cs="David" w:hint="cs"/>
          <w:rtl/>
        </w:rPr>
        <w:t xml:space="preserve">ית האינפלציה </w:t>
      </w:r>
      <w:r w:rsidR="005037F6">
        <w:rPr>
          <w:rFonts w:ascii="David" w:hAnsi="David" w:cs="David" w:hint="cs"/>
          <w:rtl/>
        </w:rPr>
        <w:t xml:space="preserve">הכוללת </w:t>
      </w:r>
      <w:r w:rsidR="00361D21">
        <w:rPr>
          <w:rFonts w:ascii="David" w:hAnsi="David" w:cs="David" w:hint="cs"/>
          <w:rtl/>
        </w:rPr>
        <w:t xml:space="preserve">בטווח התחזית </w:t>
      </w:r>
      <w:r w:rsidR="00705EA9">
        <w:rPr>
          <w:rFonts w:ascii="David" w:hAnsi="David" w:cs="David" w:hint="cs"/>
          <w:rtl/>
        </w:rPr>
        <w:t>תהיה</w:t>
      </w:r>
      <w:r w:rsidR="00E53AD9">
        <w:rPr>
          <w:rFonts w:ascii="David" w:hAnsi="David" w:cs="David" w:hint="cs"/>
          <w:rtl/>
        </w:rPr>
        <w:t xml:space="preserve"> הדרגתית.</w:t>
      </w:r>
    </w:p>
    <w:p w14:paraId="5E024575" w14:textId="05DB5CAC" w:rsidR="00C94845" w:rsidRDefault="0039331F" w:rsidP="00250D49">
      <w:pPr>
        <w:spacing w:after="240"/>
        <w:ind w:left="113"/>
        <w:rPr>
          <w:rFonts w:ascii="David" w:hAnsi="David" w:cs="David"/>
          <w:highlight w:val="yellow"/>
          <w:rtl/>
        </w:rPr>
      </w:pPr>
      <w:r w:rsidRPr="008A5921">
        <w:rPr>
          <w:rFonts w:ascii="David" w:hAnsi="David" w:cs="David"/>
          <w:rtl/>
        </w:rPr>
        <w:t>אנו מעריכים כי</w:t>
      </w:r>
      <w:r w:rsidRPr="008A5921">
        <w:rPr>
          <w:rFonts w:ascii="David" w:hAnsi="David" w:cs="David"/>
          <w:b/>
          <w:bCs/>
          <w:rtl/>
        </w:rPr>
        <w:t xml:space="preserve"> הריבית </w:t>
      </w:r>
      <w:r w:rsidR="00DD3A08" w:rsidRPr="008A5921">
        <w:rPr>
          <w:rFonts w:ascii="David" w:hAnsi="David" w:cs="David" w:hint="cs"/>
          <w:b/>
          <w:bCs/>
          <w:rtl/>
        </w:rPr>
        <w:t>תעמוד על</w:t>
      </w:r>
      <w:r w:rsidR="002A4FD2">
        <w:rPr>
          <w:rFonts w:ascii="David" w:hAnsi="David" w:cs="David" w:hint="cs"/>
          <w:b/>
          <w:bCs/>
          <w:rtl/>
        </w:rPr>
        <w:t xml:space="preserve"> </w:t>
      </w:r>
      <w:r w:rsidR="00DD3A08" w:rsidRPr="008A5921">
        <w:rPr>
          <w:rFonts w:ascii="David" w:hAnsi="David" w:cs="David" w:hint="cs"/>
          <w:b/>
          <w:bCs/>
          <w:rtl/>
        </w:rPr>
        <w:t xml:space="preserve">0.25% </w:t>
      </w:r>
      <w:r w:rsidR="00677FE5">
        <w:rPr>
          <w:rFonts w:ascii="David" w:hAnsi="David" w:cs="David" w:hint="cs"/>
          <w:b/>
          <w:bCs/>
          <w:rtl/>
        </w:rPr>
        <w:t xml:space="preserve">או 0.1% </w:t>
      </w:r>
      <w:r w:rsidR="00DD3A08" w:rsidRPr="008A5921">
        <w:rPr>
          <w:rFonts w:ascii="David" w:hAnsi="David" w:cs="David" w:hint="cs"/>
          <w:b/>
          <w:bCs/>
          <w:rtl/>
        </w:rPr>
        <w:t>בעוד שנה</w:t>
      </w:r>
      <w:r w:rsidR="00DD3A08" w:rsidRPr="008A5921">
        <w:rPr>
          <w:rFonts w:ascii="David" w:hAnsi="David" w:cs="David" w:hint="cs"/>
          <w:rtl/>
        </w:rPr>
        <w:t xml:space="preserve"> (לוח 2)</w:t>
      </w:r>
      <w:r w:rsidRPr="008A5921">
        <w:rPr>
          <w:rFonts w:ascii="David" w:hAnsi="David" w:cs="David"/>
          <w:b/>
          <w:bCs/>
          <w:rtl/>
        </w:rPr>
        <w:t xml:space="preserve">. </w:t>
      </w:r>
      <w:r w:rsidR="007E4236" w:rsidRPr="00AF09C2">
        <w:rPr>
          <w:rFonts w:ascii="David" w:hAnsi="David" w:cs="David" w:hint="cs"/>
          <w:rtl/>
        </w:rPr>
        <w:t>לקראת סוף</w:t>
      </w:r>
      <w:r w:rsidRPr="00AF09C2">
        <w:rPr>
          <w:rFonts w:ascii="David" w:hAnsi="David" w:cs="David"/>
          <w:rtl/>
        </w:rPr>
        <w:t xml:space="preserve"> 2021, העלייה הצפויה של האינפלציה, ביחד עם </w:t>
      </w:r>
      <w:r w:rsidR="00553C63" w:rsidRPr="00AF09C2">
        <w:rPr>
          <w:rFonts w:ascii="David" w:hAnsi="David" w:cs="David" w:hint="cs"/>
          <w:rtl/>
        </w:rPr>
        <w:t>צמיחה</w:t>
      </w:r>
      <w:r w:rsidRPr="00AF09C2">
        <w:rPr>
          <w:rFonts w:ascii="David" w:hAnsi="David" w:cs="David"/>
          <w:rtl/>
        </w:rPr>
        <w:t xml:space="preserve"> </w:t>
      </w:r>
      <w:r w:rsidR="00250D49">
        <w:rPr>
          <w:rFonts w:ascii="David" w:hAnsi="David" w:cs="David" w:hint="cs"/>
          <w:rtl/>
        </w:rPr>
        <w:t xml:space="preserve">צפויה </w:t>
      </w:r>
      <w:r w:rsidR="00361D21" w:rsidRPr="00AF09C2">
        <w:rPr>
          <w:rFonts w:ascii="David" w:hAnsi="David" w:cs="David" w:hint="cs"/>
          <w:rtl/>
        </w:rPr>
        <w:t>בסביבת תעסוקה מלאה</w:t>
      </w:r>
      <w:r w:rsidRPr="00AF09C2">
        <w:rPr>
          <w:rFonts w:ascii="David" w:hAnsi="David" w:cs="David"/>
          <w:rtl/>
        </w:rPr>
        <w:t xml:space="preserve">, </w:t>
      </w:r>
      <w:r w:rsidR="007E4236" w:rsidRPr="00AF09C2">
        <w:rPr>
          <w:rFonts w:ascii="David" w:hAnsi="David" w:cs="David" w:hint="cs"/>
          <w:rtl/>
        </w:rPr>
        <w:t>עשוי</w:t>
      </w:r>
      <w:r w:rsidR="00250D49">
        <w:rPr>
          <w:rFonts w:ascii="David" w:hAnsi="David" w:cs="David" w:hint="cs"/>
          <w:rtl/>
        </w:rPr>
        <w:t>ות</w:t>
      </w:r>
      <w:r w:rsidR="007E4236" w:rsidRPr="00AF09C2">
        <w:rPr>
          <w:rFonts w:ascii="David" w:hAnsi="David" w:cs="David" w:hint="cs"/>
          <w:rtl/>
        </w:rPr>
        <w:t xml:space="preserve"> להביא לכך שהריבית תתחיל לעלות בהדרגה</w:t>
      </w:r>
      <w:r w:rsidRPr="00AF09C2">
        <w:rPr>
          <w:rFonts w:ascii="David" w:hAnsi="David" w:cs="David"/>
          <w:rtl/>
        </w:rPr>
        <w:t>.</w:t>
      </w:r>
      <w:r w:rsidR="00C94845" w:rsidRPr="00AF09C2">
        <w:rPr>
          <w:rFonts w:ascii="David" w:hAnsi="David" w:cs="David" w:hint="cs"/>
          <w:rtl/>
        </w:rPr>
        <w:t xml:space="preserve"> </w:t>
      </w:r>
    </w:p>
    <w:p w14:paraId="33430527" w14:textId="504D8531" w:rsidR="00917C6D" w:rsidRDefault="00917C6D" w:rsidP="00D841CD">
      <w:pPr>
        <w:spacing w:after="240"/>
        <w:ind w:left="113"/>
        <w:rPr>
          <w:rFonts w:ascii="David" w:hAnsi="David" w:cs="David"/>
          <w:rtl/>
        </w:rPr>
      </w:pPr>
      <w:r w:rsidRPr="00C94845">
        <w:rPr>
          <w:rFonts w:ascii="David" w:hAnsi="David" w:cs="David"/>
          <w:rtl/>
        </w:rPr>
        <w:t>מ</w:t>
      </w:r>
      <w:r w:rsidR="00C94845" w:rsidRPr="00C94845">
        <w:rPr>
          <w:rFonts w:ascii="David" w:hAnsi="David" w:cs="David" w:hint="cs"/>
          <w:rtl/>
        </w:rPr>
        <w:t xml:space="preserve">לוח 2 </w:t>
      </w:r>
      <w:r w:rsidRPr="00C94845">
        <w:rPr>
          <w:rFonts w:ascii="David" w:hAnsi="David" w:cs="David"/>
          <w:rtl/>
        </w:rPr>
        <w:t xml:space="preserve">עולה כי תחזית חטיבת המחקר לגבי האינפלציה בשנה הקרובה </w:t>
      </w:r>
      <w:r w:rsidR="00553C63" w:rsidRPr="00C94845">
        <w:rPr>
          <w:rFonts w:ascii="David" w:hAnsi="David" w:cs="David" w:hint="cs"/>
          <w:rtl/>
        </w:rPr>
        <w:t>דומה ל</w:t>
      </w:r>
      <w:r w:rsidRPr="00C94845">
        <w:rPr>
          <w:rFonts w:ascii="David" w:hAnsi="David" w:cs="David"/>
          <w:rtl/>
        </w:rPr>
        <w:t>תחזיות החזאים ו</w:t>
      </w:r>
      <w:r w:rsidR="00553C63" w:rsidRPr="00C94845">
        <w:rPr>
          <w:rFonts w:ascii="David" w:hAnsi="David" w:cs="David" w:hint="cs"/>
          <w:rtl/>
        </w:rPr>
        <w:t>גבוהה</w:t>
      </w:r>
      <w:r w:rsidRPr="00C94845">
        <w:rPr>
          <w:rFonts w:ascii="David" w:hAnsi="David" w:cs="David"/>
          <w:rtl/>
        </w:rPr>
        <w:t xml:space="preserve"> במעט מהציפיות הנגזרות </w:t>
      </w:r>
      <w:r w:rsidRPr="008A5921">
        <w:rPr>
          <w:rFonts w:ascii="David" w:hAnsi="David" w:cs="David"/>
          <w:rtl/>
        </w:rPr>
        <w:t xml:space="preserve">משוק ההון. </w:t>
      </w:r>
      <w:r w:rsidR="00C76452" w:rsidRPr="008A5921">
        <w:rPr>
          <w:rFonts w:ascii="David" w:hAnsi="David" w:cs="David"/>
          <w:rtl/>
        </w:rPr>
        <w:t xml:space="preserve">תחזית הריבית של </w:t>
      </w:r>
      <w:r w:rsidR="00C403E5" w:rsidRPr="008A5921">
        <w:rPr>
          <w:rFonts w:ascii="David" w:hAnsi="David" w:cs="David"/>
          <w:rtl/>
        </w:rPr>
        <w:t>ה</w:t>
      </w:r>
      <w:r w:rsidR="00C76452" w:rsidRPr="008A5921">
        <w:rPr>
          <w:rFonts w:ascii="David" w:hAnsi="David" w:cs="David"/>
          <w:rtl/>
        </w:rPr>
        <w:t xml:space="preserve">חטיבה </w:t>
      </w:r>
      <w:r w:rsidR="00D841CD">
        <w:rPr>
          <w:rFonts w:ascii="David" w:hAnsi="David" w:cs="David" w:hint="cs"/>
          <w:rtl/>
        </w:rPr>
        <w:t>דומה</w:t>
      </w:r>
      <w:r w:rsidR="00DF2F5C">
        <w:rPr>
          <w:rFonts w:ascii="David" w:hAnsi="David" w:cs="David" w:hint="cs"/>
          <w:rtl/>
        </w:rPr>
        <w:t xml:space="preserve"> </w:t>
      </w:r>
      <w:r w:rsidR="00D841CD">
        <w:rPr>
          <w:rFonts w:ascii="David" w:hAnsi="David" w:cs="David" w:hint="cs"/>
          <w:rtl/>
        </w:rPr>
        <w:t>הן ל</w:t>
      </w:r>
      <w:r w:rsidR="00C76452" w:rsidRPr="008A5921">
        <w:rPr>
          <w:rFonts w:ascii="David" w:hAnsi="David" w:cs="David"/>
          <w:rtl/>
        </w:rPr>
        <w:t>תחזי</w:t>
      </w:r>
      <w:r w:rsidR="00DF2F5C">
        <w:rPr>
          <w:rFonts w:ascii="David" w:hAnsi="David" w:cs="David" w:hint="cs"/>
          <w:rtl/>
        </w:rPr>
        <w:t>ות</w:t>
      </w:r>
      <w:r w:rsidR="002F7F87">
        <w:rPr>
          <w:rFonts w:ascii="David" w:hAnsi="David" w:cs="David" w:hint="cs"/>
          <w:rtl/>
        </w:rPr>
        <w:t xml:space="preserve"> </w:t>
      </w:r>
      <w:r w:rsidR="00C76452" w:rsidRPr="008A5921">
        <w:rPr>
          <w:rFonts w:ascii="David" w:hAnsi="David" w:cs="David"/>
          <w:rtl/>
        </w:rPr>
        <w:t>החזאים ו</w:t>
      </w:r>
      <w:r w:rsidR="00D841CD">
        <w:rPr>
          <w:rFonts w:ascii="David" w:hAnsi="David" w:cs="David" w:hint="cs"/>
          <w:rtl/>
        </w:rPr>
        <w:t>הן ל</w:t>
      </w:r>
      <w:r w:rsidR="00C76452" w:rsidRPr="008A5921">
        <w:rPr>
          <w:rFonts w:ascii="David" w:hAnsi="David" w:cs="David"/>
          <w:rtl/>
        </w:rPr>
        <w:t>ציפיות הנגזרות משוק ההון.</w:t>
      </w:r>
    </w:p>
    <w:p w14:paraId="78B3DDB6" w14:textId="77777777" w:rsidR="00361D21" w:rsidRDefault="00361D21">
      <w:bookmarkStart w:id="2" w:name="_Ref503164928"/>
      <w:r>
        <w:rPr>
          <w:b/>
          <w:bCs/>
        </w:rPr>
        <w:br w:type="page"/>
      </w:r>
    </w:p>
    <w:tbl>
      <w:tblPr>
        <w:tblStyle w:val="21"/>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לוח 2"/>
        <w:tblDescription w:val="השוואת התחזיות לאינפלציה ולריבית לשנה הקרובה"/>
      </w:tblPr>
      <w:tblGrid>
        <w:gridCol w:w="2368"/>
        <w:gridCol w:w="1984"/>
        <w:gridCol w:w="1984"/>
        <w:gridCol w:w="1984"/>
      </w:tblGrid>
      <w:tr w:rsidR="00917C6D" w:rsidRPr="0086400E" w14:paraId="004ACF4A" w14:textId="77777777" w:rsidTr="000D1589">
        <w:trPr>
          <w:cantSplit/>
          <w:trHeight w:val="283"/>
          <w:tblHeader/>
          <w:jc w:val="center"/>
        </w:trPr>
        <w:tc>
          <w:tcPr>
            <w:tcW w:w="8320" w:type="dxa"/>
            <w:gridSpan w:val="4"/>
            <w:vAlign w:val="center"/>
          </w:tcPr>
          <w:p w14:paraId="2D297ED0" w14:textId="5F89BFD2" w:rsidR="00917C6D" w:rsidRPr="0086400E" w:rsidRDefault="00917C6D" w:rsidP="000D1589">
            <w:pPr>
              <w:pStyle w:val="aa"/>
              <w:ind w:left="113"/>
              <w:rPr>
                <w:rFonts w:ascii="David" w:eastAsiaTheme="minorHAnsi" w:hAnsi="David" w:cs="David"/>
                <w:rtl/>
              </w:rPr>
            </w:pPr>
            <w:r w:rsidRPr="0086400E">
              <w:rPr>
                <w:rFonts w:ascii="David" w:eastAsiaTheme="minorHAnsi" w:hAnsi="David" w:cs="David"/>
                <w:rtl/>
              </w:rPr>
              <w:lastRenderedPageBreak/>
              <w:t xml:space="preserve">לוח </w:t>
            </w:r>
            <w:r w:rsidRPr="0086400E">
              <w:rPr>
                <w:rFonts w:ascii="David" w:hAnsi="David" w:cs="David"/>
                <w:rtl/>
              </w:rPr>
              <w:fldChar w:fldCharType="begin"/>
            </w:r>
            <w:r w:rsidRPr="0086400E">
              <w:rPr>
                <w:rFonts w:ascii="David" w:eastAsiaTheme="minorHAnsi" w:hAnsi="David" w:cs="David"/>
                <w:rtl/>
              </w:rPr>
              <w:instrText xml:space="preserve"> </w:instrText>
            </w:r>
            <w:r w:rsidRPr="0086400E">
              <w:rPr>
                <w:rFonts w:ascii="David" w:eastAsiaTheme="minorHAnsi" w:hAnsi="David" w:cs="David"/>
              </w:rPr>
              <w:instrText>SEQ</w:instrText>
            </w:r>
            <w:r w:rsidRPr="0086400E">
              <w:rPr>
                <w:rFonts w:ascii="David" w:eastAsiaTheme="minorHAnsi" w:hAnsi="David" w:cs="David"/>
                <w:rtl/>
              </w:rPr>
              <w:instrText xml:space="preserve"> לוח \* </w:instrText>
            </w:r>
            <w:r w:rsidRPr="0086400E">
              <w:rPr>
                <w:rFonts w:ascii="David" w:eastAsiaTheme="minorHAnsi" w:hAnsi="David" w:cs="David"/>
              </w:rPr>
              <w:instrText>ARABIC</w:instrText>
            </w:r>
            <w:r w:rsidRPr="0086400E">
              <w:rPr>
                <w:rFonts w:ascii="David" w:eastAsiaTheme="minorHAnsi" w:hAnsi="David" w:cs="David"/>
                <w:rtl/>
              </w:rPr>
              <w:instrText xml:space="preserve"> </w:instrText>
            </w:r>
            <w:r w:rsidRPr="0086400E">
              <w:rPr>
                <w:rFonts w:ascii="David" w:hAnsi="David" w:cs="David"/>
                <w:rtl/>
              </w:rPr>
              <w:fldChar w:fldCharType="separate"/>
            </w:r>
            <w:r w:rsidR="00C45083">
              <w:rPr>
                <w:rFonts w:ascii="David" w:eastAsiaTheme="minorHAnsi" w:hAnsi="David" w:cs="David"/>
                <w:noProof/>
                <w:rtl/>
              </w:rPr>
              <w:t>2</w:t>
            </w:r>
            <w:r w:rsidRPr="0086400E">
              <w:rPr>
                <w:rFonts w:ascii="David" w:hAnsi="David" w:cs="David"/>
                <w:rtl/>
              </w:rPr>
              <w:fldChar w:fldCharType="end"/>
            </w:r>
            <w:bookmarkEnd w:id="2"/>
          </w:p>
          <w:p w14:paraId="2BF2BCA4" w14:textId="2D6D3C4A" w:rsidR="00917C6D" w:rsidRPr="0086400E" w:rsidRDefault="00917C6D" w:rsidP="00EA1778">
            <w:pPr>
              <w:pStyle w:val="aa"/>
              <w:ind w:left="113"/>
              <w:rPr>
                <w:rFonts w:ascii="David" w:eastAsiaTheme="minorHAnsi" w:hAnsi="David" w:cs="David"/>
                <w:b w:val="0"/>
                <w:bCs w:val="0"/>
                <w:rtl/>
              </w:rPr>
            </w:pPr>
            <w:r w:rsidRPr="0086400E">
              <w:rPr>
                <w:rFonts w:ascii="David" w:eastAsiaTheme="minorHAnsi" w:hAnsi="David" w:cs="David"/>
                <w:rtl/>
              </w:rPr>
              <w:t>התחזיות לגבי האינפלציה במהלך השנה הקרובה ולגבי הריבית בעוד שנה</w:t>
            </w:r>
          </w:p>
          <w:p w14:paraId="1A3BB992" w14:textId="77777777" w:rsidR="00917C6D" w:rsidRPr="0086400E" w:rsidRDefault="00917C6D" w:rsidP="000D1589">
            <w:pPr>
              <w:pStyle w:val="aa"/>
              <w:ind w:left="113"/>
              <w:rPr>
                <w:rFonts w:ascii="David" w:hAnsi="David" w:cs="David"/>
                <w:b w:val="0"/>
                <w:bCs w:val="0"/>
                <w:highlight w:val="yellow"/>
                <w:rtl/>
              </w:rPr>
            </w:pPr>
            <w:r w:rsidRPr="0086400E">
              <w:rPr>
                <w:rFonts w:ascii="David" w:eastAsiaTheme="minorHAnsi" w:hAnsi="David" w:cs="David"/>
                <w:b w:val="0"/>
                <w:bCs w:val="0"/>
                <w:rtl/>
              </w:rPr>
              <w:t>(אחוזים)</w:t>
            </w:r>
          </w:p>
        </w:tc>
      </w:tr>
      <w:tr w:rsidR="00917C6D" w:rsidRPr="0086400E" w14:paraId="05DEFF04" w14:textId="77777777" w:rsidTr="000D1589">
        <w:trPr>
          <w:cantSplit/>
          <w:trHeight w:val="283"/>
          <w:tblHeader/>
          <w:jc w:val="center"/>
        </w:trPr>
        <w:tc>
          <w:tcPr>
            <w:tcW w:w="0" w:type="auto"/>
            <w:tcBorders>
              <w:bottom w:val="single" w:sz="4" w:space="0" w:color="auto"/>
            </w:tcBorders>
            <w:vAlign w:val="center"/>
          </w:tcPr>
          <w:p w14:paraId="50FEF4AB" w14:textId="77777777" w:rsidR="00917C6D" w:rsidRPr="0086400E" w:rsidRDefault="00917C6D" w:rsidP="000D1589">
            <w:pPr>
              <w:pStyle w:val="Tablenc"/>
              <w:jc w:val="center"/>
              <w:rPr>
                <w:rFonts w:ascii="David" w:hAnsi="David" w:cs="David"/>
                <w:rtl/>
              </w:rPr>
            </w:pPr>
          </w:p>
        </w:tc>
        <w:tc>
          <w:tcPr>
            <w:tcW w:w="1984" w:type="dxa"/>
            <w:tcBorders>
              <w:bottom w:val="single" w:sz="4" w:space="0" w:color="auto"/>
            </w:tcBorders>
            <w:shd w:val="clear" w:color="auto" w:fill="auto"/>
            <w:vAlign w:val="center"/>
          </w:tcPr>
          <w:p w14:paraId="5FFD1318" w14:textId="77777777" w:rsidR="00917C6D" w:rsidRPr="0086400E" w:rsidRDefault="00917C6D" w:rsidP="000D1589">
            <w:pPr>
              <w:pStyle w:val="Tablenc"/>
              <w:jc w:val="center"/>
              <w:rPr>
                <w:rFonts w:ascii="David" w:hAnsi="David" w:cs="David"/>
                <w:rtl/>
              </w:rPr>
            </w:pPr>
            <w:r w:rsidRPr="0086400E">
              <w:rPr>
                <w:rFonts w:ascii="David" w:hAnsi="David" w:cs="David"/>
                <w:rtl/>
              </w:rPr>
              <w:t>חטיבת המחקר של בנק ישראל</w:t>
            </w:r>
          </w:p>
        </w:tc>
        <w:tc>
          <w:tcPr>
            <w:tcW w:w="1984" w:type="dxa"/>
            <w:tcBorders>
              <w:bottom w:val="single" w:sz="4" w:space="0" w:color="auto"/>
            </w:tcBorders>
            <w:shd w:val="clear" w:color="auto" w:fill="auto"/>
            <w:vAlign w:val="center"/>
          </w:tcPr>
          <w:p w14:paraId="0AD2792E" w14:textId="77777777" w:rsidR="00917C6D" w:rsidRPr="0086400E" w:rsidRDefault="00917C6D" w:rsidP="000D1589">
            <w:pPr>
              <w:pStyle w:val="Tablenc"/>
              <w:jc w:val="center"/>
              <w:rPr>
                <w:rFonts w:ascii="David" w:hAnsi="David" w:cs="David"/>
                <w:rtl/>
              </w:rPr>
            </w:pPr>
            <w:r w:rsidRPr="0086400E">
              <w:rPr>
                <w:rFonts w:ascii="David" w:hAnsi="David" w:cs="David"/>
                <w:rtl/>
              </w:rPr>
              <w:t>שוק ההון</w:t>
            </w:r>
            <w:r w:rsidRPr="0086400E">
              <w:rPr>
                <w:rFonts w:ascii="David" w:hAnsi="David" w:cs="David"/>
                <w:vertAlign w:val="superscript"/>
                <w:rtl/>
              </w:rPr>
              <w:t>1</w:t>
            </w:r>
          </w:p>
        </w:tc>
        <w:tc>
          <w:tcPr>
            <w:tcW w:w="1984" w:type="dxa"/>
            <w:tcBorders>
              <w:bottom w:val="single" w:sz="4" w:space="0" w:color="auto"/>
            </w:tcBorders>
            <w:shd w:val="clear" w:color="auto" w:fill="auto"/>
            <w:vAlign w:val="center"/>
          </w:tcPr>
          <w:p w14:paraId="477F9E0C" w14:textId="77777777" w:rsidR="00917C6D" w:rsidRPr="0086400E" w:rsidRDefault="00917C6D" w:rsidP="000D1589">
            <w:pPr>
              <w:pStyle w:val="Tablenc"/>
              <w:jc w:val="center"/>
              <w:rPr>
                <w:rFonts w:ascii="David" w:hAnsi="David" w:cs="David"/>
                <w:rtl/>
              </w:rPr>
            </w:pPr>
            <w:r w:rsidRPr="0086400E">
              <w:rPr>
                <w:rFonts w:ascii="David" w:hAnsi="David" w:cs="David"/>
                <w:rtl/>
              </w:rPr>
              <w:t>החזאים הפרטיים</w:t>
            </w:r>
            <w:r w:rsidRPr="0086400E">
              <w:rPr>
                <w:rFonts w:ascii="David" w:hAnsi="David" w:cs="David"/>
                <w:vertAlign w:val="superscript"/>
                <w:rtl/>
              </w:rPr>
              <w:t>2</w:t>
            </w:r>
          </w:p>
        </w:tc>
      </w:tr>
      <w:tr w:rsidR="00917C6D" w:rsidRPr="0086400E" w14:paraId="112BB4B0" w14:textId="77777777" w:rsidTr="000D1589">
        <w:trPr>
          <w:cantSplit/>
          <w:trHeight w:val="283"/>
          <w:jc w:val="center"/>
        </w:trPr>
        <w:tc>
          <w:tcPr>
            <w:tcW w:w="0" w:type="auto"/>
            <w:tcBorders>
              <w:top w:val="single" w:sz="4" w:space="0" w:color="auto"/>
              <w:bottom w:val="single" w:sz="4" w:space="0" w:color="auto"/>
            </w:tcBorders>
            <w:vAlign w:val="center"/>
          </w:tcPr>
          <w:p w14:paraId="56E9E8F6" w14:textId="77777777" w:rsidR="00917C6D" w:rsidRPr="0086400E" w:rsidRDefault="00917C6D" w:rsidP="000D1589">
            <w:pPr>
              <w:pStyle w:val="Tablenc"/>
              <w:jc w:val="left"/>
              <w:rPr>
                <w:rFonts w:ascii="David" w:hAnsi="David" w:cs="David"/>
                <w:rtl/>
              </w:rPr>
            </w:pPr>
            <w:r w:rsidRPr="0086400E">
              <w:rPr>
                <w:rFonts w:ascii="David" w:hAnsi="David" w:cs="David"/>
                <w:rtl/>
              </w:rPr>
              <w:t>האינפלציה</w:t>
            </w:r>
            <w:r w:rsidRPr="0086400E">
              <w:rPr>
                <w:rFonts w:ascii="David" w:hAnsi="David" w:cs="David"/>
                <w:vertAlign w:val="superscript"/>
                <w:rtl/>
              </w:rPr>
              <w:t>3</w:t>
            </w:r>
            <w:r w:rsidRPr="0086400E">
              <w:rPr>
                <w:rFonts w:ascii="David" w:hAnsi="David" w:cs="David"/>
                <w:rtl/>
              </w:rPr>
              <w:t xml:space="preserve"> (טווח התחזיות)</w:t>
            </w:r>
          </w:p>
        </w:tc>
        <w:tc>
          <w:tcPr>
            <w:tcW w:w="1984" w:type="dxa"/>
            <w:tcBorders>
              <w:top w:val="single" w:sz="4" w:space="0" w:color="auto"/>
              <w:bottom w:val="single" w:sz="4" w:space="0" w:color="auto"/>
            </w:tcBorders>
            <w:shd w:val="clear" w:color="auto" w:fill="auto"/>
            <w:vAlign w:val="center"/>
          </w:tcPr>
          <w:p w14:paraId="669AFB28" w14:textId="0EBA1A45" w:rsidR="00917C6D" w:rsidRPr="0086400E" w:rsidRDefault="00917C6D" w:rsidP="00066E7E">
            <w:pPr>
              <w:pStyle w:val="Tablenc"/>
              <w:jc w:val="center"/>
              <w:rPr>
                <w:rFonts w:ascii="David" w:hAnsi="David" w:cs="David"/>
                <w:rtl/>
              </w:rPr>
            </w:pPr>
            <w:r w:rsidRPr="0086400E">
              <w:rPr>
                <w:rFonts w:ascii="David" w:hAnsi="David" w:cs="David"/>
                <w:rtl/>
              </w:rPr>
              <w:t>1.</w:t>
            </w:r>
            <w:r w:rsidR="00066E7E" w:rsidRPr="0086400E">
              <w:rPr>
                <w:rFonts w:ascii="David" w:hAnsi="David" w:cs="David"/>
                <w:rtl/>
              </w:rPr>
              <w:t>0</w:t>
            </w:r>
          </w:p>
        </w:tc>
        <w:tc>
          <w:tcPr>
            <w:tcW w:w="1984" w:type="dxa"/>
            <w:tcBorders>
              <w:top w:val="single" w:sz="4" w:space="0" w:color="auto"/>
              <w:bottom w:val="single" w:sz="4" w:space="0" w:color="auto"/>
            </w:tcBorders>
            <w:shd w:val="clear" w:color="auto" w:fill="auto"/>
            <w:vAlign w:val="center"/>
          </w:tcPr>
          <w:p w14:paraId="62A22CE8" w14:textId="58927000" w:rsidR="00917C6D" w:rsidRPr="0086400E" w:rsidRDefault="00553C63" w:rsidP="000D1589">
            <w:pPr>
              <w:pStyle w:val="Tablenc"/>
              <w:jc w:val="center"/>
              <w:rPr>
                <w:rFonts w:ascii="David" w:hAnsi="David" w:cs="David"/>
                <w:rtl/>
              </w:rPr>
            </w:pPr>
            <w:r>
              <w:rPr>
                <w:rFonts w:ascii="David" w:hAnsi="David" w:cs="David" w:hint="cs"/>
                <w:rtl/>
              </w:rPr>
              <w:t>0.8</w:t>
            </w:r>
          </w:p>
        </w:tc>
        <w:tc>
          <w:tcPr>
            <w:tcW w:w="1984" w:type="dxa"/>
            <w:tcBorders>
              <w:top w:val="single" w:sz="4" w:space="0" w:color="auto"/>
              <w:bottom w:val="single" w:sz="4" w:space="0" w:color="auto"/>
            </w:tcBorders>
            <w:shd w:val="clear" w:color="auto" w:fill="auto"/>
            <w:vAlign w:val="center"/>
          </w:tcPr>
          <w:p w14:paraId="02A1B865" w14:textId="6C00AF16" w:rsidR="00917C6D" w:rsidRPr="0086400E" w:rsidRDefault="00553C63" w:rsidP="00F54EB8">
            <w:pPr>
              <w:pStyle w:val="Tablenc"/>
              <w:jc w:val="center"/>
              <w:rPr>
                <w:rFonts w:ascii="David" w:hAnsi="David" w:cs="David"/>
                <w:rtl/>
              </w:rPr>
            </w:pPr>
            <w:r>
              <w:rPr>
                <w:rFonts w:ascii="David" w:hAnsi="David" w:cs="David" w:hint="cs"/>
                <w:rtl/>
              </w:rPr>
              <w:t>1.1</w:t>
            </w:r>
            <w:r w:rsidR="00BD6A35" w:rsidRPr="0086400E">
              <w:rPr>
                <w:rFonts w:ascii="David" w:hAnsi="David" w:cs="David"/>
                <w:rtl/>
              </w:rPr>
              <w:t xml:space="preserve"> (0.</w:t>
            </w:r>
            <w:r w:rsidR="00F54EB8">
              <w:rPr>
                <w:rFonts w:ascii="David" w:hAnsi="David" w:cs="David" w:hint="cs"/>
                <w:rtl/>
              </w:rPr>
              <w:t>5</w:t>
            </w:r>
            <w:r w:rsidR="00EA52EA">
              <w:rPr>
                <w:rFonts w:ascii="David" w:hAnsi="David" w:cs="David" w:hint="cs"/>
                <w:rtl/>
              </w:rPr>
              <w:t xml:space="preserve"> </w:t>
            </w:r>
            <w:r w:rsidR="00EA52EA" w:rsidRPr="00EA52EA">
              <w:rPr>
                <w:rFonts w:ascii="David" w:hAnsi="David" w:cs="David"/>
                <w:rtl/>
              </w:rPr>
              <w:t xml:space="preserve">– </w:t>
            </w:r>
            <w:r w:rsidR="00BD6A35" w:rsidRPr="0086400E">
              <w:rPr>
                <w:rFonts w:ascii="David" w:hAnsi="David" w:cs="David"/>
                <w:rtl/>
              </w:rPr>
              <w:t>2</w:t>
            </w:r>
            <w:r>
              <w:rPr>
                <w:rFonts w:ascii="David" w:hAnsi="David" w:cs="David" w:hint="cs"/>
                <w:rtl/>
              </w:rPr>
              <w:t>.0</w:t>
            </w:r>
            <w:r w:rsidR="00BD6A35" w:rsidRPr="0086400E">
              <w:rPr>
                <w:rFonts w:ascii="David" w:hAnsi="David" w:cs="David"/>
                <w:rtl/>
              </w:rPr>
              <w:t>)</w:t>
            </w:r>
          </w:p>
        </w:tc>
      </w:tr>
      <w:tr w:rsidR="00917C6D" w:rsidRPr="0086400E" w14:paraId="3232B200" w14:textId="77777777" w:rsidTr="008A5921">
        <w:trPr>
          <w:cantSplit/>
          <w:trHeight w:val="283"/>
          <w:jc w:val="center"/>
        </w:trPr>
        <w:tc>
          <w:tcPr>
            <w:tcW w:w="0" w:type="auto"/>
            <w:tcBorders>
              <w:top w:val="single" w:sz="4" w:space="0" w:color="auto"/>
              <w:bottom w:val="single" w:sz="4" w:space="0" w:color="auto"/>
            </w:tcBorders>
            <w:shd w:val="clear" w:color="auto" w:fill="auto"/>
            <w:vAlign w:val="center"/>
          </w:tcPr>
          <w:p w14:paraId="54BF8E0B" w14:textId="77777777" w:rsidR="00917C6D" w:rsidRPr="008A5921" w:rsidRDefault="00917C6D" w:rsidP="000D1589">
            <w:pPr>
              <w:pStyle w:val="Tablenc"/>
              <w:jc w:val="left"/>
              <w:rPr>
                <w:rFonts w:ascii="David" w:hAnsi="David" w:cs="David"/>
                <w:rtl/>
              </w:rPr>
            </w:pPr>
            <w:r w:rsidRPr="008A5921">
              <w:rPr>
                <w:rFonts w:ascii="David" w:hAnsi="David" w:cs="David"/>
                <w:rtl/>
              </w:rPr>
              <w:t>הריבית</w:t>
            </w:r>
            <w:r w:rsidRPr="008A5921">
              <w:rPr>
                <w:rFonts w:ascii="David" w:hAnsi="David" w:cs="David"/>
                <w:vertAlign w:val="superscript"/>
                <w:rtl/>
              </w:rPr>
              <w:t xml:space="preserve">4 </w:t>
            </w:r>
            <w:r w:rsidRPr="008A5921">
              <w:rPr>
                <w:rFonts w:ascii="David" w:hAnsi="David" w:cs="David"/>
                <w:rtl/>
              </w:rPr>
              <w:t>(טווח התחזיות)</w:t>
            </w:r>
          </w:p>
        </w:tc>
        <w:tc>
          <w:tcPr>
            <w:tcW w:w="1984" w:type="dxa"/>
            <w:tcBorders>
              <w:top w:val="single" w:sz="4" w:space="0" w:color="auto"/>
              <w:bottom w:val="single" w:sz="4" w:space="0" w:color="auto"/>
            </w:tcBorders>
            <w:shd w:val="clear" w:color="auto" w:fill="auto"/>
            <w:vAlign w:val="center"/>
          </w:tcPr>
          <w:p w14:paraId="53B91F20" w14:textId="173774EB" w:rsidR="00917C6D" w:rsidRPr="008A5921" w:rsidRDefault="00FC04FE" w:rsidP="00066E7E">
            <w:pPr>
              <w:pStyle w:val="Tablenc"/>
              <w:jc w:val="center"/>
              <w:rPr>
                <w:rFonts w:ascii="David" w:hAnsi="David" w:cs="David"/>
                <w:rtl/>
              </w:rPr>
            </w:pPr>
            <w:r>
              <w:rPr>
                <w:rFonts w:ascii="David" w:hAnsi="David" w:cs="David" w:hint="cs"/>
                <w:rtl/>
              </w:rPr>
              <w:t xml:space="preserve">0.1 </w:t>
            </w:r>
            <w:r>
              <w:rPr>
                <w:rFonts w:ascii="David" w:hAnsi="David" w:cs="David"/>
                <w:rtl/>
              </w:rPr>
              <w:t>–</w:t>
            </w:r>
            <w:r>
              <w:rPr>
                <w:rFonts w:ascii="David" w:hAnsi="David" w:cs="David" w:hint="cs"/>
                <w:rtl/>
              </w:rPr>
              <w:t xml:space="preserve"> 0.25</w:t>
            </w:r>
          </w:p>
        </w:tc>
        <w:tc>
          <w:tcPr>
            <w:tcW w:w="1984" w:type="dxa"/>
            <w:tcBorders>
              <w:top w:val="single" w:sz="4" w:space="0" w:color="auto"/>
              <w:bottom w:val="single" w:sz="4" w:space="0" w:color="auto"/>
            </w:tcBorders>
            <w:shd w:val="clear" w:color="auto" w:fill="auto"/>
            <w:vAlign w:val="center"/>
          </w:tcPr>
          <w:p w14:paraId="7FEBF460" w14:textId="6E23C1E9" w:rsidR="00917C6D" w:rsidRPr="0086400E" w:rsidRDefault="00917C6D" w:rsidP="00066E7E">
            <w:pPr>
              <w:pStyle w:val="Tablenc"/>
              <w:jc w:val="center"/>
              <w:rPr>
                <w:rFonts w:ascii="David" w:hAnsi="David" w:cs="David"/>
              </w:rPr>
            </w:pPr>
            <w:r w:rsidRPr="0086400E">
              <w:rPr>
                <w:rFonts w:ascii="David" w:hAnsi="David" w:cs="David"/>
                <w:rtl/>
              </w:rPr>
              <w:t>0.</w:t>
            </w:r>
            <w:r w:rsidR="00553C63">
              <w:rPr>
                <w:rFonts w:ascii="David" w:hAnsi="David" w:cs="David"/>
                <w:rtl/>
              </w:rPr>
              <w:t>1</w:t>
            </w:r>
          </w:p>
        </w:tc>
        <w:tc>
          <w:tcPr>
            <w:tcW w:w="1984" w:type="dxa"/>
            <w:tcBorders>
              <w:top w:val="single" w:sz="4" w:space="0" w:color="auto"/>
              <w:bottom w:val="single" w:sz="4" w:space="0" w:color="auto"/>
            </w:tcBorders>
            <w:shd w:val="clear" w:color="auto" w:fill="auto"/>
            <w:vAlign w:val="center"/>
          </w:tcPr>
          <w:p w14:paraId="1A0AFA58" w14:textId="4556D5A7" w:rsidR="00917C6D" w:rsidRPr="0086400E" w:rsidRDefault="00BD6A35" w:rsidP="00EA52EA">
            <w:pPr>
              <w:pStyle w:val="Tablenc"/>
              <w:jc w:val="center"/>
              <w:rPr>
                <w:rFonts w:ascii="David" w:hAnsi="David" w:cs="David"/>
                <w:rtl/>
              </w:rPr>
            </w:pPr>
            <w:r w:rsidRPr="0086400E">
              <w:rPr>
                <w:rFonts w:ascii="David" w:hAnsi="David" w:cs="David"/>
                <w:rtl/>
              </w:rPr>
              <w:t xml:space="preserve">0.1 </w:t>
            </w:r>
            <w:r w:rsidR="00EA52EA" w:rsidRPr="00EA52EA">
              <w:rPr>
                <w:rFonts w:ascii="David" w:hAnsi="David" w:cs="David"/>
                <w:rtl/>
              </w:rPr>
              <w:t>((0.4-) – 0.25)</w:t>
            </w:r>
          </w:p>
        </w:tc>
      </w:tr>
      <w:tr w:rsidR="00917C6D" w:rsidRPr="0086400E" w14:paraId="213FAD0F" w14:textId="77777777" w:rsidTr="000D1589">
        <w:trPr>
          <w:cantSplit/>
          <w:trHeight w:val="283"/>
          <w:jc w:val="center"/>
        </w:trPr>
        <w:tc>
          <w:tcPr>
            <w:tcW w:w="8320" w:type="dxa"/>
            <w:gridSpan w:val="4"/>
            <w:tcBorders>
              <w:top w:val="single" w:sz="4" w:space="0" w:color="auto"/>
            </w:tcBorders>
            <w:vAlign w:val="center"/>
          </w:tcPr>
          <w:p w14:paraId="5DE36E09" w14:textId="209F3821" w:rsidR="00917C6D" w:rsidRPr="008A4862" w:rsidRDefault="00917C6D" w:rsidP="001A273A">
            <w:pPr>
              <w:numPr>
                <w:ilvl w:val="0"/>
                <w:numId w:val="1"/>
              </w:numPr>
              <w:spacing w:before="60" w:line="240" w:lineRule="auto"/>
              <w:ind w:left="423" w:hanging="283"/>
              <w:rPr>
                <w:rFonts w:ascii="David" w:hAnsi="David" w:cs="David"/>
                <w:sz w:val="18"/>
                <w:szCs w:val="18"/>
              </w:rPr>
            </w:pPr>
            <w:r w:rsidRPr="008A4862">
              <w:rPr>
                <w:rFonts w:ascii="David" w:hAnsi="David" w:cs="David"/>
                <w:sz w:val="18"/>
                <w:szCs w:val="18"/>
                <w:rtl/>
              </w:rPr>
              <w:t xml:space="preserve">ממוצע </w:t>
            </w:r>
            <w:r w:rsidR="0029114E">
              <w:rPr>
                <w:rFonts w:ascii="David" w:hAnsi="David" w:cs="David" w:hint="cs"/>
                <w:sz w:val="18"/>
                <w:szCs w:val="18"/>
                <w:rtl/>
              </w:rPr>
              <w:t xml:space="preserve">הציפיות </w:t>
            </w:r>
            <w:r w:rsidRPr="008A4862">
              <w:rPr>
                <w:rFonts w:ascii="David" w:hAnsi="David" w:cs="David"/>
                <w:sz w:val="18"/>
                <w:szCs w:val="18"/>
                <w:rtl/>
              </w:rPr>
              <w:t xml:space="preserve">לאחר פרסום מדד המחירים לצרכן לחודש </w:t>
            </w:r>
            <w:r w:rsidR="001A273A">
              <w:rPr>
                <w:rFonts w:ascii="David" w:hAnsi="David" w:cs="David" w:hint="cs"/>
                <w:sz w:val="18"/>
                <w:szCs w:val="18"/>
                <w:rtl/>
              </w:rPr>
              <w:t>נובמבר</w:t>
            </w:r>
            <w:r w:rsidRPr="008A4862">
              <w:rPr>
                <w:rFonts w:ascii="David" w:hAnsi="David" w:cs="David"/>
                <w:sz w:val="18"/>
                <w:szCs w:val="18"/>
                <w:rtl/>
              </w:rPr>
              <w:t>. ציפיות האינפלציה מנוכות עונתיות.</w:t>
            </w:r>
          </w:p>
          <w:p w14:paraId="79012668" w14:textId="10B48819" w:rsidR="00917C6D" w:rsidRPr="008A4862" w:rsidRDefault="00917C6D" w:rsidP="00322146">
            <w:pPr>
              <w:numPr>
                <w:ilvl w:val="0"/>
                <w:numId w:val="1"/>
              </w:numPr>
              <w:spacing w:before="60" w:line="240" w:lineRule="auto"/>
              <w:ind w:left="423" w:hanging="283"/>
              <w:rPr>
                <w:rFonts w:ascii="David" w:hAnsi="David" w:cs="David"/>
                <w:sz w:val="18"/>
                <w:szCs w:val="18"/>
              </w:rPr>
            </w:pPr>
            <w:r w:rsidRPr="008A4862">
              <w:rPr>
                <w:rFonts w:ascii="David" w:hAnsi="David" w:cs="David"/>
                <w:sz w:val="18"/>
                <w:szCs w:val="18"/>
                <w:rtl/>
              </w:rPr>
              <w:t xml:space="preserve">התחזיות שפורסמו לאחר פרסום מדד המחירים לצרכן לחודש </w:t>
            </w:r>
            <w:r w:rsidR="00553C63">
              <w:rPr>
                <w:rFonts w:ascii="David" w:hAnsi="David" w:cs="David" w:hint="cs"/>
                <w:sz w:val="18"/>
                <w:szCs w:val="18"/>
                <w:rtl/>
              </w:rPr>
              <w:t>נובמבר</w:t>
            </w:r>
            <w:r w:rsidRPr="008A4862">
              <w:rPr>
                <w:rFonts w:ascii="David" w:hAnsi="David" w:cs="David"/>
                <w:sz w:val="18"/>
                <w:szCs w:val="18"/>
                <w:rtl/>
              </w:rPr>
              <w:t>.</w:t>
            </w:r>
          </w:p>
          <w:p w14:paraId="3C2B6D80" w14:textId="6AFF8E4B" w:rsidR="00917C6D" w:rsidRPr="008A4862" w:rsidRDefault="00917C6D" w:rsidP="007A6D97">
            <w:pPr>
              <w:numPr>
                <w:ilvl w:val="0"/>
                <w:numId w:val="1"/>
              </w:numPr>
              <w:spacing w:before="60" w:line="240" w:lineRule="auto"/>
              <w:ind w:left="423" w:hanging="283"/>
              <w:rPr>
                <w:rFonts w:ascii="David" w:hAnsi="David" w:cs="David"/>
                <w:sz w:val="18"/>
                <w:szCs w:val="18"/>
              </w:rPr>
            </w:pPr>
            <w:r w:rsidRPr="008A4862">
              <w:rPr>
                <w:rFonts w:ascii="David" w:hAnsi="David" w:cs="David"/>
                <w:sz w:val="18"/>
                <w:szCs w:val="18"/>
                <w:rtl/>
              </w:rPr>
              <w:t>האינפלציה בשנה הקרובה (חטיבת המחקר – בארבעת הרבעונים המסתיימים ברבעון הר</w:t>
            </w:r>
            <w:r w:rsidR="00B5522C" w:rsidRPr="008A4862">
              <w:rPr>
                <w:rFonts w:ascii="David" w:hAnsi="David" w:cs="David"/>
                <w:sz w:val="18"/>
                <w:szCs w:val="18"/>
                <w:rtl/>
              </w:rPr>
              <w:t>ביעי</w:t>
            </w:r>
            <w:r w:rsidRPr="008A4862">
              <w:rPr>
                <w:rFonts w:ascii="David" w:hAnsi="David" w:cs="David"/>
                <w:sz w:val="18"/>
                <w:szCs w:val="18"/>
                <w:rtl/>
              </w:rPr>
              <w:t xml:space="preserve"> של 2020).</w:t>
            </w:r>
          </w:p>
          <w:p w14:paraId="69149BF1" w14:textId="1C90A4C5" w:rsidR="00917C6D" w:rsidRPr="008A4862" w:rsidRDefault="00917C6D" w:rsidP="00966A4A">
            <w:pPr>
              <w:numPr>
                <w:ilvl w:val="0"/>
                <w:numId w:val="1"/>
              </w:numPr>
              <w:spacing w:before="60" w:line="240" w:lineRule="auto"/>
              <w:ind w:left="423" w:hanging="283"/>
              <w:rPr>
                <w:rFonts w:ascii="David" w:hAnsi="David" w:cs="David"/>
                <w:sz w:val="18"/>
                <w:szCs w:val="18"/>
              </w:rPr>
            </w:pPr>
            <w:r w:rsidRPr="008A4862">
              <w:rPr>
                <w:rFonts w:ascii="David" w:hAnsi="David" w:cs="David"/>
                <w:sz w:val="18"/>
                <w:szCs w:val="18"/>
                <w:rtl/>
              </w:rPr>
              <w:t>הריבית בעוד שנה (חטיבת המחקר – ברבעון הר</w:t>
            </w:r>
            <w:r w:rsidR="00966A4A" w:rsidRPr="008A4862">
              <w:rPr>
                <w:rFonts w:ascii="David" w:hAnsi="David" w:cs="David"/>
                <w:sz w:val="18"/>
                <w:szCs w:val="18"/>
                <w:rtl/>
              </w:rPr>
              <w:t>ביעי</w:t>
            </w:r>
            <w:r w:rsidRPr="008A4862">
              <w:rPr>
                <w:rFonts w:ascii="David" w:hAnsi="David" w:cs="David"/>
                <w:sz w:val="18"/>
                <w:szCs w:val="18"/>
                <w:rtl/>
              </w:rPr>
              <w:t xml:space="preserve"> של 2020). הציפיות משוק ההון מבוססות על שוק התלבור.</w:t>
            </w:r>
          </w:p>
          <w:p w14:paraId="56AF6196" w14:textId="77777777" w:rsidR="00917C6D" w:rsidRPr="0086400E" w:rsidRDefault="00917C6D" w:rsidP="000D1589">
            <w:pPr>
              <w:spacing w:before="60"/>
              <w:ind w:left="423"/>
              <w:jc w:val="left"/>
              <w:rPr>
                <w:rFonts w:ascii="David" w:hAnsi="David" w:cs="David"/>
                <w:sz w:val="18"/>
                <w:szCs w:val="18"/>
                <w:rtl/>
              </w:rPr>
            </w:pPr>
            <w:r w:rsidRPr="008A4862">
              <w:rPr>
                <w:rFonts w:ascii="David" w:hAnsi="David" w:cs="David"/>
                <w:sz w:val="18"/>
                <w:szCs w:val="18"/>
                <w:rtl/>
              </w:rPr>
              <w:t xml:space="preserve"> המקור: בנק ישראל.</w:t>
            </w:r>
          </w:p>
        </w:tc>
      </w:tr>
    </w:tbl>
    <w:p w14:paraId="22DECBB4" w14:textId="77777777" w:rsidR="00917C6D" w:rsidRPr="0086400E" w:rsidRDefault="00917C6D" w:rsidP="00917C6D">
      <w:pPr>
        <w:pStyle w:val="2"/>
        <w:ind w:left="113" w:hanging="357"/>
        <w:rPr>
          <w:rFonts w:ascii="David" w:hAnsi="David" w:cs="David"/>
          <w:rtl/>
        </w:rPr>
      </w:pPr>
      <w:r w:rsidRPr="0086400E">
        <w:rPr>
          <w:rFonts w:ascii="David" w:hAnsi="David" w:cs="David"/>
          <w:rtl/>
        </w:rPr>
        <w:t>הסיכונים העיקריים לתחזית</w:t>
      </w:r>
    </w:p>
    <w:p w14:paraId="675B3EBF" w14:textId="40911004" w:rsidR="0086400E" w:rsidRDefault="00261E65" w:rsidP="00E22423">
      <w:pPr>
        <w:ind w:left="0"/>
        <w:rPr>
          <w:rFonts w:ascii="David" w:hAnsi="David" w:cs="David"/>
          <w:rtl/>
        </w:rPr>
      </w:pPr>
      <w:r w:rsidRPr="00C21E73">
        <w:rPr>
          <w:rFonts w:ascii="David" w:hAnsi="David" w:cs="David"/>
          <w:rtl/>
        </w:rPr>
        <w:t xml:space="preserve">גורמים </w:t>
      </w:r>
      <w:r w:rsidRPr="00C21E73">
        <w:rPr>
          <w:rFonts w:ascii="David" w:hAnsi="David" w:cs="David" w:hint="eastAsia"/>
          <w:rtl/>
        </w:rPr>
        <w:t>שונים</w:t>
      </w:r>
      <w:r w:rsidRPr="00C21E73">
        <w:rPr>
          <w:rFonts w:ascii="David" w:hAnsi="David" w:cs="David"/>
          <w:rtl/>
        </w:rPr>
        <w:t xml:space="preserve"> עשויים להביא </w:t>
      </w:r>
      <w:r w:rsidRPr="00C21E73">
        <w:rPr>
          <w:rFonts w:ascii="David" w:hAnsi="David" w:cs="David" w:hint="eastAsia"/>
          <w:rtl/>
        </w:rPr>
        <w:t>להתפתחויות</w:t>
      </w:r>
      <w:r w:rsidRPr="00C21E73">
        <w:rPr>
          <w:rFonts w:ascii="David" w:hAnsi="David" w:cs="David"/>
          <w:rtl/>
        </w:rPr>
        <w:t xml:space="preserve"> כלכליות שונות מאלה </w:t>
      </w:r>
      <w:r>
        <w:rPr>
          <w:rFonts w:ascii="David" w:hAnsi="David" w:cs="David" w:hint="cs"/>
          <w:rtl/>
        </w:rPr>
        <w:t>ש</w:t>
      </w:r>
      <w:r w:rsidRPr="00C21E73">
        <w:rPr>
          <w:rFonts w:ascii="David" w:hAnsi="David" w:cs="David" w:hint="eastAsia"/>
          <w:rtl/>
        </w:rPr>
        <w:t>מוצגות</w:t>
      </w:r>
      <w:r w:rsidRPr="00C21E73">
        <w:rPr>
          <w:rFonts w:ascii="David" w:hAnsi="David" w:cs="David"/>
          <w:rtl/>
        </w:rPr>
        <w:t xml:space="preserve"> </w:t>
      </w:r>
      <w:r w:rsidRPr="00C21E73">
        <w:rPr>
          <w:rFonts w:ascii="David" w:hAnsi="David" w:cs="David" w:hint="eastAsia"/>
          <w:rtl/>
        </w:rPr>
        <w:t>בתחזית</w:t>
      </w:r>
      <w:r>
        <w:rPr>
          <w:rFonts w:ascii="David" w:hAnsi="David" w:cs="David" w:hint="cs"/>
          <w:rtl/>
        </w:rPr>
        <w:t xml:space="preserve">. </w:t>
      </w:r>
      <w:r w:rsidR="007A6D97">
        <w:rPr>
          <w:rFonts w:ascii="David" w:hAnsi="David" w:cs="David" w:hint="cs"/>
          <w:rtl/>
        </w:rPr>
        <w:t>ב</w:t>
      </w:r>
      <w:r w:rsidRPr="00C21E73">
        <w:rPr>
          <w:rFonts w:ascii="David" w:hAnsi="David" w:cs="David" w:hint="eastAsia"/>
          <w:rtl/>
        </w:rPr>
        <w:t>סביבה</w:t>
      </w:r>
      <w:r w:rsidRPr="00C21E73">
        <w:rPr>
          <w:rFonts w:ascii="David" w:hAnsi="David" w:cs="David"/>
          <w:rtl/>
        </w:rPr>
        <w:t xml:space="preserve"> </w:t>
      </w:r>
      <w:r w:rsidRPr="00C21E73">
        <w:rPr>
          <w:rFonts w:ascii="David" w:hAnsi="David" w:cs="David" w:hint="eastAsia"/>
          <w:rtl/>
        </w:rPr>
        <w:t>המקומית</w:t>
      </w:r>
      <w:r w:rsidRPr="00C21E73">
        <w:rPr>
          <w:rFonts w:ascii="David" w:hAnsi="David" w:cs="David"/>
          <w:rtl/>
        </w:rPr>
        <w:t xml:space="preserve">, </w:t>
      </w:r>
      <w:r>
        <w:rPr>
          <w:rFonts w:ascii="David" w:hAnsi="David" w:cs="David" w:hint="cs"/>
          <w:rtl/>
        </w:rPr>
        <w:t xml:space="preserve">פיזור הכנסת וההחלטה על קיום בחירות </w:t>
      </w:r>
      <w:r w:rsidR="00E22423">
        <w:rPr>
          <w:rFonts w:ascii="David" w:hAnsi="David" w:cs="David" w:hint="cs"/>
          <w:rtl/>
        </w:rPr>
        <w:t xml:space="preserve">במארס </w:t>
      </w:r>
      <w:r>
        <w:rPr>
          <w:rFonts w:ascii="David" w:hAnsi="David" w:cs="David" w:hint="cs"/>
          <w:rtl/>
        </w:rPr>
        <w:t>2020, הותירו אי-ודאות גדולה באשר לצעדים שתנקוט הממשלה הבאה על מנת להתמודד עם חריגת הגירעון מהיעד, ובאשר להשפעותיהם על הצמיחה, האינפלציה והריבית. הסיכונים ל</w:t>
      </w:r>
      <w:r w:rsidRPr="00C21E73">
        <w:rPr>
          <w:rFonts w:ascii="David" w:hAnsi="David" w:cs="David" w:hint="eastAsia"/>
          <w:rtl/>
        </w:rPr>
        <w:t>סביבה</w:t>
      </w:r>
      <w:r w:rsidRPr="00C21E73">
        <w:rPr>
          <w:rFonts w:ascii="David" w:hAnsi="David" w:cs="David"/>
          <w:rtl/>
        </w:rPr>
        <w:t xml:space="preserve"> </w:t>
      </w:r>
      <w:r w:rsidRPr="00C21E73">
        <w:rPr>
          <w:rFonts w:ascii="David" w:hAnsi="David" w:cs="David" w:hint="eastAsia"/>
          <w:rtl/>
        </w:rPr>
        <w:t>העולמית</w:t>
      </w:r>
      <w:r>
        <w:rPr>
          <w:rFonts w:ascii="David" w:hAnsi="David" w:cs="David" w:hint="cs"/>
          <w:rtl/>
        </w:rPr>
        <w:t xml:space="preserve"> פחתו בהשוואה לתחזית הקודמת</w:t>
      </w:r>
      <w:r w:rsidRPr="00C21E73">
        <w:rPr>
          <w:rFonts w:ascii="David" w:hAnsi="David" w:cs="David"/>
          <w:rtl/>
        </w:rPr>
        <w:t xml:space="preserve">, </w:t>
      </w:r>
      <w:r>
        <w:rPr>
          <w:rFonts w:ascii="David" w:hAnsi="David" w:cs="David" w:hint="cs"/>
          <w:rtl/>
        </w:rPr>
        <w:t xml:space="preserve">אך הם עדיין מוטים כלפי מטה. סיכונים אלה כוללים את </w:t>
      </w:r>
      <w:r w:rsidRPr="00C21E73">
        <w:rPr>
          <w:rFonts w:ascii="David" w:hAnsi="David" w:cs="David" w:hint="eastAsia"/>
          <w:rtl/>
        </w:rPr>
        <w:t>האפשרות</w:t>
      </w:r>
      <w:r w:rsidRPr="00C21E73">
        <w:rPr>
          <w:rFonts w:ascii="David" w:hAnsi="David" w:cs="David"/>
          <w:rtl/>
        </w:rPr>
        <w:t xml:space="preserve"> להחרפה </w:t>
      </w:r>
      <w:r w:rsidRPr="00C21E73">
        <w:rPr>
          <w:rFonts w:ascii="David" w:hAnsi="David" w:cs="David" w:hint="eastAsia"/>
          <w:rtl/>
        </w:rPr>
        <w:t>במתיחות</w:t>
      </w:r>
      <w:r w:rsidRPr="00C21E73">
        <w:rPr>
          <w:rFonts w:ascii="David" w:hAnsi="David" w:cs="David"/>
          <w:rtl/>
        </w:rPr>
        <w:t xml:space="preserve"> הסחר</w:t>
      </w:r>
      <w:r>
        <w:rPr>
          <w:rFonts w:ascii="David" w:hAnsi="David" w:cs="David"/>
          <w:rtl/>
        </w:rPr>
        <w:t xml:space="preserve"> בין ארה"ב וסין</w:t>
      </w:r>
      <w:r w:rsidRPr="00C21E73">
        <w:rPr>
          <w:rFonts w:ascii="David" w:hAnsi="David" w:cs="David"/>
          <w:rtl/>
        </w:rPr>
        <w:t xml:space="preserve"> </w:t>
      </w:r>
      <w:r>
        <w:rPr>
          <w:rFonts w:ascii="David" w:hAnsi="David" w:cs="David" w:hint="cs"/>
          <w:rtl/>
        </w:rPr>
        <w:t xml:space="preserve">ואת </w:t>
      </w:r>
      <w:r w:rsidRPr="00C21E73">
        <w:rPr>
          <w:rFonts w:ascii="David" w:hAnsi="David" w:cs="David"/>
          <w:rtl/>
        </w:rPr>
        <w:t xml:space="preserve">אי-הוודאות </w:t>
      </w:r>
      <w:r>
        <w:rPr>
          <w:rFonts w:ascii="David" w:hAnsi="David" w:cs="David" w:hint="cs"/>
          <w:rtl/>
        </w:rPr>
        <w:t>לגבי</w:t>
      </w:r>
      <w:r w:rsidRPr="00C21E73">
        <w:rPr>
          <w:rFonts w:ascii="David" w:hAnsi="David" w:cs="David"/>
          <w:rtl/>
        </w:rPr>
        <w:t xml:space="preserve"> </w:t>
      </w:r>
      <w:r w:rsidRPr="00C21E73">
        <w:rPr>
          <w:rFonts w:ascii="David" w:hAnsi="David" w:cs="David" w:hint="eastAsia"/>
          <w:rtl/>
        </w:rPr>
        <w:t>הסכם</w:t>
      </w:r>
      <w:r w:rsidRPr="00C21E73">
        <w:rPr>
          <w:rFonts w:ascii="David" w:hAnsi="David" w:cs="David"/>
          <w:rtl/>
        </w:rPr>
        <w:t xml:space="preserve"> </w:t>
      </w:r>
      <w:r w:rsidRPr="00C21E73">
        <w:rPr>
          <w:rFonts w:ascii="David" w:hAnsi="David" w:cs="David" w:hint="eastAsia"/>
          <w:rtl/>
        </w:rPr>
        <w:t>יציאת</w:t>
      </w:r>
      <w:r w:rsidRPr="00C21E73">
        <w:rPr>
          <w:rFonts w:ascii="David" w:hAnsi="David" w:cs="David"/>
          <w:rtl/>
        </w:rPr>
        <w:t xml:space="preserve"> </w:t>
      </w:r>
      <w:r w:rsidRPr="00C21E73">
        <w:rPr>
          <w:rFonts w:ascii="David" w:hAnsi="David" w:cs="David" w:hint="eastAsia"/>
          <w:rtl/>
        </w:rPr>
        <w:t>בריטניה</w:t>
      </w:r>
      <w:r w:rsidRPr="00C21E73">
        <w:rPr>
          <w:rFonts w:ascii="David" w:hAnsi="David" w:cs="David"/>
          <w:rtl/>
        </w:rPr>
        <w:t xml:space="preserve"> </w:t>
      </w:r>
      <w:r w:rsidRPr="00C21E73">
        <w:rPr>
          <w:rFonts w:ascii="David" w:hAnsi="David" w:cs="David" w:hint="eastAsia"/>
          <w:rtl/>
        </w:rPr>
        <w:t>מהאיחוד</w:t>
      </w:r>
      <w:r w:rsidRPr="00C21E73">
        <w:rPr>
          <w:rFonts w:ascii="David" w:hAnsi="David" w:cs="David"/>
          <w:rtl/>
        </w:rPr>
        <w:t xml:space="preserve"> </w:t>
      </w:r>
      <w:r w:rsidRPr="00C21E73">
        <w:rPr>
          <w:rFonts w:ascii="David" w:hAnsi="David" w:cs="David" w:hint="eastAsia"/>
          <w:rtl/>
        </w:rPr>
        <w:t>האירופי</w:t>
      </w:r>
      <w:r>
        <w:rPr>
          <w:rFonts w:ascii="David" w:hAnsi="David" w:cs="David" w:hint="cs"/>
          <w:rtl/>
        </w:rPr>
        <w:t xml:space="preserve">. </w:t>
      </w:r>
    </w:p>
    <w:p w14:paraId="460D465C" w14:textId="10269BCA" w:rsidR="00E23156" w:rsidRDefault="0086400E" w:rsidP="00283017">
      <w:pPr>
        <w:ind w:left="-29"/>
        <w:rPr>
          <w:rFonts w:ascii="David" w:hAnsi="David" w:cs="David"/>
          <w:b/>
          <w:bCs/>
          <w:color w:val="4F81BD" w:themeColor="accent1"/>
        </w:rPr>
      </w:pPr>
      <w:r w:rsidRPr="00C21E73">
        <w:rPr>
          <w:rFonts w:ascii="David" w:hAnsi="David" w:cs="David" w:hint="eastAsia"/>
          <w:rtl/>
        </w:rPr>
        <w:t>איורים</w:t>
      </w:r>
      <w:r w:rsidRPr="00C21E73">
        <w:rPr>
          <w:rFonts w:ascii="David" w:hAnsi="David" w:cs="David"/>
          <w:rtl/>
        </w:rPr>
        <w:t xml:space="preserve"> </w:t>
      </w:r>
      <w:r w:rsidR="00DD3A08">
        <w:rPr>
          <w:rFonts w:ascii="David" w:hAnsi="David" w:cs="David" w:hint="cs"/>
          <w:rtl/>
        </w:rPr>
        <w:t xml:space="preserve">1-2 </w:t>
      </w:r>
      <w:r w:rsidRPr="00C21E73">
        <w:rPr>
          <w:rFonts w:ascii="David" w:hAnsi="David" w:cs="David"/>
          <w:rtl/>
        </w:rPr>
        <w:t>מציגים מניפות לתחזיות האינפלציה וקצב הצמיחה של התוצר.</w:t>
      </w:r>
      <w:r w:rsidR="00C94845">
        <w:rPr>
          <w:rStyle w:val="a5"/>
          <w:rFonts w:ascii="David" w:hAnsi="David" w:cs="David"/>
          <w:rtl/>
        </w:rPr>
        <w:footnoteReference w:id="3"/>
      </w:r>
      <w:r w:rsidRPr="00C21E73">
        <w:rPr>
          <w:rFonts w:ascii="David" w:hAnsi="David" w:cs="David"/>
          <w:rtl/>
        </w:rPr>
        <w:t xml:space="preserve"> מרכז המניפה (הקו הלבן) משקף את תחזית חטיבת המחקר </w:t>
      </w:r>
      <w:r>
        <w:rPr>
          <w:rFonts w:ascii="David" w:hAnsi="David" w:cs="David" w:hint="cs"/>
          <w:rtl/>
        </w:rPr>
        <w:t>ו</w:t>
      </w:r>
      <w:r w:rsidRPr="00C21E73">
        <w:rPr>
          <w:rFonts w:ascii="David" w:hAnsi="David" w:cs="David" w:hint="eastAsia"/>
          <w:rtl/>
        </w:rPr>
        <w:t>הקו</w:t>
      </w:r>
      <w:r w:rsidRPr="00C21E73">
        <w:rPr>
          <w:rFonts w:ascii="David" w:hAnsi="David" w:cs="David"/>
          <w:rtl/>
        </w:rPr>
        <w:t xml:space="preserve"> המרוסק מייצג את תחזית החטיבה מהרבעון הקודם.</w:t>
      </w:r>
      <w:r w:rsidR="002F7F87" w:rsidRPr="00C21E73">
        <w:rPr>
          <w:rStyle w:val="a5"/>
          <w:rFonts w:ascii="David" w:hAnsi="David" w:cs="David"/>
          <w:rtl/>
        </w:rPr>
        <w:footnoteReference w:id="4"/>
      </w:r>
      <w:r w:rsidRPr="00C21E73">
        <w:rPr>
          <w:rFonts w:ascii="David" w:hAnsi="David" w:cs="David"/>
          <w:rtl/>
        </w:rPr>
        <w:t xml:space="preserve"> מוטת המניפות </w:t>
      </w:r>
      <w:r w:rsidRPr="00CA7436">
        <w:rPr>
          <w:rFonts w:ascii="David" w:hAnsi="David" w:cs="David"/>
          <w:rtl/>
        </w:rPr>
        <w:t>נגזרת מהתפלגויות הזעזועים הנאמדות במודל ה-</w:t>
      </w:r>
      <w:r w:rsidRPr="00CA7436">
        <w:rPr>
          <w:rFonts w:ascii="David" w:hAnsi="David" w:cs="David"/>
        </w:rPr>
        <w:t>DSGE</w:t>
      </w:r>
      <w:r w:rsidRPr="00CA7436">
        <w:rPr>
          <w:rFonts w:ascii="David" w:hAnsi="David" w:cs="David"/>
          <w:rtl/>
        </w:rPr>
        <w:t xml:space="preserve"> של חטיבת המחקר</w:t>
      </w:r>
      <w:r w:rsidRPr="00A76F60">
        <w:rPr>
          <w:rFonts w:ascii="David" w:hAnsi="David" w:cs="David"/>
          <w:rtl/>
        </w:rPr>
        <w:t xml:space="preserve"> </w:t>
      </w:r>
      <w:r>
        <w:rPr>
          <w:rFonts w:ascii="David" w:hAnsi="David" w:cs="David" w:hint="cs"/>
          <w:rtl/>
        </w:rPr>
        <w:t>ו</w:t>
      </w:r>
      <w:r w:rsidRPr="00C21E73">
        <w:rPr>
          <w:rFonts w:ascii="David" w:hAnsi="David" w:cs="David" w:hint="eastAsia"/>
          <w:rtl/>
        </w:rPr>
        <w:t>אינה</w:t>
      </w:r>
      <w:r w:rsidRPr="00C21E73">
        <w:rPr>
          <w:rFonts w:ascii="David" w:hAnsi="David" w:cs="David"/>
          <w:rtl/>
        </w:rPr>
        <w:t xml:space="preserve"> </w:t>
      </w:r>
      <w:r w:rsidRPr="00C21E73">
        <w:rPr>
          <w:rFonts w:ascii="David" w:hAnsi="David" w:cs="David" w:hint="eastAsia"/>
          <w:rtl/>
        </w:rPr>
        <w:t>מבטאת</w:t>
      </w:r>
      <w:r w:rsidRPr="00C21E73">
        <w:rPr>
          <w:rFonts w:ascii="David" w:hAnsi="David" w:cs="David"/>
          <w:rtl/>
        </w:rPr>
        <w:t xml:space="preserve"> </w:t>
      </w:r>
      <w:r w:rsidRPr="00C21E73">
        <w:rPr>
          <w:rFonts w:ascii="David" w:hAnsi="David" w:cs="David" w:hint="eastAsia"/>
          <w:rtl/>
        </w:rPr>
        <w:t>הערכה</w:t>
      </w:r>
      <w:r w:rsidRPr="00C21E73">
        <w:rPr>
          <w:rFonts w:ascii="David" w:hAnsi="David" w:cs="David"/>
          <w:rtl/>
        </w:rPr>
        <w:t xml:space="preserve"> </w:t>
      </w:r>
      <w:r w:rsidRPr="00C21E73">
        <w:rPr>
          <w:rFonts w:ascii="David" w:hAnsi="David" w:cs="David" w:hint="eastAsia"/>
          <w:rtl/>
        </w:rPr>
        <w:t>שיפוטית</w:t>
      </w:r>
      <w:r w:rsidRPr="00C21E73">
        <w:rPr>
          <w:rFonts w:ascii="David" w:hAnsi="David" w:cs="David"/>
          <w:rtl/>
        </w:rPr>
        <w:t xml:space="preserve"> </w:t>
      </w:r>
      <w:r w:rsidRPr="00C21E73">
        <w:rPr>
          <w:rFonts w:ascii="David" w:hAnsi="David" w:cs="David" w:hint="eastAsia"/>
          <w:rtl/>
        </w:rPr>
        <w:t>בנוגע</w:t>
      </w:r>
      <w:r w:rsidRPr="00C21E73">
        <w:rPr>
          <w:rFonts w:ascii="David" w:hAnsi="David" w:cs="David"/>
          <w:rtl/>
        </w:rPr>
        <w:t xml:space="preserve"> </w:t>
      </w:r>
      <w:r w:rsidRPr="00C21E73">
        <w:rPr>
          <w:rFonts w:ascii="David" w:hAnsi="David" w:cs="David" w:hint="eastAsia"/>
          <w:rtl/>
        </w:rPr>
        <w:t>לסיכונים</w:t>
      </w:r>
      <w:r w:rsidRPr="00C21E73">
        <w:rPr>
          <w:rFonts w:ascii="David" w:hAnsi="David" w:cs="David"/>
          <w:rtl/>
        </w:rPr>
        <w:t xml:space="preserve"> </w:t>
      </w:r>
      <w:r w:rsidRPr="00C21E73">
        <w:rPr>
          <w:rFonts w:ascii="David" w:hAnsi="David" w:cs="David" w:hint="eastAsia"/>
          <w:rtl/>
        </w:rPr>
        <w:t>לתחזית</w:t>
      </w:r>
      <w:r w:rsidRPr="00C21E73">
        <w:rPr>
          <w:rFonts w:ascii="David" w:hAnsi="David" w:cs="David"/>
          <w:rtl/>
        </w:rPr>
        <w:t xml:space="preserve"> </w:t>
      </w:r>
      <w:r w:rsidRPr="00C21E73">
        <w:rPr>
          <w:rFonts w:ascii="David" w:hAnsi="David" w:cs="David" w:hint="eastAsia"/>
          <w:rtl/>
        </w:rPr>
        <w:t>ולהתפלגותם</w:t>
      </w:r>
      <w:r w:rsidRPr="00C21E73">
        <w:rPr>
          <w:rFonts w:ascii="David" w:hAnsi="David" w:cs="David"/>
          <w:rtl/>
        </w:rPr>
        <w:t xml:space="preserve">. מלוא מוטת המניפה </w:t>
      </w:r>
      <w:r w:rsidRPr="00C21E73">
        <w:rPr>
          <w:rFonts w:ascii="David" w:hAnsi="David" w:cs="David" w:hint="eastAsia"/>
          <w:rtl/>
        </w:rPr>
        <w:t>מכסה</w:t>
      </w:r>
      <w:r w:rsidRPr="00C21E73">
        <w:rPr>
          <w:rFonts w:ascii="David" w:hAnsi="David" w:cs="David"/>
          <w:rtl/>
        </w:rPr>
        <w:t xml:space="preserve"> 66% </w:t>
      </w:r>
      <w:r w:rsidRPr="00C21E73">
        <w:rPr>
          <w:rFonts w:ascii="David" w:hAnsi="David" w:cs="David" w:hint="eastAsia"/>
          <w:rtl/>
        </w:rPr>
        <w:t>מההתפלגות</w:t>
      </w:r>
      <w:r w:rsidRPr="00C21E73">
        <w:rPr>
          <w:rFonts w:ascii="David" w:hAnsi="David" w:cs="David"/>
          <w:rtl/>
        </w:rPr>
        <w:t xml:space="preserve"> </w:t>
      </w:r>
      <w:r w:rsidRPr="00C21E73">
        <w:rPr>
          <w:rFonts w:ascii="David" w:hAnsi="David" w:cs="David" w:hint="eastAsia"/>
          <w:rtl/>
        </w:rPr>
        <w:t>הצפויה</w:t>
      </w:r>
      <w:r w:rsidRPr="00C21E73">
        <w:rPr>
          <w:rFonts w:ascii="David" w:hAnsi="David" w:cs="David"/>
          <w:rtl/>
        </w:rPr>
        <w:t>.</w:t>
      </w:r>
    </w:p>
    <w:p w14:paraId="324402B2" w14:textId="393E027D" w:rsidR="00917C6D" w:rsidRPr="0086400E" w:rsidRDefault="00917C6D" w:rsidP="00917C6D">
      <w:pPr>
        <w:pStyle w:val="aa"/>
        <w:ind w:left="113"/>
        <w:rPr>
          <w:rFonts w:ascii="David" w:hAnsi="David" w:cs="David"/>
          <w:rtl/>
        </w:rPr>
      </w:pPr>
      <w:r w:rsidRPr="0086400E">
        <w:rPr>
          <w:rFonts w:ascii="David" w:hAnsi="David" w:cs="David"/>
          <w:rtl/>
        </w:rPr>
        <w:lastRenderedPageBreak/>
        <w:t xml:space="preserve">איור </w:t>
      </w:r>
      <w:r w:rsidRPr="0086400E">
        <w:rPr>
          <w:rFonts w:ascii="David" w:hAnsi="David" w:cs="David"/>
          <w:noProof/>
        </w:rPr>
        <w:fldChar w:fldCharType="begin"/>
      </w:r>
      <w:r w:rsidRPr="0086400E">
        <w:rPr>
          <w:rFonts w:ascii="David" w:hAnsi="David" w:cs="David"/>
          <w:noProof/>
        </w:rPr>
        <w:instrText xml:space="preserve"> SEQ </w:instrText>
      </w:r>
      <w:r w:rsidRPr="0086400E">
        <w:rPr>
          <w:rFonts w:ascii="David" w:hAnsi="David" w:cs="David"/>
          <w:noProof/>
          <w:rtl/>
        </w:rPr>
        <w:instrText>איור</w:instrText>
      </w:r>
      <w:r w:rsidRPr="0086400E">
        <w:rPr>
          <w:rFonts w:ascii="David" w:hAnsi="David" w:cs="David"/>
          <w:noProof/>
        </w:rPr>
        <w:instrText xml:space="preserve"> \* ARABIC \* Arabic </w:instrText>
      </w:r>
      <w:r w:rsidRPr="0086400E">
        <w:rPr>
          <w:rFonts w:ascii="David" w:hAnsi="David" w:cs="David"/>
          <w:noProof/>
        </w:rPr>
        <w:fldChar w:fldCharType="separate"/>
      </w:r>
      <w:r w:rsidR="00C45083">
        <w:rPr>
          <w:rFonts w:ascii="David" w:hAnsi="David" w:cs="David"/>
          <w:noProof/>
        </w:rPr>
        <w:t>1</w:t>
      </w:r>
      <w:r w:rsidRPr="0086400E">
        <w:rPr>
          <w:rFonts w:ascii="David" w:hAnsi="David" w:cs="David"/>
          <w:noProof/>
        </w:rPr>
        <w:fldChar w:fldCharType="end"/>
      </w:r>
    </w:p>
    <w:p w14:paraId="762841EC" w14:textId="77777777" w:rsidR="00917C6D" w:rsidRPr="0086400E" w:rsidRDefault="00917C6D" w:rsidP="00917C6D">
      <w:pPr>
        <w:pStyle w:val="aa"/>
        <w:ind w:left="113"/>
        <w:rPr>
          <w:rFonts w:ascii="David" w:hAnsi="David" w:cs="David"/>
          <w:rtl/>
        </w:rPr>
      </w:pPr>
      <w:r w:rsidRPr="0086400E">
        <w:rPr>
          <w:rFonts w:ascii="David" w:hAnsi="David" w:cs="David"/>
          <w:rtl/>
        </w:rPr>
        <w:t>האינפלציה בפועל ומניפה לאינפלציה הצפויה</w:t>
      </w:r>
    </w:p>
    <w:p w14:paraId="01760415" w14:textId="77777777" w:rsidR="00917C6D" w:rsidRPr="0086400E" w:rsidRDefault="00917C6D" w:rsidP="00E23156">
      <w:pPr>
        <w:pStyle w:val="aa"/>
        <w:spacing w:after="0"/>
        <w:ind w:left="113"/>
        <w:rPr>
          <w:rFonts w:ascii="David" w:hAnsi="David" w:cs="David"/>
          <w:b w:val="0"/>
          <w:bCs w:val="0"/>
          <w:rtl/>
        </w:rPr>
      </w:pPr>
      <w:r w:rsidRPr="0086400E">
        <w:rPr>
          <w:rFonts w:ascii="David" w:hAnsi="David" w:cs="David"/>
          <w:b w:val="0"/>
          <w:bCs w:val="0"/>
          <w:rtl/>
        </w:rPr>
        <w:t>(שיעור העלייה המצטברת במחירים בארבעת הרבעונים האחרונים)</w:t>
      </w:r>
    </w:p>
    <w:p w14:paraId="27874B29" w14:textId="05E6C40E" w:rsidR="00917C6D" w:rsidRPr="0086400E" w:rsidRDefault="009C6571" w:rsidP="00917C6D">
      <w:pPr>
        <w:ind w:left="113"/>
        <w:jc w:val="center"/>
        <w:rPr>
          <w:rFonts w:ascii="David" w:hAnsi="David" w:cs="David"/>
          <w:rtl/>
        </w:rPr>
      </w:pPr>
      <w:r>
        <w:rPr>
          <w:rFonts w:ascii="David" w:hAnsi="David" w:cs="David"/>
          <w:noProof/>
        </w:rPr>
        <w:drawing>
          <wp:inline distT="0" distB="0" distL="0" distR="0" wp14:anchorId="41663DDC" wp14:editId="7521473F">
            <wp:extent cx="5068800" cy="3088800"/>
            <wp:effectExtent l="0" t="0" r="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68800" cy="3088800"/>
                    </a:xfrm>
                    <a:prstGeom prst="rect">
                      <a:avLst/>
                    </a:prstGeom>
                    <a:noFill/>
                  </pic:spPr>
                </pic:pic>
              </a:graphicData>
            </a:graphic>
          </wp:inline>
        </w:drawing>
      </w:r>
    </w:p>
    <w:p w14:paraId="0C5B19D9" w14:textId="77777777" w:rsidR="00917C6D" w:rsidRPr="0086400E" w:rsidRDefault="00917C6D" w:rsidP="00917C6D">
      <w:pPr>
        <w:ind w:left="113"/>
        <w:jc w:val="center"/>
        <w:rPr>
          <w:rFonts w:ascii="David" w:hAnsi="David" w:cs="David"/>
          <w:rtl/>
        </w:rPr>
      </w:pPr>
    </w:p>
    <w:p w14:paraId="75777698" w14:textId="52A4C9E0" w:rsidR="00917C6D" w:rsidRPr="0086400E" w:rsidRDefault="00917C6D" w:rsidP="00DD3A08">
      <w:pPr>
        <w:pStyle w:val="aa"/>
        <w:ind w:left="113"/>
        <w:rPr>
          <w:rFonts w:ascii="David" w:hAnsi="David" w:cs="David"/>
          <w:color w:val="auto"/>
          <w:sz w:val="28"/>
          <w:szCs w:val="28"/>
          <w:rtl/>
        </w:rPr>
      </w:pPr>
      <w:bookmarkStart w:id="3" w:name="_Ref503088452"/>
      <w:r w:rsidRPr="0086400E">
        <w:rPr>
          <w:rFonts w:ascii="David" w:hAnsi="David" w:cs="David"/>
          <w:rtl/>
        </w:rPr>
        <w:t xml:space="preserve">איור </w:t>
      </w:r>
      <w:bookmarkEnd w:id="3"/>
      <w:r w:rsidR="00DD3A08">
        <w:rPr>
          <w:rFonts w:ascii="David" w:hAnsi="David" w:cs="David" w:hint="cs"/>
          <w:rtl/>
        </w:rPr>
        <w:t>2</w:t>
      </w:r>
      <w:r w:rsidR="00DD3A08" w:rsidRPr="0086400E">
        <w:rPr>
          <w:rFonts w:ascii="David" w:hAnsi="David" w:cs="David"/>
          <w:rtl/>
        </w:rPr>
        <w:t xml:space="preserve"> </w:t>
      </w:r>
    </w:p>
    <w:p w14:paraId="030D8EF3" w14:textId="77777777" w:rsidR="00917C6D" w:rsidRPr="0086400E" w:rsidRDefault="00917C6D" w:rsidP="00E23156">
      <w:pPr>
        <w:pStyle w:val="aa"/>
        <w:spacing w:after="0"/>
        <w:ind w:left="113"/>
        <w:rPr>
          <w:rFonts w:ascii="David" w:hAnsi="David" w:cs="David"/>
          <w:rtl/>
        </w:rPr>
      </w:pPr>
      <w:r w:rsidRPr="0086400E">
        <w:rPr>
          <w:rFonts w:ascii="David" w:hAnsi="David" w:cs="David"/>
          <w:rtl/>
        </w:rPr>
        <w:t>שיעור הצמיחה בפועל בארבעת הרבעונים האחרונים ומניפה לשיעור הצמיחה הצפוי</w:t>
      </w:r>
    </w:p>
    <w:p w14:paraId="3A31A452" w14:textId="77777777" w:rsidR="00917C6D" w:rsidRPr="0086400E" w:rsidRDefault="00917C6D" w:rsidP="00917C6D">
      <w:pPr>
        <w:pStyle w:val="aa"/>
        <w:ind w:left="113"/>
        <w:rPr>
          <w:rFonts w:ascii="David" w:hAnsi="David" w:cs="David"/>
          <w:b w:val="0"/>
          <w:bCs w:val="0"/>
          <w:rtl/>
        </w:rPr>
      </w:pPr>
      <w:r w:rsidRPr="0086400E">
        <w:rPr>
          <w:rFonts w:ascii="David" w:hAnsi="David" w:cs="David"/>
          <w:b w:val="0"/>
          <w:bCs w:val="0"/>
          <w:rtl/>
        </w:rPr>
        <w:t>(התוצר הממוצע בארבעת הרבעונים האחרונים לעומת זה של ארבעת הרבעונים הקודמים להם)</w:t>
      </w:r>
    </w:p>
    <w:p w14:paraId="1D799F6E" w14:textId="61AB1591" w:rsidR="00917C6D" w:rsidRPr="0086400E" w:rsidRDefault="009C6571" w:rsidP="00E23156">
      <w:pPr>
        <w:jc w:val="center"/>
        <w:rPr>
          <w:rFonts w:ascii="David" w:hAnsi="David" w:cs="David"/>
          <w:rtl/>
        </w:rPr>
      </w:pPr>
      <w:r>
        <w:rPr>
          <w:rFonts w:ascii="David" w:hAnsi="David" w:cs="David"/>
          <w:noProof/>
        </w:rPr>
        <w:drawing>
          <wp:inline distT="0" distB="0" distL="0" distR="0" wp14:anchorId="6F153895" wp14:editId="703CB247">
            <wp:extent cx="5065200" cy="3085200"/>
            <wp:effectExtent l="0" t="0" r="0" b="127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65200" cy="3085200"/>
                    </a:xfrm>
                    <a:prstGeom prst="rect">
                      <a:avLst/>
                    </a:prstGeom>
                    <a:noFill/>
                  </pic:spPr>
                </pic:pic>
              </a:graphicData>
            </a:graphic>
          </wp:inline>
        </w:drawing>
      </w:r>
    </w:p>
    <w:p w14:paraId="5DE60DEF" w14:textId="77777777" w:rsidR="002824B8" w:rsidRPr="0086400E" w:rsidRDefault="002824B8">
      <w:pPr>
        <w:rPr>
          <w:rFonts w:ascii="David" w:hAnsi="David" w:cs="David"/>
        </w:rPr>
      </w:pPr>
    </w:p>
    <w:sectPr w:rsidR="002824B8" w:rsidRPr="0086400E" w:rsidSect="003D17B1">
      <w:footerReference w:type="default" r:id="rId14"/>
      <w:pgSz w:w="11906" w:h="16838"/>
      <w:pgMar w:top="1440" w:right="1077" w:bottom="1440" w:left="1077" w:header="709" w:footer="39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37714" w14:textId="77777777" w:rsidR="00917C6D" w:rsidRDefault="00917C6D" w:rsidP="00917C6D">
      <w:pPr>
        <w:spacing w:line="240" w:lineRule="auto"/>
      </w:pPr>
      <w:r>
        <w:separator/>
      </w:r>
    </w:p>
  </w:endnote>
  <w:endnote w:type="continuationSeparator" w:id="0">
    <w:p w14:paraId="57440ECD" w14:textId="77777777" w:rsidR="00917C6D" w:rsidRDefault="00917C6D" w:rsidP="00917C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44386792"/>
      <w:docPartObj>
        <w:docPartGallery w:val="Page Numbers (Bottom of Page)"/>
        <w:docPartUnique/>
      </w:docPartObj>
    </w:sdtPr>
    <w:sdtEndPr>
      <w:rPr>
        <w:cs/>
      </w:rPr>
    </w:sdtEndPr>
    <w:sdtContent>
      <w:p w14:paraId="731B9D63" w14:textId="36BC750F" w:rsidR="008152A5" w:rsidRDefault="008152A5">
        <w:pPr>
          <w:pStyle w:val="af4"/>
          <w:jc w:val="center"/>
          <w:rPr>
            <w:rtl/>
            <w:cs/>
          </w:rPr>
        </w:pPr>
        <w:r w:rsidRPr="008152A5">
          <w:rPr>
            <w:rFonts w:ascii="David" w:hAnsi="David" w:cs="David"/>
          </w:rPr>
          <w:fldChar w:fldCharType="begin"/>
        </w:r>
        <w:r w:rsidRPr="008152A5">
          <w:rPr>
            <w:rFonts w:ascii="David" w:hAnsi="David" w:cs="David"/>
            <w:rtl/>
            <w:cs/>
          </w:rPr>
          <w:instrText>PAGE   \* MERGEFORMAT</w:instrText>
        </w:r>
        <w:r w:rsidRPr="008152A5">
          <w:rPr>
            <w:rFonts w:ascii="David" w:hAnsi="David" w:cs="David"/>
          </w:rPr>
          <w:fldChar w:fldCharType="separate"/>
        </w:r>
        <w:r w:rsidR="006171EF" w:rsidRPr="006171EF">
          <w:rPr>
            <w:rFonts w:ascii="David" w:hAnsi="David" w:cs="David"/>
            <w:noProof/>
            <w:rtl/>
            <w:lang w:val="he-IL"/>
          </w:rPr>
          <w:t>2</w:t>
        </w:r>
        <w:r w:rsidRPr="008152A5">
          <w:rPr>
            <w:rFonts w:ascii="David" w:hAnsi="David" w:cs="David"/>
          </w:rPr>
          <w:fldChar w:fldCharType="end"/>
        </w:r>
      </w:p>
    </w:sdtContent>
  </w:sdt>
  <w:p w14:paraId="26AB733F" w14:textId="77777777" w:rsidR="000850E0" w:rsidRDefault="006171EF" w:rsidP="0071030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9F391" w14:textId="77777777" w:rsidR="00917C6D" w:rsidRDefault="00917C6D" w:rsidP="00917C6D">
      <w:pPr>
        <w:spacing w:line="240" w:lineRule="auto"/>
      </w:pPr>
      <w:r>
        <w:separator/>
      </w:r>
    </w:p>
  </w:footnote>
  <w:footnote w:type="continuationSeparator" w:id="0">
    <w:p w14:paraId="14655E99" w14:textId="77777777" w:rsidR="00917C6D" w:rsidRDefault="00917C6D" w:rsidP="00917C6D">
      <w:pPr>
        <w:spacing w:line="240" w:lineRule="auto"/>
      </w:pPr>
      <w:r>
        <w:continuationSeparator/>
      </w:r>
    </w:p>
  </w:footnote>
  <w:footnote w:id="1">
    <w:p w14:paraId="3AECEEF7" w14:textId="74884B30" w:rsidR="00917C6D" w:rsidRPr="008A4862" w:rsidRDefault="00917C6D" w:rsidP="00AF1A54">
      <w:pPr>
        <w:pStyle w:val="a3"/>
        <w:ind w:left="113"/>
        <w:rPr>
          <w:rFonts w:ascii="David" w:hAnsi="David" w:cs="David"/>
          <w:sz w:val="18"/>
          <w:szCs w:val="18"/>
          <w:rtl/>
        </w:rPr>
      </w:pPr>
      <w:r w:rsidRPr="008A4862">
        <w:rPr>
          <w:rStyle w:val="a5"/>
          <w:rFonts w:ascii="David" w:hAnsi="David" w:cs="David"/>
          <w:sz w:val="18"/>
          <w:szCs w:val="18"/>
        </w:rPr>
        <w:footnoteRef/>
      </w:r>
      <w:r w:rsidRPr="008A4862">
        <w:rPr>
          <w:rFonts w:ascii="David" w:hAnsi="David" w:cs="David"/>
          <w:sz w:val="18"/>
          <w:szCs w:val="18"/>
          <w:rtl/>
        </w:rPr>
        <w:t xml:space="preserve"> התחזית הוצגה לוועדה המוניטרית ב-</w:t>
      </w:r>
      <w:r w:rsidR="00AF1A54">
        <w:rPr>
          <w:rFonts w:ascii="David" w:hAnsi="David" w:cs="David" w:hint="cs"/>
          <w:sz w:val="18"/>
          <w:szCs w:val="18"/>
          <w:rtl/>
        </w:rPr>
        <w:t>8/1/2020</w:t>
      </w:r>
      <w:r w:rsidRPr="008A4862">
        <w:rPr>
          <w:rFonts w:ascii="David" w:hAnsi="David" w:cs="David"/>
          <w:sz w:val="18"/>
          <w:szCs w:val="18"/>
          <w:rtl/>
        </w:rPr>
        <w:t>, לקראת החלטת הריבית שהתקבלה ב</w:t>
      </w:r>
      <w:r w:rsidR="00AF1A54">
        <w:rPr>
          <w:rFonts w:ascii="David" w:hAnsi="David" w:cs="David" w:hint="cs"/>
          <w:sz w:val="18"/>
          <w:szCs w:val="18"/>
          <w:rtl/>
        </w:rPr>
        <w:t>-9/1/2020</w:t>
      </w:r>
      <w:r w:rsidRPr="008A4862">
        <w:rPr>
          <w:rFonts w:ascii="David" w:hAnsi="David" w:cs="David"/>
          <w:sz w:val="18"/>
          <w:szCs w:val="18"/>
          <w:rtl/>
        </w:rPr>
        <w:t>.</w:t>
      </w:r>
    </w:p>
  </w:footnote>
  <w:footnote w:id="2">
    <w:p w14:paraId="005395B2" w14:textId="77777777" w:rsidR="00917C6D" w:rsidRPr="008A4862" w:rsidRDefault="00917C6D" w:rsidP="00917C6D">
      <w:pPr>
        <w:pStyle w:val="a3"/>
        <w:ind w:left="113"/>
        <w:rPr>
          <w:rFonts w:ascii="David" w:hAnsi="David" w:cs="David"/>
          <w:sz w:val="18"/>
          <w:szCs w:val="18"/>
          <w:rtl/>
        </w:rPr>
      </w:pPr>
      <w:r w:rsidRPr="008A4862">
        <w:rPr>
          <w:rFonts w:ascii="David" w:hAnsi="David" w:cs="David"/>
          <w:sz w:val="18"/>
          <w:szCs w:val="18"/>
        </w:rPr>
        <w:footnoteRef/>
      </w:r>
      <w:r w:rsidRPr="008A4862">
        <w:rPr>
          <w:rFonts w:ascii="David" w:hAnsi="David" w:cs="David"/>
          <w:sz w:val="18"/>
          <w:szCs w:val="18"/>
          <w:rtl/>
        </w:rPr>
        <w:t xml:space="preserve"> הסבר על התחזיות המקרו-כלכליות שחטיבת המחקר מגבשת, וכן סקירה של המודלים שהן מושתתות עליהם, מופיעים בדוח האינפלציה 31 (לרבעון השני של 2010), סעיף 3ג. נייר העבודה על מודל ה-</w:t>
      </w:r>
      <w:r w:rsidRPr="008A4862">
        <w:rPr>
          <w:rFonts w:ascii="David" w:hAnsi="David" w:cs="David"/>
          <w:sz w:val="18"/>
          <w:szCs w:val="18"/>
        </w:rPr>
        <w:t>DSGE</w:t>
      </w:r>
      <w:r w:rsidRPr="008A4862">
        <w:rPr>
          <w:rFonts w:ascii="David" w:hAnsi="David" w:cs="David"/>
          <w:sz w:val="18"/>
          <w:szCs w:val="18"/>
          <w:rtl/>
        </w:rPr>
        <w:t xml:space="preserve"> זמין באתר האינטרנט של בנק ישראל. כותרתו</w:t>
      </w:r>
    </w:p>
    <w:p w14:paraId="21A27BF9" w14:textId="77777777" w:rsidR="00917C6D" w:rsidRPr="008A4862" w:rsidRDefault="00917C6D" w:rsidP="00917C6D">
      <w:pPr>
        <w:pStyle w:val="a3"/>
        <w:bidi w:val="0"/>
        <w:ind w:left="113"/>
        <w:rPr>
          <w:rFonts w:ascii="David" w:hAnsi="David" w:cs="David"/>
        </w:rPr>
      </w:pPr>
      <w:r w:rsidRPr="008A4862">
        <w:rPr>
          <w:rFonts w:ascii="David" w:hAnsi="David" w:cs="David"/>
          <w:sz w:val="18"/>
          <w:szCs w:val="18"/>
        </w:rPr>
        <w:t>MOISE: A DSGE Model for the Israeli Economy, Discussion Paper No. 2012.06.</w:t>
      </w:r>
    </w:p>
  </w:footnote>
  <w:footnote w:id="3">
    <w:p w14:paraId="434F0797" w14:textId="5713E977" w:rsidR="00C94845" w:rsidRPr="00C94845" w:rsidRDefault="00C94845">
      <w:pPr>
        <w:pStyle w:val="a3"/>
        <w:rPr>
          <w:rFonts w:ascii="David" w:hAnsi="David" w:cs="David"/>
          <w:rtl/>
        </w:rPr>
      </w:pPr>
      <w:r w:rsidRPr="007A6D97">
        <w:rPr>
          <w:rStyle w:val="a5"/>
          <w:rFonts w:ascii="David" w:hAnsi="David" w:cs="David"/>
        </w:rPr>
        <w:footnoteRef/>
      </w:r>
      <w:r w:rsidRPr="007A6D97">
        <w:rPr>
          <w:rFonts w:ascii="David" w:hAnsi="David" w:cs="David"/>
          <w:rtl/>
        </w:rPr>
        <w:t xml:space="preserve"> </w:t>
      </w:r>
      <w:r w:rsidRPr="007A6D97">
        <w:rPr>
          <w:rFonts w:ascii="David" w:hAnsi="David" w:cs="David"/>
          <w:sz w:val="18"/>
          <w:szCs w:val="18"/>
          <w:rtl/>
        </w:rPr>
        <w:t>מעתה לא תפורסם מניפה לתחזית הריבית</w:t>
      </w:r>
      <w:r w:rsidRPr="007A6D97">
        <w:rPr>
          <w:rFonts w:ascii="David" w:hAnsi="David" w:cs="David" w:hint="cs"/>
          <w:sz w:val="18"/>
          <w:szCs w:val="18"/>
          <w:rtl/>
        </w:rPr>
        <w:t>.</w:t>
      </w:r>
    </w:p>
  </w:footnote>
  <w:footnote w:id="4">
    <w:p w14:paraId="2C72A702" w14:textId="70350751" w:rsidR="002F7F87" w:rsidRPr="008A4862" w:rsidRDefault="002F7F87" w:rsidP="002F7F87">
      <w:pPr>
        <w:pStyle w:val="a3"/>
        <w:rPr>
          <w:rFonts w:ascii="David" w:hAnsi="David" w:cs="David"/>
          <w:rtl/>
        </w:rPr>
      </w:pPr>
      <w:r w:rsidRPr="008A4862">
        <w:rPr>
          <w:rStyle w:val="a5"/>
          <w:rFonts w:ascii="David" w:hAnsi="David" w:cs="David"/>
          <w:sz w:val="18"/>
          <w:szCs w:val="18"/>
        </w:rPr>
        <w:footnoteRef/>
      </w:r>
      <w:r w:rsidRPr="008A4862">
        <w:rPr>
          <w:rFonts w:ascii="David" w:hAnsi="David" w:cs="David"/>
          <w:sz w:val="18"/>
          <w:szCs w:val="18"/>
          <w:rtl/>
        </w:rPr>
        <w:t xml:space="preserve"> לגבי צמיחת התוצר (</w:t>
      </w:r>
      <w:r w:rsidRPr="008A4862">
        <w:rPr>
          <w:rFonts w:ascii="David" w:hAnsi="David" w:cs="David"/>
          <w:sz w:val="18"/>
          <w:szCs w:val="18"/>
          <w:rtl/>
        </w:rPr>
        <w:fldChar w:fldCharType="begin"/>
      </w:r>
      <w:r w:rsidRPr="008A4862">
        <w:rPr>
          <w:rFonts w:ascii="David" w:hAnsi="David" w:cs="David"/>
          <w:sz w:val="18"/>
          <w:szCs w:val="18"/>
          <w:rtl/>
        </w:rPr>
        <w:instrText xml:space="preserve"> </w:instrText>
      </w:r>
      <w:r w:rsidRPr="008A4862">
        <w:rPr>
          <w:rFonts w:ascii="David" w:hAnsi="David" w:cs="David"/>
          <w:sz w:val="18"/>
          <w:szCs w:val="18"/>
        </w:rPr>
        <w:instrText>REF</w:instrText>
      </w:r>
      <w:r w:rsidRPr="008A4862">
        <w:rPr>
          <w:rFonts w:ascii="David" w:hAnsi="David" w:cs="David"/>
          <w:sz w:val="18"/>
          <w:szCs w:val="18"/>
          <w:rtl/>
        </w:rPr>
        <w:instrText xml:space="preserve"> _</w:instrText>
      </w:r>
      <w:r w:rsidRPr="008A4862">
        <w:rPr>
          <w:rFonts w:ascii="David" w:hAnsi="David" w:cs="David"/>
          <w:sz w:val="18"/>
          <w:szCs w:val="18"/>
        </w:rPr>
        <w:instrText>Ref503088452 \h</w:instrText>
      </w:r>
      <w:r w:rsidRPr="008A4862">
        <w:rPr>
          <w:rFonts w:ascii="David" w:hAnsi="David" w:cs="David"/>
          <w:sz w:val="18"/>
          <w:szCs w:val="18"/>
          <w:rtl/>
        </w:rPr>
        <w:instrText xml:space="preserve">  \* </w:instrText>
      </w:r>
      <w:r w:rsidRPr="008A4862">
        <w:rPr>
          <w:rFonts w:ascii="David" w:hAnsi="David" w:cs="David"/>
          <w:sz w:val="18"/>
          <w:szCs w:val="18"/>
        </w:rPr>
        <w:instrText>MERGEFORMAT</w:instrText>
      </w:r>
      <w:r w:rsidRPr="008A4862">
        <w:rPr>
          <w:rFonts w:ascii="David" w:hAnsi="David" w:cs="David"/>
          <w:sz w:val="18"/>
          <w:szCs w:val="18"/>
          <w:rtl/>
        </w:rPr>
        <w:instrText xml:space="preserve"> </w:instrText>
      </w:r>
      <w:r w:rsidRPr="008A4862">
        <w:rPr>
          <w:rFonts w:ascii="David" w:hAnsi="David" w:cs="David"/>
          <w:sz w:val="18"/>
          <w:szCs w:val="18"/>
          <w:rtl/>
        </w:rPr>
      </w:r>
      <w:r w:rsidRPr="008A4862">
        <w:rPr>
          <w:rFonts w:ascii="David" w:hAnsi="David" w:cs="David"/>
          <w:sz w:val="18"/>
          <w:szCs w:val="18"/>
          <w:rtl/>
        </w:rPr>
        <w:fldChar w:fldCharType="separate"/>
      </w:r>
      <w:r w:rsidR="00C45083" w:rsidRPr="00055748">
        <w:rPr>
          <w:rFonts w:ascii="David" w:hAnsi="David" w:cs="David"/>
          <w:rtl/>
        </w:rPr>
        <w:t xml:space="preserve">איור </w:t>
      </w:r>
      <w:r w:rsidRPr="008A4862">
        <w:rPr>
          <w:rFonts w:ascii="David" w:hAnsi="David" w:cs="David"/>
          <w:sz w:val="18"/>
          <w:szCs w:val="18"/>
          <w:rtl/>
        </w:rPr>
        <w:fldChar w:fldCharType="end"/>
      </w:r>
      <w:r>
        <w:rPr>
          <w:rFonts w:ascii="David" w:hAnsi="David" w:cs="David" w:hint="cs"/>
          <w:sz w:val="18"/>
          <w:szCs w:val="18"/>
          <w:rtl/>
        </w:rPr>
        <w:t>2</w:t>
      </w:r>
      <w:r w:rsidRPr="008A4862">
        <w:rPr>
          <w:rFonts w:ascii="David" w:hAnsi="David" w:cs="David"/>
          <w:sz w:val="18"/>
          <w:szCs w:val="18"/>
          <w:rtl/>
        </w:rPr>
        <w:t xml:space="preserve">), עד </w:t>
      </w:r>
      <w:r>
        <w:rPr>
          <w:rFonts w:ascii="David" w:hAnsi="David" w:cs="David" w:hint="cs"/>
          <w:sz w:val="18"/>
          <w:szCs w:val="18"/>
          <w:rtl/>
        </w:rPr>
        <w:t>דצמבר</w:t>
      </w:r>
      <w:r w:rsidRPr="008A4862">
        <w:rPr>
          <w:rFonts w:ascii="David" w:hAnsi="David" w:cs="David"/>
          <w:sz w:val="18"/>
          <w:szCs w:val="18"/>
          <w:rtl/>
        </w:rPr>
        <w:t xml:space="preserve"> 2019, מבטא הקו המרוסק את הנתונים והאומדנים </w:t>
      </w:r>
      <w:r>
        <w:rPr>
          <w:rFonts w:ascii="David" w:hAnsi="David" w:cs="David" w:hint="cs"/>
          <w:sz w:val="18"/>
          <w:szCs w:val="18"/>
          <w:rtl/>
        </w:rPr>
        <w:t xml:space="preserve">שהיו </w:t>
      </w:r>
      <w:r w:rsidRPr="008A4862">
        <w:rPr>
          <w:rFonts w:ascii="David" w:hAnsi="David" w:cs="David"/>
          <w:sz w:val="18"/>
          <w:szCs w:val="18"/>
          <w:rtl/>
        </w:rPr>
        <w:t>זמינים בעת עריכת התחזית הקודמת ואילו הקו המלא מבטא את הנתונים והאומדנים העדכניים (הפער ביניהם נובע מנתונים חדשים ומשינויים כוללים שערכה הלמ"ס).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2543E"/>
    <w:multiLevelType w:val="hybridMultilevel"/>
    <w:tmpl w:val="E24C07EE"/>
    <w:lvl w:ilvl="0" w:tplc="372CF8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B1F0AC6"/>
    <w:multiLevelType w:val="hybridMultilevel"/>
    <w:tmpl w:val="E24C07EE"/>
    <w:lvl w:ilvl="0" w:tplc="372CF8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EF4B4E"/>
    <w:multiLevelType w:val="hybridMultilevel"/>
    <w:tmpl w:val="0D98E67C"/>
    <w:lvl w:ilvl="0" w:tplc="A656BCE6">
      <w:start w:val="1"/>
      <w:numFmt w:val="hebrew1"/>
      <w:pStyle w:val="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6D"/>
    <w:rsid w:val="00013AC1"/>
    <w:rsid w:val="00021EEE"/>
    <w:rsid w:val="00055748"/>
    <w:rsid w:val="00066E7E"/>
    <w:rsid w:val="0008302B"/>
    <w:rsid w:val="00092C81"/>
    <w:rsid w:val="00093363"/>
    <w:rsid w:val="000C41D5"/>
    <w:rsid w:val="000C5E91"/>
    <w:rsid w:val="000D0CD3"/>
    <w:rsid w:val="000E232F"/>
    <w:rsid w:val="000E71D5"/>
    <w:rsid w:val="001262A1"/>
    <w:rsid w:val="00152A76"/>
    <w:rsid w:val="00163418"/>
    <w:rsid w:val="00170826"/>
    <w:rsid w:val="00183F46"/>
    <w:rsid w:val="001853CD"/>
    <w:rsid w:val="001A273A"/>
    <w:rsid w:val="001A5F9B"/>
    <w:rsid w:val="001A7634"/>
    <w:rsid w:val="001C1950"/>
    <w:rsid w:val="001E4FD4"/>
    <w:rsid w:val="002162B9"/>
    <w:rsid w:val="00243AAB"/>
    <w:rsid w:val="002473B8"/>
    <w:rsid w:val="00250D49"/>
    <w:rsid w:val="00261E65"/>
    <w:rsid w:val="0027193C"/>
    <w:rsid w:val="002824B8"/>
    <w:rsid w:val="00283017"/>
    <w:rsid w:val="0029114E"/>
    <w:rsid w:val="002A4FD2"/>
    <w:rsid w:val="002E645A"/>
    <w:rsid w:val="002F7F87"/>
    <w:rsid w:val="003023A0"/>
    <w:rsid w:val="00302A5B"/>
    <w:rsid w:val="00307018"/>
    <w:rsid w:val="00322146"/>
    <w:rsid w:val="00361D21"/>
    <w:rsid w:val="00371201"/>
    <w:rsid w:val="0039331F"/>
    <w:rsid w:val="0039367C"/>
    <w:rsid w:val="003A4F27"/>
    <w:rsid w:val="003A665E"/>
    <w:rsid w:val="003F3CB3"/>
    <w:rsid w:val="00416C24"/>
    <w:rsid w:val="004236EF"/>
    <w:rsid w:val="004253AA"/>
    <w:rsid w:val="00437165"/>
    <w:rsid w:val="00484614"/>
    <w:rsid w:val="0049500F"/>
    <w:rsid w:val="004B06BB"/>
    <w:rsid w:val="004E5A15"/>
    <w:rsid w:val="004F0DFD"/>
    <w:rsid w:val="004F2AA8"/>
    <w:rsid w:val="005037F6"/>
    <w:rsid w:val="00520C2F"/>
    <w:rsid w:val="0052339B"/>
    <w:rsid w:val="005435A0"/>
    <w:rsid w:val="00550B6B"/>
    <w:rsid w:val="00553C63"/>
    <w:rsid w:val="00554BBE"/>
    <w:rsid w:val="00576C91"/>
    <w:rsid w:val="00591FA8"/>
    <w:rsid w:val="005A7C61"/>
    <w:rsid w:val="00605897"/>
    <w:rsid w:val="00613263"/>
    <w:rsid w:val="006171EF"/>
    <w:rsid w:val="00622426"/>
    <w:rsid w:val="0062760E"/>
    <w:rsid w:val="006476FB"/>
    <w:rsid w:val="00663BC0"/>
    <w:rsid w:val="00677FE5"/>
    <w:rsid w:val="006F57C9"/>
    <w:rsid w:val="00705EA9"/>
    <w:rsid w:val="00736AF3"/>
    <w:rsid w:val="00743BD2"/>
    <w:rsid w:val="0076292D"/>
    <w:rsid w:val="00795FD6"/>
    <w:rsid w:val="007A423B"/>
    <w:rsid w:val="007A6D97"/>
    <w:rsid w:val="007D291A"/>
    <w:rsid w:val="007E4236"/>
    <w:rsid w:val="007F5A7F"/>
    <w:rsid w:val="007F7B86"/>
    <w:rsid w:val="00804184"/>
    <w:rsid w:val="00804285"/>
    <w:rsid w:val="0081039F"/>
    <w:rsid w:val="008152A5"/>
    <w:rsid w:val="0081538A"/>
    <w:rsid w:val="00821FA7"/>
    <w:rsid w:val="00823ADE"/>
    <w:rsid w:val="00825339"/>
    <w:rsid w:val="008255BB"/>
    <w:rsid w:val="00833B31"/>
    <w:rsid w:val="00840CED"/>
    <w:rsid w:val="00846D01"/>
    <w:rsid w:val="0085204B"/>
    <w:rsid w:val="0086400E"/>
    <w:rsid w:val="00895DDB"/>
    <w:rsid w:val="008A2B95"/>
    <w:rsid w:val="008A4862"/>
    <w:rsid w:val="008A5921"/>
    <w:rsid w:val="008B5243"/>
    <w:rsid w:val="00904232"/>
    <w:rsid w:val="00917C6D"/>
    <w:rsid w:val="00933B4B"/>
    <w:rsid w:val="00947724"/>
    <w:rsid w:val="00951FC4"/>
    <w:rsid w:val="00966A4A"/>
    <w:rsid w:val="00993A7D"/>
    <w:rsid w:val="00997960"/>
    <w:rsid w:val="009C5CB4"/>
    <w:rsid w:val="009C6571"/>
    <w:rsid w:val="009E29AD"/>
    <w:rsid w:val="00A22C3F"/>
    <w:rsid w:val="00A3524E"/>
    <w:rsid w:val="00A37C4A"/>
    <w:rsid w:val="00A42606"/>
    <w:rsid w:val="00AB3CC1"/>
    <w:rsid w:val="00AD2FF4"/>
    <w:rsid w:val="00AD6BF2"/>
    <w:rsid w:val="00AF09C2"/>
    <w:rsid w:val="00AF1A54"/>
    <w:rsid w:val="00AF2073"/>
    <w:rsid w:val="00B02296"/>
    <w:rsid w:val="00B11B65"/>
    <w:rsid w:val="00B32B00"/>
    <w:rsid w:val="00B5522C"/>
    <w:rsid w:val="00B60259"/>
    <w:rsid w:val="00B925CD"/>
    <w:rsid w:val="00BB0489"/>
    <w:rsid w:val="00BD25D9"/>
    <w:rsid w:val="00BD438D"/>
    <w:rsid w:val="00BD6A35"/>
    <w:rsid w:val="00BF6881"/>
    <w:rsid w:val="00C01F4A"/>
    <w:rsid w:val="00C16959"/>
    <w:rsid w:val="00C26B24"/>
    <w:rsid w:val="00C403E5"/>
    <w:rsid w:val="00C440A0"/>
    <w:rsid w:val="00C45083"/>
    <w:rsid w:val="00C47799"/>
    <w:rsid w:val="00C62C87"/>
    <w:rsid w:val="00C63BAB"/>
    <w:rsid w:val="00C76452"/>
    <w:rsid w:val="00C85CCC"/>
    <w:rsid w:val="00C928BD"/>
    <w:rsid w:val="00C94845"/>
    <w:rsid w:val="00D00102"/>
    <w:rsid w:val="00D0051E"/>
    <w:rsid w:val="00D21BF6"/>
    <w:rsid w:val="00D26400"/>
    <w:rsid w:val="00D36410"/>
    <w:rsid w:val="00D40A33"/>
    <w:rsid w:val="00D513B8"/>
    <w:rsid w:val="00D55ABF"/>
    <w:rsid w:val="00D61E7C"/>
    <w:rsid w:val="00D74BE3"/>
    <w:rsid w:val="00D841CD"/>
    <w:rsid w:val="00DC2B8E"/>
    <w:rsid w:val="00DC7131"/>
    <w:rsid w:val="00DD3A08"/>
    <w:rsid w:val="00DE70E9"/>
    <w:rsid w:val="00DF169C"/>
    <w:rsid w:val="00DF2F5C"/>
    <w:rsid w:val="00E22423"/>
    <w:rsid w:val="00E23156"/>
    <w:rsid w:val="00E53AD9"/>
    <w:rsid w:val="00E714C2"/>
    <w:rsid w:val="00E86B6C"/>
    <w:rsid w:val="00EA1778"/>
    <w:rsid w:val="00EA52EA"/>
    <w:rsid w:val="00EC3A5A"/>
    <w:rsid w:val="00EC5EF2"/>
    <w:rsid w:val="00EE4DFF"/>
    <w:rsid w:val="00EE6683"/>
    <w:rsid w:val="00EF1813"/>
    <w:rsid w:val="00EF5519"/>
    <w:rsid w:val="00EF6380"/>
    <w:rsid w:val="00F20C88"/>
    <w:rsid w:val="00F435E1"/>
    <w:rsid w:val="00F54EB8"/>
    <w:rsid w:val="00F80D04"/>
    <w:rsid w:val="00FB16D3"/>
    <w:rsid w:val="00FC04FE"/>
    <w:rsid w:val="00FC62A6"/>
    <w:rsid w:val="00FF6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A61E"/>
  <w15:chartTrackingRefBased/>
  <w15:docId w15:val="{1D60B03F-C6D3-41AD-A8DE-818A2481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C6D"/>
    <w:pPr>
      <w:bidi/>
      <w:spacing w:after="0" w:line="360" w:lineRule="auto"/>
      <w:ind w:left="357"/>
      <w:jc w:val="both"/>
    </w:pPr>
    <w:rPr>
      <w:sz w:val="24"/>
      <w:szCs w:val="24"/>
    </w:rPr>
  </w:style>
  <w:style w:type="paragraph" w:styleId="1">
    <w:name w:val="heading 1"/>
    <w:basedOn w:val="a"/>
    <w:next w:val="a"/>
    <w:link w:val="10"/>
    <w:uiPriority w:val="9"/>
    <w:qFormat/>
    <w:rsid w:val="00917C6D"/>
    <w:pPr>
      <w:keepNext/>
      <w:keepLines/>
      <w:spacing w:before="240"/>
      <w:ind w:left="0" w:firstLine="340"/>
      <w:outlineLvl w:val="0"/>
    </w:pPr>
    <w:rPr>
      <w:rFonts w:asciiTheme="majorHAnsi" w:hAnsiTheme="majorHAnsi" w:cstheme="majorBidi"/>
      <w:b/>
      <w:bCs/>
    </w:rPr>
  </w:style>
  <w:style w:type="paragraph" w:styleId="2">
    <w:name w:val="heading 2"/>
    <w:basedOn w:val="a"/>
    <w:next w:val="a"/>
    <w:link w:val="20"/>
    <w:uiPriority w:val="9"/>
    <w:unhideWhenUsed/>
    <w:qFormat/>
    <w:rsid w:val="00917C6D"/>
    <w:pPr>
      <w:keepNext/>
      <w:keepLines/>
      <w:numPr>
        <w:numId w:val="3"/>
      </w:numPr>
      <w:spacing w:before="240"/>
      <w:outlineLvl w:val="1"/>
    </w:pPr>
    <w:rPr>
      <w:rFonts w:asciiTheme="majorHAnsi"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17C6D"/>
    <w:rPr>
      <w:rFonts w:asciiTheme="majorHAnsi" w:hAnsiTheme="majorHAnsi" w:cstheme="majorBidi"/>
      <w:b/>
      <w:bCs/>
      <w:sz w:val="24"/>
      <w:szCs w:val="24"/>
    </w:rPr>
  </w:style>
  <w:style w:type="character" w:customStyle="1" w:styleId="20">
    <w:name w:val="כותרת 2 תו"/>
    <w:basedOn w:val="a0"/>
    <w:link w:val="2"/>
    <w:uiPriority w:val="9"/>
    <w:rsid w:val="00917C6D"/>
    <w:rPr>
      <w:rFonts w:asciiTheme="majorHAnsi" w:hAnsiTheme="majorHAnsi" w:cstheme="majorBidi"/>
      <w:b/>
      <w:bCs/>
      <w:sz w:val="24"/>
      <w:szCs w:val="24"/>
    </w:rPr>
  </w:style>
  <w:style w:type="paragraph" w:styleId="a3">
    <w:name w:val="footnote text"/>
    <w:aliases w:val=" תו תו,טקסט הערות שוליים תו,תו,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 תו"/>
    <w:basedOn w:val="a"/>
    <w:link w:val="a4"/>
    <w:uiPriority w:val="99"/>
    <w:rsid w:val="00917C6D"/>
    <w:rPr>
      <w:sz w:val="20"/>
      <w:szCs w:val="20"/>
    </w:rPr>
  </w:style>
  <w:style w:type="character" w:customStyle="1" w:styleId="a4">
    <w:name w:val="טקסט הערת שוליים תו"/>
    <w:aliases w:val=" תו תו תו,טקסט הערות שוליים תו תו,תו תו,טקסט הערות שוליים תו2 תו,טקסט הערות שוליים תו1 תו תו,טקסט הערות שוליים תו תו תו תו,טקסט הערות שוליים תו תו1 תו,תו תו תו1 תו,Footnote Text תו תו,תו תו תו תו תו, תו תו תו תו תו, תו תו תו1 תו"/>
    <w:basedOn w:val="a0"/>
    <w:link w:val="a3"/>
    <w:uiPriority w:val="99"/>
    <w:rsid w:val="00917C6D"/>
    <w:rPr>
      <w:sz w:val="20"/>
      <w:szCs w:val="20"/>
    </w:rPr>
  </w:style>
  <w:style w:type="character" w:styleId="a5">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sid w:val="00917C6D"/>
    <w:rPr>
      <w:vertAlign w:val="superscript"/>
    </w:rPr>
  </w:style>
  <w:style w:type="paragraph" w:styleId="a6">
    <w:name w:val="Title"/>
    <w:basedOn w:val="a"/>
    <w:next w:val="a"/>
    <w:link w:val="a7"/>
    <w:uiPriority w:val="10"/>
    <w:qFormat/>
    <w:rsid w:val="00917C6D"/>
    <w:pPr>
      <w:spacing w:after="300"/>
      <w:contextualSpacing/>
      <w:jc w:val="center"/>
    </w:pPr>
    <w:rPr>
      <w:rFonts w:asciiTheme="majorHAnsi" w:hAnsiTheme="majorHAnsi" w:cstheme="majorBidi"/>
      <w:b/>
      <w:bCs/>
      <w:spacing w:val="5"/>
      <w:kern w:val="28"/>
      <w:sz w:val="28"/>
      <w:szCs w:val="28"/>
    </w:rPr>
  </w:style>
  <w:style w:type="character" w:customStyle="1" w:styleId="a7">
    <w:name w:val="כותרת טקסט תו"/>
    <w:basedOn w:val="a0"/>
    <w:link w:val="a6"/>
    <w:uiPriority w:val="10"/>
    <w:rsid w:val="00917C6D"/>
    <w:rPr>
      <w:rFonts w:asciiTheme="majorHAnsi" w:hAnsiTheme="majorHAnsi" w:cstheme="majorBidi"/>
      <w:b/>
      <w:bCs/>
      <w:spacing w:val="5"/>
      <w:kern w:val="28"/>
      <w:sz w:val="28"/>
      <w:szCs w:val="28"/>
    </w:rPr>
  </w:style>
  <w:style w:type="table" w:customStyle="1" w:styleId="21">
    <w:name w:val="טבלת רשת2"/>
    <w:basedOn w:val="a1"/>
    <w:next w:val="a8"/>
    <w:rsid w:val="00917C6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17C6D"/>
    <w:pPr>
      <w:ind w:left="0"/>
      <w:contextualSpacing/>
    </w:pPr>
    <w:rPr>
      <w:sz w:val="18"/>
      <w:szCs w:val="18"/>
    </w:rPr>
  </w:style>
  <w:style w:type="paragraph" w:styleId="aa">
    <w:name w:val="caption"/>
    <w:basedOn w:val="a"/>
    <w:next w:val="a"/>
    <w:uiPriority w:val="35"/>
    <w:unhideWhenUsed/>
    <w:qFormat/>
    <w:rsid w:val="00917C6D"/>
    <w:pPr>
      <w:keepNext/>
      <w:keepLines/>
      <w:spacing w:before="120" w:after="200" w:line="240" w:lineRule="auto"/>
      <w:ind w:left="284"/>
      <w:contextualSpacing/>
      <w:jc w:val="center"/>
    </w:pPr>
    <w:rPr>
      <w:b/>
      <w:bCs/>
      <w:color w:val="4F81BD" w:themeColor="accent1"/>
    </w:rPr>
  </w:style>
  <w:style w:type="paragraph" w:customStyle="1" w:styleId="Tablenc">
    <w:name w:val="Table_nc"/>
    <w:basedOn w:val="a"/>
    <w:link w:val="TablencChar"/>
    <w:qFormat/>
    <w:rsid w:val="00917C6D"/>
    <w:pPr>
      <w:spacing w:line="240" w:lineRule="auto"/>
      <w:ind w:left="113"/>
    </w:pPr>
    <w:rPr>
      <w:sz w:val="20"/>
      <w:szCs w:val="20"/>
    </w:rPr>
  </w:style>
  <w:style w:type="character" w:customStyle="1" w:styleId="TablencChar">
    <w:name w:val="Table_nc Char"/>
    <w:basedOn w:val="a0"/>
    <w:link w:val="Tablenc"/>
    <w:rsid w:val="00917C6D"/>
    <w:rPr>
      <w:sz w:val="20"/>
      <w:szCs w:val="20"/>
    </w:rPr>
  </w:style>
  <w:style w:type="table" w:styleId="a8">
    <w:name w:val="Table Grid"/>
    <w:basedOn w:val="a1"/>
    <w:uiPriority w:val="59"/>
    <w:rsid w:val="00917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F6FF3"/>
    <w:rPr>
      <w:sz w:val="16"/>
      <w:szCs w:val="16"/>
    </w:rPr>
  </w:style>
  <w:style w:type="paragraph" w:styleId="ac">
    <w:name w:val="annotation text"/>
    <w:basedOn w:val="a"/>
    <w:link w:val="ad"/>
    <w:uiPriority w:val="99"/>
    <w:semiHidden/>
    <w:unhideWhenUsed/>
    <w:rsid w:val="00FF6FF3"/>
    <w:pPr>
      <w:spacing w:line="240" w:lineRule="auto"/>
    </w:pPr>
    <w:rPr>
      <w:sz w:val="20"/>
      <w:szCs w:val="20"/>
    </w:rPr>
  </w:style>
  <w:style w:type="character" w:customStyle="1" w:styleId="ad">
    <w:name w:val="טקסט הערה תו"/>
    <w:basedOn w:val="a0"/>
    <w:link w:val="ac"/>
    <w:uiPriority w:val="99"/>
    <w:semiHidden/>
    <w:rsid w:val="00FF6FF3"/>
    <w:rPr>
      <w:sz w:val="20"/>
      <w:szCs w:val="20"/>
    </w:rPr>
  </w:style>
  <w:style w:type="paragraph" w:styleId="ae">
    <w:name w:val="annotation subject"/>
    <w:basedOn w:val="ac"/>
    <w:next w:val="ac"/>
    <w:link w:val="af"/>
    <w:uiPriority w:val="99"/>
    <w:semiHidden/>
    <w:unhideWhenUsed/>
    <w:rsid w:val="00FF6FF3"/>
    <w:rPr>
      <w:b/>
      <w:bCs/>
    </w:rPr>
  </w:style>
  <w:style w:type="character" w:customStyle="1" w:styleId="af">
    <w:name w:val="נושא הערה תו"/>
    <w:basedOn w:val="ad"/>
    <w:link w:val="ae"/>
    <w:uiPriority w:val="99"/>
    <w:semiHidden/>
    <w:rsid w:val="00FF6FF3"/>
    <w:rPr>
      <w:b/>
      <w:bCs/>
      <w:sz w:val="20"/>
      <w:szCs w:val="20"/>
    </w:rPr>
  </w:style>
  <w:style w:type="paragraph" w:styleId="af0">
    <w:name w:val="Balloon Text"/>
    <w:basedOn w:val="a"/>
    <w:link w:val="af1"/>
    <w:uiPriority w:val="99"/>
    <w:semiHidden/>
    <w:unhideWhenUsed/>
    <w:rsid w:val="00FF6FF3"/>
    <w:pPr>
      <w:spacing w:line="240" w:lineRule="auto"/>
    </w:pPr>
    <w:rPr>
      <w:rFonts w:ascii="Tahoma" w:hAnsi="Tahoma" w:cs="Tahoma"/>
      <w:sz w:val="18"/>
      <w:szCs w:val="18"/>
    </w:rPr>
  </w:style>
  <w:style w:type="character" w:customStyle="1" w:styleId="af1">
    <w:name w:val="טקסט בלונים תו"/>
    <w:basedOn w:val="a0"/>
    <w:link w:val="af0"/>
    <w:uiPriority w:val="99"/>
    <w:semiHidden/>
    <w:rsid w:val="00FF6FF3"/>
    <w:rPr>
      <w:rFonts w:ascii="Tahoma" w:hAnsi="Tahoma" w:cs="Tahoma"/>
      <w:sz w:val="18"/>
      <w:szCs w:val="18"/>
    </w:rPr>
  </w:style>
  <w:style w:type="paragraph" w:styleId="af2">
    <w:name w:val="header"/>
    <w:basedOn w:val="a"/>
    <w:link w:val="af3"/>
    <w:uiPriority w:val="99"/>
    <w:unhideWhenUsed/>
    <w:rsid w:val="008152A5"/>
    <w:pPr>
      <w:tabs>
        <w:tab w:val="center" w:pos="4153"/>
        <w:tab w:val="right" w:pos="8306"/>
      </w:tabs>
      <w:spacing w:line="240" w:lineRule="auto"/>
    </w:pPr>
  </w:style>
  <w:style w:type="character" w:customStyle="1" w:styleId="af3">
    <w:name w:val="כותרת עליונה תו"/>
    <w:basedOn w:val="a0"/>
    <w:link w:val="af2"/>
    <w:uiPriority w:val="99"/>
    <w:rsid w:val="008152A5"/>
    <w:rPr>
      <w:sz w:val="24"/>
      <w:szCs w:val="24"/>
    </w:rPr>
  </w:style>
  <w:style w:type="paragraph" w:styleId="af4">
    <w:name w:val="footer"/>
    <w:basedOn w:val="a"/>
    <w:link w:val="af5"/>
    <w:uiPriority w:val="99"/>
    <w:unhideWhenUsed/>
    <w:rsid w:val="008152A5"/>
    <w:pPr>
      <w:tabs>
        <w:tab w:val="center" w:pos="4153"/>
        <w:tab w:val="right" w:pos="8306"/>
      </w:tabs>
      <w:spacing w:line="240" w:lineRule="auto"/>
    </w:pPr>
  </w:style>
  <w:style w:type="character" w:customStyle="1" w:styleId="af5">
    <w:name w:val="כותרת תחתונה תו"/>
    <w:basedOn w:val="a0"/>
    <w:link w:val="af4"/>
    <w:uiPriority w:val="99"/>
    <w:rsid w:val="008152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717618">
      <w:bodyDiv w:val="1"/>
      <w:marLeft w:val="0"/>
      <w:marRight w:val="0"/>
      <w:marTop w:val="0"/>
      <w:marBottom w:val="0"/>
      <w:divBdr>
        <w:top w:val="none" w:sz="0" w:space="0" w:color="auto"/>
        <w:left w:val="none" w:sz="0" w:space="0" w:color="auto"/>
        <w:bottom w:val="none" w:sz="0" w:space="0" w:color="auto"/>
        <w:right w:val="none" w:sz="0" w:space="0" w:color="auto"/>
      </w:divBdr>
    </w:div>
    <w:div w:id="1427651618">
      <w:bodyDiv w:val="1"/>
      <w:marLeft w:val="0"/>
      <w:marRight w:val="0"/>
      <w:marTop w:val="0"/>
      <w:marBottom w:val="0"/>
      <w:divBdr>
        <w:top w:val="none" w:sz="0" w:space="0" w:color="auto"/>
        <w:left w:val="none" w:sz="0" w:space="0" w:color="auto"/>
        <w:bottom w:val="none" w:sz="0" w:space="0" w:color="auto"/>
        <w:right w:val="none" w:sz="0" w:space="0" w:color="auto"/>
      </w:divBdr>
    </w:div>
    <w:div w:id="1827739329">
      <w:bodyDiv w:val="1"/>
      <w:marLeft w:val="0"/>
      <w:marRight w:val="0"/>
      <w:marTop w:val="0"/>
      <w:marBottom w:val="0"/>
      <w:divBdr>
        <w:top w:val="none" w:sz="0" w:space="0" w:color="auto"/>
        <w:left w:val="none" w:sz="0" w:space="0" w:color="auto"/>
        <w:bottom w:val="none" w:sz="0" w:space="0" w:color="auto"/>
        <w:right w:val="none" w:sz="0" w:space="0" w:color="auto"/>
      </w:divBdr>
    </w:div>
    <w:div w:id="206910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WaveListOrderValu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EA6ABE364D39464997C59CE615C4473E" ma:contentTypeVersion="0" ma:contentTypeDescription="צור מסמך חדש." ma:contentTypeScope="" ma:versionID="c3b15bf818241f336fdc1608c232fa30">
  <xsd:schema xmlns:xsd="http://www.w3.org/2001/XMLSchema" xmlns:xs="http://www.w3.org/2001/XMLSchema" xmlns:p="http://schemas.microsoft.com/office/2006/metadata/properties" xmlns:ns1="http://schemas.microsoft.com/sharepoint/v3" targetNamespace="http://schemas.microsoft.com/office/2006/metadata/properties" ma:root="true" ma:fieldsID="75d97c86552d2a85024ee878482ec1ec" ns1:_="">
    <xsd:import namespace="http://schemas.microsoft.com/sharepoint/v3"/>
    <xsd:element name="properties">
      <xsd:complexType>
        <xsd:sequence>
          <xsd:element name="documentManagement">
            <xsd:complexType>
              <xsd:all>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WaveListOrderValue" ma:index="8"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CDD7BC-05A9-4BB6-85E7-B7E1EE277ABB}"/>
</file>

<file path=customXml/itemProps2.xml><?xml version="1.0" encoding="utf-8"?>
<ds:datastoreItem xmlns:ds="http://schemas.openxmlformats.org/officeDocument/2006/customXml" ds:itemID="{52F15A52-8A43-4B19-8B07-18D2034D8D2A}"/>
</file>

<file path=customXml/itemProps3.xml><?xml version="1.0" encoding="utf-8"?>
<ds:datastoreItem xmlns:ds="http://schemas.openxmlformats.org/officeDocument/2006/customXml" ds:itemID="{ADC1DC06-4959-445C-99EE-CBE8F608B1B4}"/>
</file>

<file path=customXml/itemProps4.xml><?xml version="1.0" encoding="utf-8"?>
<ds:datastoreItem xmlns:ds="http://schemas.openxmlformats.org/officeDocument/2006/customXml" ds:itemID="{4D2E558C-9DB5-4129-A712-BF78D4E19848}"/>
</file>

<file path=docProps/app.xml><?xml version="1.0" encoding="utf-8"?>
<Properties xmlns="http://schemas.openxmlformats.org/officeDocument/2006/extended-properties" xmlns:vt="http://schemas.openxmlformats.org/officeDocument/2006/docPropsVTypes">
  <Template>Normal.dotm</Template>
  <TotalTime>1</TotalTime>
  <Pages>4</Pages>
  <Words>999</Words>
  <Characters>4995</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יעקב חן ציון</dc:creator>
  <cp:keywords/>
  <dc:description/>
  <cp:lastModifiedBy>אילנית שרון</cp:lastModifiedBy>
  <cp:revision>2</cp:revision>
  <dcterms:created xsi:type="dcterms:W3CDTF">2020-01-12T08:23:00Z</dcterms:created>
  <dcterms:modified xsi:type="dcterms:W3CDTF">2020-01-12T08:23:00Z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0x010100EA6ABE364D39464997C59CE615C4473E</vt:lpwstr>
  </property>
</Properties>
</file>