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A6982" w14:paraId="27ED1DF1" w14:textId="77777777" w:rsidTr="00031A9D">
        <w:tc>
          <w:tcPr>
            <w:tcW w:w="3343" w:type="dxa"/>
            <w:tcBorders>
              <w:top w:val="nil"/>
              <w:left w:val="nil"/>
              <w:bottom w:val="nil"/>
              <w:right w:val="nil"/>
            </w:tcBorders>
            <w:vAlign w:val="center"/>
          </w:tcPr>
          <w:p w14:paraId="34952D09" w14:textId="77777777" w:rsidR="00031A9D" w:rsidRPr="005A6982" w:rsidRDefault="00031A9D" w:rsidP="00117D7A">
            <w:pPr>
              <w:bidi/>
              <w:spacing w:line="276" w:lineRule="auto"/>
              <w:jc w:val="center"/>
              <w:rPr>
                <w:rFonts w:ascii="Calibri" w:hAnsi="Calibri" w:cs="Calibri"/>
                <w:b/>
                <w:bCs/>
                <w:rtl/>
              </w:rPr>
            </w:pPr>
            <w:r w:rsidRPr="005A6982">
              <w:rPr>
                <w:rFonts w:ascii="Calibri" w:hAnsi="Calibri" w:cs="Calibri"/>
                <w:b/>
                <w:bCs/>
                <w:rtl/>
              </w:rPr>
              <w:t>בנק ישראל</w:t>
            </w:r>
          </w:p>
          <w:p w14:paraId="59ED8750" w14:textId="77777777" w:rsidR="00031A9D" w:rsidRPr="005A6982" w:rsidRDefault="00031A9D" w:rsidP="00117D7A">
            <w:pPr>
              <w:bidi/>
              <w:spacing w:line="276" w:lineRule="auto"/>
              <w:jc w:val="center"/>
              <w:rPr>
                <w:rFonts w:ascii="Calibri" w:hAnsi="Calibri" w:cs="Calibri"/>
                <w:b/>
                <w:bCs/>
              </w:rPr>
            </w:pPr>
            <w:r w:rsidRPr="005A6982">
              <w:rPr>
                <w:rFonts w:ascii="Calibri" w:hAnsi="Calibri" w:cs="Calibri"/>
                <w:rtl/>
              </w:rPr>
              <w:t>דוברות והסברה כלכלית</w:t>
            </w:r>
          </w:p>
        </w:tc>
        <w:tc>
          <w:tcPr>
            <w:tcW w:w="2596" w:type="dxa"/>
            <w:tcBorders>
              <w:top w:val="nil"/>
              <w:left w:val="nil"/>
              <w:bottom w:val="nil"/>
              <w:right w:val="nil"/>
            </w:tcBorders>
            <w:shd w:val="clear" w:color="auto" w:fill="FFFFFF"/>
          </w:tcPr>
          <w:p w14:paraId="086CE820" w14:textId="77777777" w:rsidR="00031A9D" w:rsidRPr="005A6982" w:rsidRDefault="00CC57F4" w:rsidP="00117D7A">
            <w:pPr>
              <w:bidi/>
              <w:jc w:val="center"/>
              <w:rPr>
                <w:rFonts w:ascii="Calibri" w:hAnsi="Calibri" w:cs="Calibri"/>
              </w:rPr>
            </w:pPr>
            <w:r w:rsidRPr="005A6982">
              <w:rPr>
                <w:rFonts w:ascii="Calibri" w:hAnsi="Calibri" w:cs="Calibri"/>
                <w:noProof/>
              </w:rPr>
              <w:drawing>
                <wp:inline distT="0" distB="0" distL="0" distR="0" wp14:anchorId="7E5F621A" wp14:editId="2C43729D">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14:paraId="5511C1DB" w14:textId="40211A06" w:rsidR="00031A9D" w:rsidRPr="005A6982" w:rsidRDefault="00031A9D" w:rsidP="00117D7A">
            <w:pPr>
              <w:bidi/>
              <w:spacing w:line="276" w:lineRule="auto"/>
              <w:jc w:val="center"/>
              <w:rPr>
                <w:rFonts w:ascii="Calibri" w:hAnsi="Calibri" w:cs="Calibri"/>
                <w:rtl/>
              </w:rPr>
            </w:pPr>
            <w:r w:rsidRPr="005A6982">
              <w:rPr>
                <w:rFonts w:ascii="Calibri" w:hAnsi="Calibri" w:cs="Calibri"/>
                <w:highlight w:val="green"/>
                <w:rtl/>
              </w:rPr>
              <w:t>‏</w:t>
            </w:r>
            <w:r w:rsidRPr="005A6982">
              <w:rPr>
                <w:rFonts w:ascii="Calibri" w:hAnsi="Calibri" w:cs="Calibri"/>
                <w:rtl/>
              </w:rPr>
              <w:t xml:space="preserve">ירושלים, </w:t>
            </w:r>
            <w:r w:rsidRPr="005A6982">
              <w:rPr>
                <w:rFonts w:ascii="Calibri" w:hAnsi="Calibri" w:cs="Calibri"/>
                <w:rtl/>
              </w:rPr>
              <w:fldChar w:fldCharType="begin"/>
            </w:r>
            <w:r w:rsidRPr="005A6982">
              <w:rPr>
                <w:rFonts w:ascii="Calibri" w:hAnsi="Calibri" w:cs="Calibri"/>
                <w:rtl/>
              </w:rPr>
              <w:instrText xml:space="preserve"> </w:instrText>
            </w:r>
            <w:r w:rsidRPr="005A6982">
              <w:rPr>
                <w:rFonts w:ascii="Calibri" w:hAnsi="Calibri" w:cs="Calibri"/>
              </w:rPr>
              <w:instrText>DATE</w:instrText>
            </w:r>
            <w:r w:rsidRPr="005A6982">
              <w:rPr>
                <w:rFonts w:ascii="Calibri" w:hAnsi="Calibri" w:cs="Calibri"/>
                <w:rtl/>
              </w:rPr>
              <w:instrText xml:space="preserve"> \@ "</w:instrText>
            </w:r>
            <w:r w:rsidRPr="005A6982">
              <w:rPr>
                <w:rFonts w:ascii="Calibri" w:hAnsi="Calibri" w:cs="Calibri"/>
              </w:rPr>
              <w:instrText>d MMMM, yyyy" \h</w:instrText>
            </w:r>
            <w:r w:rsidRPr="005A6982">
              <w:rPr>
                <w:rFonts w:ascii="Calibri" w:hAnsi="Calibri" w:cs="Calibri"/>
                <w:rtl/>
              </w:rPr>
              <w:instrText xml:space="preserve"> </w:instrText>
            </w:r>
            <w:r w:rsidRPr="005A6982">
              <w:rPr>
                <w:rFonts w:ascii="Calibri" w:hAnsi="Calibri" w:cs="Calibri"/>
                <w:rtl/>
              </w:rPr>
              <w:fldChar w:fldCharType="separate"/>
            </w:r>
            <w:r w:rsidR="005965F1">
              <w:rPr>
                <w:rFonts w:ascii="Calibri" w:hAnsi="Calibri" w:cs="Calibri"/>
                <w:noProof/>
                <w:rtl/>
              </w:rPr>
              <w:t>‏כ"א תמוז, תשפ"ו</w:t>
            </w:r>
            <w:r w:rsidRPr="005A6982">
              <w:rPr>
                <w:rFonts w:ascii="Calibri" w:hAnsi="Calibri" w:cs="Calibri"/>
                <w:rtl/>
              </w:rPr>
              <w:fldChar w:fldCharType="end"/>
            </w:r>
          </w:p>
          <w:p w14:paraId="2546CB2C" w14:textId="6E2FFEF4" w:rsidR="00031A9D" w:rsidRPr="005A6982" w:rsidRDefault="00031A9D" w:rsidP="006E092B">
            <w:pPr>
              <w:bidi/>
              <w:spacing w:line="276" w:lineRule="auto"/>
              <w:jc w:val="center"/>
              <w:rPr>
                <w:rFonts w:ascii="Calibri" w:hAnsi="Calibri" w:cs="Calibri"/>
                <w:highlight w:val="green"/>
              </w:rPr>
            </w:pPr>
            <w:r w:rsidRPr="005A6982">
              <w:rPr>
                <w:rFonts w:ascii="Calibri" w:hAnsi="Calibri" w:cs="Calibri"/>
                <w:rtl/>
              </w:rPr>
              <w:fldChar w:fldCharType="begin"/>
            </w:r>
            <w:r w:rsidRPr="005A6982">
              <w:rPr>
                <w:rFonts w:ascii="Calibri" w:hAnsi="Calibri" w:cs="Calibri"/>
                <w:rtl/>
              </w:rPr>
              <w:instrText xml:space="preserve"> </w:instrText>
            </w:r>
            <w:r w:rsidRPr="005A6982">
              <w:rPr>
                <w:rFonts w:ascii="Calibri" w:hAnsi="Calibri" w:cs="Calibri"/>
              </w:rPr>
              <w:instrText>DATE</w:instrText>
            </w:r>
            <w:r w:rsidRPr="005A6982">
              <w:rPr>
                <w:rFonts w:ascii="Calibri" w:hAnsi="Calibri" w:cs="Calibri"/>
                <w:rtl/>
              </w:rPr>
              <w:instrText xml:space="preserve"> \@ "</w:instrText>
            </w:r>
            <w:r w:rsidRPr="005A6982">
              <w:rPr>
                <w:rFonts w:ascii="Calibri" w:hAnsi="Calibri" w:cs="Calibri"/>
              </w:rPr>
              <w:instrText>d MMMM, yyyy</w:instrText>
            </w:r>
            <w:r w:rsidRPr="005A6982">
              <w:rPr>
                <w:rFonts w:ascii="Calibri" w:hAnsi="Calibri" w:cs="Calibri"/>
                <w:rtl/>
              </w:rPr>
              <w:instrText xml:space="preserve">" </w:instrText>
            </w:r>
            <w:r w:rsidRPr="005A6982">
              <w:rPr>
                <w:rFonts w:ascii="Calibri" w:hAnsi="Calibri" w:cs="Calibri"/>
                <w:rtl/>
              </w:rPr>
              <w:fldChar w:fldCharType="separate"/>
            </w:r>
            <w:r w:rsidR="005965F1">
              <w:rPr>
                <w:rFonts w:ascii="Calibri" w:hAnsi="Calibri" w:cs="Calibri"/>
                <w:noProof/>
                <w:rtl/>
              </w:rPr>
              <w:t>‏6 יולי, 2026</w:t>
            </w:r>
            <w:r w:rsidRPr="005A6982">
              <w:rPr>
                <w:rFonts w:ascii="Calibri" w:hAnsi="Calibri" w:cs="Calibri"/>
                <w:rtl/>
              </w:rPr>
              <w:fldChar w:fldCharType="end"/>
            </w:r>
          </w:p>
        </w:tc>
      </w:tr>
    </w:tbl>
    <w:p w14:paraId="4EA280EA" w14:textId="77777777" w:rsidR="005E28F6" w:rsidRPr="005A6982" w:rsidRDefault="005E28F6" w:rsidP="00117D7A">
      <w:pPr>
        <w:bidi/>
        <w:spacing w:line="360" w:lineRule="auto"/>
        <w:rPr>
          <w:rFonts w:ascii="Calibri" w:hAnsi="Calibri" w:cs="Calibri"/>
          <w:rtl/>
        </w:rPr>
      </w:pPr>
    </w:p>
    <w:p w14:paraId="4B386D18" w14:textId="77777777" w:rsidR="00117D7A" w:rsidRPr="005A6982" w:rsidRDefault="00117D7A" w:rsidP="00117D7A">
      <w:pPr>
        <w:bidi/>
        <w:rPr>
          <w:rFonts w:ascii="Calibri" w:hAnsi="Calibri" w:cs="Calibri"/>
          <w:rtl/>
        </w:rPr>
      </w:pPr>
      <w:r w:rsidRPr="005A6982">
        <w:rPr>
          <w:rFonts w:ascii="Calibri" w:hAnsi="Calibri" w:cs="Calibri"/>
          <w:rtl/>
        </w:rPr>
        <w:t>הודעה לעיתונות:</w:t>
      </w:r>
    </w:p>
    <w:p w14:paraId="4EBE14A0" w14:textId="77777777" w:rsidR="00117D7A" w:rsidRPr="001874DC" w:rsidRDefault="00117D7A" w:rsidP="00100B3E">
      <w:pPr>
        <w:pStyle w:val="af4"/>
        <w:spacing w:before="240" w:line="276" w:lineRule="auto"/>
        <w:rPr>
          <w:rFonts w:ascii="Calibri" w:hAnsi="Calibri" w:cs="Calibri"/>
          <w:rtl/>
        </w:rPr>
      </w:pPr>
      <w:r w:rsidRPr="001874DC">
        <w:rPr>
          <w:rFonts w:ascii="Calibri" w:hAnsi="Calibri" w:cs="Calibri"/>
          <w:rtl/>
        </w:rPr>
        <w:t xml:space="preserve">התחזית המקרו-כלכלית של חטיבת המחקר, </w:t>
      </w:r>
      <w:r w:rsidR="00100B3E" w:rsidRPr="001874DC">
        <w:rPr>
          <w:rFonts w:ascii="Calibri" w:hAnsi="Calibri" w:cs="Calibri"/>
          <w:rtl/>
        </w:rPr>
        <w:t>יולי</w:t>
      </w:r>
      <w:r w:rsidRPr="001874DC">
        <w:rPr>
          <w:rFonts w:ascii="Calibri" w:hAnsi="Calibri" w:cs="Calibri"/>
          <w:rtl/>
        </w:rPr>
        <w:t xml:space="preserve"> 2026</w:t>
      </w:r>
    </w:p>
    <w:p w14:paraId="6D2A0EF8" w14:textId="77777777" w:rsidR="00117D7A" w:rsidRPr="005A6982" w:rsidRDefault="00117D7A" w:rsidP="004E7CD7">
      <w:pPr>
        <w:bidi/>
        <w:spacing w:line="360" w:lineRule="auto"/>
        <w:rPr>
          <w:rFonts w:ascii="Calibri" w:hAnsi="Calibri" w:cs="Calibri"/>
          <w:b/>
          <w:bCs/>
        </w:rPr>
      </w:pPr>
      <w:r w:rsidRPr="005A6982">
        <w:rPr>
          <w:rFonts w:ascii="Calibri" w:hAnsi="Calibri" w:cs="Calibri"/>
          <w:b/>
          <w:bCs/>
          <w:rtl/>
        </w:rPr>
        <w:t>תמצית</w:t>
      </w:r>
    </w:p>
    <w:p w14:paraId="018D3FED" w14:textId="26B75ECF" w:rsidR="004E7444" w:rsidRPr="005A6982" w:rsidRDefault="00117D7A" w:rsidP="004E7CD7">
      <w:pPr>
        <w:bidi/>
        <w:spacing w:after="120" w:line="360" w:lineRule="auto"/>
        <w:jc w:val="both"/>
        <w:rPr>
          <w:rFonts w:ascii="Calibri" w:hAnsi="Calibri" w:cs="Calibri"/>
          <w:rtl/>
        </w:rPr>
      </w:pPr>
      <w:r w:rsidRPr="005A6982">
        <w:rPr>
          <w:rFonts w:ascii="Calibri" w:eastAsia="Calibri" w:hAnsi="Calibri" w:cs="Calibri"/>
          <w:rtl/>
        </w:rPr>
        <w:t xml:space="preserve">מסמך זה מציג את התחזית המקרו-כלכלית שחטיבת המחקר בבנק ישראל גיבשה </w:t>
      </w:r>
      <w:r w:rsidR="006E092B" w:rsidRPr="005A6982">
        <w:rPr>
          <w:rFonts w:ascii="Calibri" w:eastAsia="Calibri" w:hAnsi="Calibri" w:cs="Calibri"/>
          <w:rtl/>
        </w:rPr>
        <w:t>ביולי</w:t>
      </w:r>
      <w:r w:rsidRPr="005A6982">
        <w:rPr>
          <w:rFonts w:ascii="Calibri" w:eastAsia="Calibri" w:hAnsi="Calibri" w:cs="Calibri"/>
          <w:rtl/>
        </w:rPr>
        <w:t xml:space="preserve"> </w:t>
      </w:r>
      <w:r w:rsidRPr="005A6982">
        <w:rPr>
          <w:rFonts w:ascii="Calibri" w:eastAsia="Calibri" w:hAnsi="Calibri" w:cs="Calibri"/>
        </w:rPr>
        <w:t>2026</w:t>
      </w:r>
      <w:r w:rsidRPr="005A6982">
        <w:rPr>
          <w:rFonts w:ascii="Calibri" w:eastAsia="Calibri" w:hAnsi="Calibri" w:cs="Calibri"/>
          <w:rtl/>
        </w:rPr>
        <w:t xml:space="preserve"> בנוגע למשתני המקרו העיקריים</w:t>
      </w:r>
      <w:r w:rsidR="00F567E9" w:rsidRPr="005A6982">
        <w:rPr>
          <w:rFonts w:ascii="Calibri" w:eastAsia="Calibri" w:hAnsi="Calibri" w:cs="Calibri"/>
          <w:rtl/>
        </w:rPr>
        <w:t xml:space="preserve">, </w:t>
      </w:r>
      <w:r w:rsidRPr="005A6982">
        <w:rPr>
          <w:rFonts w:ascii="Calibri" w:eastAsia="Calibri" w:hAnsi="Calibri" w:cs="Calibri"/>
          <w:rtl/>
        </w:rPr>
        <w:t>לרבות התוצר, האינפלציה והריבית.</w:t>
      </w:r>
      <w:r w:rsidRPr="005A6982">
        <w:rPr>
          <w:rFonts w:ascii="Calibri" w:eastAsia="Calibri" w:hAnsi="Calibri" w:cs="Calibri"/>
          <w:vertAlign w:val="superscript"/>
          <w:rtl/>
        </w:rPr>
        <w:footnoteReference w:id="2"/>
      </w:r>
      <w:r w:rsidRPr="005A6982">
        <w:rPr>
          <w:rFonts w:ascii="Calibri" w:eastAsia="Calibri" w:hAnsi="Calibri" w:cs="Calibri"/>
          <w:rtl/>
        </w:rPr>
        <w:t xml:space="preserve"> </w:t>
      </w:r>
      <w:r w:rsidR="006E092B" w:rsidRPr="005A6982">
        <w:rPr>
          <w:rFonts w:ascii="Calibri" w:hAnsi="Calibri" w:cs="Calibri"/>
          <w:rtl/>
        </w:rPr>
        <w:t xml:space="preserve">על פי תרחיש הבסיס, התוצר צפוי לצמוח בשנת </w:t>
      </w:r>
      <w:r w:rsidR="006E092B" w:rsidRPr="005A6982">
        <w:rPr>
          <w:rFonts w:ascii="Calibri" w:hAnsi="Calibri" w:cs="Calibri"/>
        </w:rPr>
        <w:t>2026</w:t>
      </w:r>
      <w:r w:rsidR="006E092B" w:rsidRPr="005A6982">
        <w:rPr>
          <w:rFonts w:ascii="Calibri" w:hAnsi="Calibri" w:cs="Calibri"/>
          <w:rtl/>
        </w:rPr>
        <w:t xml:space="preserve"> ב־</w:t>
      </w:r>
      <w:r w:rsidR="006E092B" w:rsidRPr="005A6982">
        <w:rPr>
          <w:rFonts w:ascii="Calibri" w:hAnsi="Calibri" w:cs="Calibri"/>
        </w:rPr>
        <w:t>4.0%</w:t>
      </w:r>
      <w:r w:rsidR="006E092B" w:rsidRPr="005A6982">
        <w:rPr>
          <w:rFonts w:ascii="Calibri" w:hAnsi="Calibri" w:cs="Calibri"/>
          <w:rtl/>
        </w:rPr>
        <w:t xml:space="preserve"> ובשנת </w:t>
      </w:r>
      <w:r w:rsidR="006E092B" w:rsidRPr="005A6982">
        <w:rPr>
          <w:rFonts w:ascii="Calibri" w:hAnsi="Calibri" w:cs="Calibri"/>
        </w:rPr>
        <w:t>2027</w:t>
      </w:r>
      <w:r w:rsidR="006E092B" w:rsidRPr="005A6982">
        <w:rPr>
          <w:rFonts w:ascii="Calibri" w:hAnsi="Calibri" w:cs="Calibri"/>
          <w:rtl/>
        </w:rPr>
        <w:t xml:space="preserve"> ב־</w:t>
      </w:r>
      <w:r w:rsidR="006E092B" w:rsidRPr="005A6982">
        <w:rPr>
          <w:rFonts w:ascii="Calibri" w:hAnsi="Calibri" w:cs="Calibri"/>
        </w:rPr>
        <w:t>5.5%</w:t>
      </w:r>
      <w:r w:rsidR="006E092B" w:rsidRPr="005A6982">
        <w:rPr>
          <w:rFonts w:ascii="Calibri" w:hAnsi="Calibri" w:cs="Calibri"/>
          <w:rtl/>
        </w:rPr>
        <w:t xml:space="preserve">. </w:t>
      </w:r>
      <w:r w:rsidR="00316E38" w:rsidRPr="005A6982">
        <w:rPr>
          <w:rFonts w:ascii="Calibri" w:hAnsi="Calibri" w:cs="Calibri"/>
          <w:rtl/>
        </w:rPr>
        <w:t xml:space="preserve">שיעור האינפלציה בארבעת הרבעונים הקרובים (המסתיימים ברבעון השני של שנת </w:t>
      </w:r>
      <w:r w:rsidR="00316E38" w:rsidRPr="005A6982">
        <w:rPr>
          <w:rFonts w:ascii="Calibri" w:hAnsi="Calibri" w:cs="Calibri"/>
        </w:rPr>
        <w:t>2027</w:t>
      </w:r>
      <w:r w:rsidR="00316E38" w:rsidRPr="005A6982">
        <w:rPr>
          <w:rFonts w:ascii="Calibri" w:hAnsi="Calibri" w:cs="Calibri"/>
          <w:rtl/>
        </w:rPr>
        <w:t xml:space="preserve">) צפוי לעמוד על </w:t>
      </w:r>
      <w:r w:rsidR="00316E38" w:rsidRPr="005A6982">
        <w:rPr>
          <w:rFonts w:ascii="Calibri" w:hAnsi="Calibri" w:cs="Calibri"/>
        </w:rPr>
        <w:t>1.8%</w:t>
      </w:r>
      <w:r w:rsidR="00316E38" w:rsidRPr="005A6982">
        <w:rPr>
          <w:rFonts w:ascii="Calibri" w:hAnsi="Calibri" w:cs="Calibri"/>
          <w:rtl/>
        </w:rPr>
        <w:t xml:space="preserve"> (ובמהלך שנת </w:t>
      </w:r>
      <w:r w:rsidR="00316E38" w:rsidRPr="005A6982">
        <w:rPr>
          <w:rFonts w:ascii="Calibri" w:hAnsi="Calibri" w:cs="Calibri"/>
        </w:rPr>
        <w:t>2026</w:t>
      </w:r>
      <w:r w:rsidR="00316E38" w:rsidRPr="005A6982">
        <w:rPr>
          <w:rFonts w:ascii="Calibri" w:hAnsi="Calibri" w:cs="Calibri"/>
          <w:rtl/>
        </w:rPr>
        <w:t xml:space="preserve"> על </w:t>
      </w:r>
      <w:r w:rsidR="00316E38" w:rsidRPr="005A6982">
        <w:rPr>
          <w:rFonts w:ascii="Calibri" w:hAnsi="Calibri" w:cs="Calibri"/>
        </w:rPr>
        <w:t>1.</w:t>
      </w:r>
      <w:r w:rsidR="0C92DB11" w:rsidRPr="005A6982">
        <w:rPr>
          <w:rFonts w:ascii="Calibri" w:hAnsi="Calibri" w:cs="Calibri"/>
        </w:rPr>
        <w:t>8</w:t>
      </w:r>
      <w:r w:rsidR="00316E38" w:rsidRPr="005A6982">
        <w:rPr>
          <w:rFonts w:ascii="Calibri" w:hAnsi="Calibri" w:cs="Calibri"/>
        </w:rPr>
        <w:t>%</w:t>
      </w:r>
      <w:r w:rsidR="00316E38" w:rsidRPr="005A6982">
        <w:rPr>
          <w:rFonts w:ascii="Calibri" w:hAnsi="Calibri" w:cs="Calibri"/>
          <w:rtl/>
        </w:rPr>
        <w:t xml:space="preserve">). </w:t>
      </w:r>
      <w:r w:rsidR="006E092B" w:rsidRPr="005A6982">
        <w:rPr>
          <w:rFonts w:ascii="Calibri" w:hAnsi="Calibri" w:cs="Calibri"/>
          <w:rtl/>
        </w:rPr>
        <w:t xml:space="preserve">הריבית הממוצעת ברבעון השני של </w:t>
      </w:r>
      <w:r w:rsidR="006E092B" w:rsidRPr="005A6982">
        <w:rPr>
          <w:rFonts w:ascii="Calibri" w:hAnsi="Calibri" w:cs="Calibri"/>
        </w:rPr>
        <w:t>2027</w:t>
      </w:r>
      <w:r w:rsidR="006E092B" w:rsidRPr="005A6982">
        <w:rPr>
          <w:rFonts w:ascii="Calibri" w:hAnsi="Calibri" w:cs="Calibri"/>
          <w:rtl/>
        </w:rPr>
        <w:t xml:space="preserve"> צפויה לעמוד על </w:t>
      </w:r>
      <w:r w:rsidR="00E0031E" w:rsidRPr="005A6982">
        <w:rPr>
          <w:rFonts w:ascii="Calibri" w:hAnsi="Calibri" w:cs="Calibri"/>
        </w:rPr>
        <w:t>3.0%</w:t>
      </w:r>
      <w:r w:rsidR="00E0031E" w:rsidRPr="005A6982">
        <w:rPr>
          <w:rFonts w:ascii="Calibri" w:hAnsi="Calibri" w:cs="Calibri" w:hint="cs"/>
          <w:rtl/>
        </w:rPr>
        <w:t>.</w:t>
      </w:r>
      <w:r w:rsidR="00316E38" w:rsidRPr="005A6982">
        <w:rPr>
          <w:rFonts w:ascii="Calibri" w:hAnsi="Calibri" w:cs="Calibri"/>
          <w:rtl/>
        </w:rPr>
        <w:t xml:space="preserve"> </w:t>
      </w:r>
      <w:r w:rsidR="00BF7A65" w:rsidRPr="005A6982">
        <w:rPr>
          <w:rFonts w:ascii="Calibri" w:hAnsi="Calibri" w:cs="Calibri" w:hint="cs"/>
          <w:rtl/>
        </w:rPr>
        <w:t xml:space="preserve">ככל שתקציב הביטחון לא יוגדל מעבר לרזרבות שהוקצו בתקציב, </w:t>
      </w:r>
      <w:r w:rsidR="00316E38" w:rsidRPr="005A6982">
        <w:rPr>
          <w:rFonts w:ascii="Calibri" w:hAnsi="Calibri" w:cs="Calibri"/>
          <w:rtl/>
        </w:rPr>
        <w:t xml:space="preserve">הגירעון </w:t>
      </w:r>
      <w:r w:rsidR="00880FB2" w:rsidRPr="005A6982">
        <w:rPr>
          <w:rFonts w:ascii="Calibri" w:hAnsi="Calibri" w:cs="Calibri" w:hint="cs"/>
          <w:rtl/>
        </w:rPr>
        <w:t xml:space="preserve">בתקציב המדינה </w:t>
      </w:r>
      <w:r w:rsidR="00316E38" w:rsidRPr="005A6982">
        <w:rPr>
          <w:rFonts w:ascii="Calibri" w:hAnsi="Calibri" w:cs="Calibri"/>
          <w:rtl/>
        </w:rPr>
        <w:t xml:space="preserve">צפוי לעמוד על </w:t>
      </w:r>
      <w:r w:rsidR="00316E38" w:rsidRPr="005A6982">
        <w:rPr>
          <w:rFonts w:ascii="Calibri" w:hAnsi="Calibri" w:cs="Calibri"/>
        </w:rPr>
        <w:t>4.</w:t>
      </w:r>
      <w:r w:rsidR="00B1156A" w:rsidRPr="005A6982">
        <w:rPr>
          <w:rFonts w:ascii="Calibri" w:hAnsi="Calibri" w:cs="Calibri"/>
        </w:rPr>
        <w:t>9</w:t>
      </w:r>
      <w:r w:rsidR="00316E38" w:rsidRPr="005A6982">
        <w:rPr>
          <w:rFonts w:ascii="Calibri" w:hAnsi="Calibri" w:cs="Calibri"/>
        </w:rPr>
        <w:t>%</w:t>
      </w:r>
      <w:r w:rsidR="00316E38" w:rsidRPr="005A6982">
        <w:rPr>
          <w:rFonts w:ascii="Calibri" w:hAnsi="Calibri" w:cs="Calibri"/>
          <w:rtl/>
        </w:rPr>
        <w:t xml:space="preserve"> תוצר בשנת </w:t>
      </w:r>
      <w:r w:rsidR="00316E38" w:rsidRPr="005A6982">
        <w:rPr>
          <w:rFonts w:ascii="Calibri" w:hAnsi="Calibri" w:cs="Calibri"/>
        </w:rPr>
        <w:t>2026</w:t>
      </w:r>
      <w:r w:rsidR="00316E38" w:rsidRPr="005A6982">
        <w:rPr>
          <w:rFonts w:ascii="Calibri" w:hAnsi="Calibri" w:cs="Calibri"/>
          <w:rtl/>
        </w:rPr>
        <w:t xml:space="preserve"> ועל </w:t>
      </w:r>
      <w:r w:rsidR="007F6C81" w:rsidRPr="005A6982">
        <w:rPr>
          <w:rFonts w:ascii="Calibri" w:hAnsi="Calibri" w:cs="Calibri"/>
        </w:rPr>
        <w:t>4.2%</w:t>
      </w:r>
      <w:r w:rsidR="007F6C81" w:rsidRPr="005A6982">
        <w:rPr>
          <w:rFonts w:ascii="Calibri" w:hAnsi="Calibri" w:cs="Calibri" w:hint="cs"/>
          <w:rtl/>
        </w:rPr>
        <w:t xml:space="preserve"> </w:t>
      </w:r>
      <w:r w:rsidR="00316E38" w:rsidRPr="005A6982">
        <w:rPr>
          <w:rFonts w:ascii="Calibri" w:hAnsi="Calibri" w:cs="Calibri"/>
          <w:rtl/>
        </w:rPr>
        <w:t xml:space="preserve">בשנת </w:t>
      </w:r>
      <w:r w:rsidR="00316E38" w:rsidRPr="005A6982">
        <w:rPr>
          <w:rFonts w:ascii="Calibri" w:hAnsi="Calibri" w:cs="Calibri"/>
        </w:rPr>
        <w:t>2027</w:t>
      </w:r>
      <w:r w:rsidR="00316E38" w:rsidRPr="005A6982">
        <w:rPr>
          <w:rFonts w:ascii="Calibri" w:hAnsi="Calibri" w:cs="Calibri"/>
          <w:rtl/>
        </w:rPr>
        <w:t xml:space="preserve">. יחס החוב לתוצר צפוי </w:t>
      </w:r>
      <w:r w:rsidR="35857A8C" w:rsidRPr="005A6982">
        <w:rPr>
          <w:rFonts w:ascii="Calibri" w:hAnsi="Calibri" w:cs="Calibri"/>
          <w:rtl/>
        </w:rPr>
        <w:t xml:space="preserve">להתייצב </w:t>
      </w:r>
      <w:r w:rsidR="00316E38" w:rsidRPr="005A6982">
        <w:rPr>
          <w:rFonts w:ascii="Calibri" w:hAnsi="Calibri" w:cs="Calibri"/>
          <w:rtl/>
        </w:rPr>
        <w:t>על כ-</w:t>
      </w:r>
      <w:r w:rsidR="00316E38" w:rsidRPr="005A6982">
        <w:rPr>
          <w:rFonts w:ascii="Calibri" w:hAnsi="Calibri" w:cs="Calibri"/>
        </w:rPr>
        <w:t>69%</w:t>
      </w:r>
      <w:r w:rsidR="00316E38" w:rsidRPr="005A6982">
        <w:rPr>
          <w:rFonts w:ascii="Calibri" w:hAnsi="Calibri" w:cs="Calibri"/>
          <w:rtl/>
        </w:rPr>
        <w:t xml:space="preserve"> בשנ</w:t>
      </w:r>
      <w:r w:rsidR="00B1156A" w:rsidRPr="005A6982">
        <w:rPr>
          <w:rFonts w:ascii="Calibri" w:hAnsi="Calibri" w:cs="Calibri"/>
          <w:rtl/>
        </w:rPr>
        <w:t>ים אלה</w:t>
      </w:r>
      <w:r w:rsidR="00316E38" w:rsidRPr="005A6982">
        <w:rPr>
          <w:rFonts w:ascii="Calibri" w:hAnsi="Calibri" w:cs="Calibri"/>
          <w:rtl/>
        </w:rPr>
        <w:t>.</w:t>
      </w:r>
    </w:p>
    <w:p w14:paraId="22DA1614" w14:textId="77777777" w:rsidR="00F1584E" w:rsidRPr="005A6982" w:rsidRDefault="006E092B" w:rsidP="004E7CD7">
      <w:pPr>
        <w:bidi/>
        <w:spacing w:before="240" w:after="240" w:line="360" w:lineRule="auto"/>
        <w:jc w:val="both"/>
        <w:rPr>
          <w:rFonts w:ascii="Calibri" w:hAnsi="Calibri" w:cs="Calibri"/>
        </w:rPr>
      </w:pPr>
      <w:r w:rsidRPr="005A6982">
        <w:rPr>
          <w:rFonts w:ascii="Calibri" w:hAnsi="Calibri" w:cs="Calibri"/>
          <w:rtl/>
        </w:rPr>
        <w:t xml:space="preserve">התחזית גובשה תחת הנחת העבודה </w:t>
      </w:r>
      <w:r w:rsidR="004E7444" w:rsidRPr="005A6982">
        <w:rPr>
          <w:rFonts w:ascii="Calibri" w:hAnsi="Calibri" w:cs="Calibri"/>
          <w:rtl/>
        </w:rPr>
        <w:t>כי עצימות הלחימה בלבנון פוחתת, באופן שמקל במידת מה את מגבלות ההיצע במשק. בנוסף, אנו מניחים ש</w:t>
      </w:r>
      <w:r w:rsidRPr="005A6982">
        <w:rPr>
          <w:rFonts w:ascii="Calibri" w:hAnsi="Calibri" w:cs="Calibri"/>
          <w:rtl/>
        </w:rPr>
        <w:t xml:space="preserve">לא יתקיים סבב לחימה נוסף </w:t>
      </w:r>
      <w:r w:rsidR="007F0B25" w:rsidRPr="005A6982">
        <w:rPr>
          <w:rFonts w:ascii="Calibri" w:hAnsi="Calibri" w:cs="Calibri"/>
          <w:rtl/>
        </w:rPr>
        <w:t xml:space="preserve">מול איראן </w:t>
      </w:r>
      <w:r w:rsidRPr="005A6982">
        <w:rPr>
          <w:rFonts w:ascii="Calibri" w:hAnsi="Calibri" w:cs="Calibri"/>
          <w:rtl/>
        </w:rPr>
        <w:t>באופק התחזית</w:t>
      </w:r>
      <w:r w:rsidR="00941B96" w:rsidRPr="005A6982">
        <w:rPr>
          <w:rFonts w:ascii="Calibri" w:hAnsi="Calibri" w:cs="Calibri"/>
          <w:rtl/>
        </w:rPr>
        <w:t xml:space="preserve">. </w:t>
      </w:r>
      <w:r w:rsidR="00F1584E" w:rsidRPr="005A6982">
        <w:rPr>
          <w:rFonts w:ascii="Calibri" w:hAnsi="Calibri" w:cs="Calibri"/>
          <w:rtl/>
        </w:rPr>
        <w:t>עם זאת,</w:t>
      </w:r>
      <w:r w:rsidR="004E7444" w:rsidRPr="005A6982">
        <w:rPr>
          <w:rFonts w:ascii="Calibri" w:hAnsi="Calibri" w:cs="Calibri"/>
          <w:rtl/>
        </w:rPr>
        <w:t xml:space="preserve"> הסביבה הגאו-פוליטית </w:t>
      </w:r>
      <w:r w:rsidR="00F1584E" w:rsidRPr="005A6982">
        <w:rPr>
          <w:rFonts w:ascii="Calibri" w:hAnsi="Calibri" w:cs="Calibri"/>
          <w:rtl/>
        </w:rPr>
        <w:t>צפויה להישאר מתוחה, ולכן התחזית מוסי</w:t>
      </w:r>
      <w:r w:rsidR="00941B96" w:rsidRPr="005A6982">
        <w:rPr>
          <w:rFonts w:ascii="Calibri" w:hAnsi="Calibri" w:cs="Calibri"/>
          <w:rtl/>
        </w:rPr>
        <w:t>פ</w:t>
      </w:r>
      <w:r w:rsidR="00F1584E" w:rsidRPr="005A6982">
        <w:rPr>
          <w:rFonts w:ascii="Calibri" w:hAnsi="Calibri" w:cs="Calibri"/>
          <w:rtl/>
        </w:rPr>
        <w:t>ה לשקף צורך בהיערכות לסבב נוסף</w:t>
      </w:r>
      <w:r w:rsidR="00205D90" w:rsidRPr="005A6982">
        <w:rPr>
          <w:rFonts w:ascii="Calibri" w:hAnsi="Calibri" w:cs="Calibri" w:hint="cs"/>
          <w:rtl/>
        </w:rPr>
        <w:t xml:space="preserve"> במידה ויהיה כזה</w:t>
      </w:r>
      <w:r w:rsidR="00F1584E" w:rsidRPr="005A6982">
        <w:rPr>
          <w:rFonts w:ascii="Calibri" w:hAnsi="Calibri" w:cs="Calibri"/>
          <w:rtl/>
        </w:rPr>
        <w:t>.</w:t>
      </w:r>
      <w:r w:rsidRPr="005A6982">
        <w:rPr>
          <w:rFonts w:ascii="Calibri" w:hAnsi="Calibri" w:cs="Calibri"/>
          <w:rtl/>
        </w:rPr>
        <w:t xml:space="preserve"> </w:t>
      </w:r>
      <w:r w:rsidR="41895602" w:rsidRPr="005A6982">
        <w:rPr>
          <w:rFonts w:ascii="Calibri" w:eastAsia="Calibri" w:hAnsi="Calibri" w:cs="Calibri"/>
          <w:rtl/>
        </w:rPr>
        <w:t>הנחה נוספת בבסיס התחזית היא שמחירי האנרגיה בעולם, שירדו על רקע ההסכם, יישארו בסביבה זו באופק התחזית.</w:t>
      </w:r>
      <w:r w:rsidR="00880FB2" w:rsidRPr="005A6982">
        <w:rPr>
          <w:rFonts w:ascii="Calibri" w:hAnsi="Calibri" w:cs="Calibri" w:hint="cs"/>
          <w:rtl/>
        </w:rPr>
        <w:t xml:space="preserve"> באשר לתקציב המדינה</w:t>
      </w:r>
      <w:r w:rsidR="00DC641D" w:rsidRPr="005A6982">
        <w:rPr>
          <w:rFonts w:ascii="Calibri" w:hAnsi="Calibri" w:cs="Calibri" w:hint="cs"/>
          <w:rtl/>
        </w:rPr>
        <w:t>,</w:t>
      </w:r>
      <w:r w:rsidR="00880FB2" w:rsidRPr="005A6982">
        <w:rPr>
          <w:rFonts w:ascii="Calibri" w:hAnsi="Calibri" w:cs="Calibri" w:hint="cs"/>
          <w:rtl/>
        </w:rPr>
        <w:t xml:space="preserve"> הנחת העבודה היא שתקציב הביטחון לא יוגדל בשנת 2026 מעבר לרזרבות שנשמרו בתקציב. </w:t>
      </w:r>
    </w:p>
    <w:p w14:paraId="238DD2D6" w14:textId="77777777" w:rsidR="003C2632" w:rsidRPr="005A6982" w:rsidRDefault="00F1584E" w:rsidP="004E7CD7">
      <w:pPr>
        <w:bidi/>
        <w:spacing w:after="120" w:line="360" w:lineRule="auto"/>
        <w:jc w:val="both"/>
        <w:rPr>
          <w:rFonts w:ascii="Calibri" w:hAnsi="Calibri" w:cs="Calibri"/>
          <w:rtl/>
        </w:rPr>
      </w:pPr>
      <w:r w:rsidRPr="005A6982">
        <w:rPr>
          <w:rFonts w:ascii="Calibri" w:hAnsi="Calibri" w:cs="Calibri"/>
          <w:rtl/>
        </w:rPr>
        <w:t xml:space="preserve">על בסיס הנחות אלו, </w:t>
      </w:r>
      <w:r w:rsidR="00117D7A" w:rsidRPr="005A6982">
        <w:rPr>
          <w:rFonts w:ascii="Calibri" w:hAnsi="Calibri" w:cs="Calibri"/>
          <w:rtl/>
        </w:rPr>
        <w:t xml:space="preserve">התחזית משקפת </w:t>
      </w:r>
      <w:r w:rsidR="004E7444" w:rsidRPr="005A6982">
        <w:rPr>
          <w:rFonts w:ascii="Calibri" w:hAnsi="Calibri" w:cs="Calibri"/>
          <w:rtl/>
        </w:rPr>
        <w:t xml:space="preserve">המשך התכנסות של התוצר אל עבר המגמה, </w:t>
      </w:r>
      <w:r w:rsidR="00316E38" w:rsidRPr="005A6982">
        <w:rPr>
          <w:rFonts w:ascii="Calibri" w:hAnsi="Calibri" w:cs="Calibri"/>
          <w:rtl/>
        </w:rPr>
        <w:t xml:space="preserve">הנתמכת בהמשך </w:t>
      </w:r>
      <w:r w:rsidR="004E7444" w:rsidRPr="005A6982">
        <w:rPr>
          <w:rFonts w:ascii="Calibri" w:hAnsi="Calibri" w:cs="Calibri"/>
          <w:rtl/>
        </w:rPr>
        <w:t xml:space="preserve">הקלה במגבלת ההיצע עם שחרור </w:t>
      </w:r>
      <w:r w:rsidR="00880FB2" w:rsidRPr="005A6982">
        <w:rPr>
          <w:rFonts w:ascii="Calibri" w:hAnsi="Calibri" w:cs="Calibri" w:hint="cs"/>
          <w:rtl/>
        </w:rPr>
        <w:t>אנשי</w:t>
      </w:r>
      <w:r w:rsidR="00880FB2" w:rsidRPr="005A6982">
        <w:rPr>
          <w:rFonts w:ascii="Calibri" w:hAnsi="Calibri" w:cs="Calibri"/>
          <w:rtl/>
        </w:rPr>
        <w:t xml:space="preserve"> </w:t>
      </w:r>
      <w:r w:rsidR="004E7444" w:rsidRPr="005A6982">
        <w:rPr>
          <w:rFonts w:ascii="Calibri" w:hAnsi="Calibri" w:cs="Calibri"/>
          <w:rtl/>
        </w:rPr>
        <w:t xml:space="preserve">מילואים </w:t>
      </w:r>
      <w:r w:rsidR="003C2632" w:rsidRPr="005A6982">
        <w:rPr>
          <w:rFonts w:ascii="Calibri" w:hAnsi="Calibri" w:cs="Calibri"/>
          <w:rtl/>
        </w:rPr>
        <w:t xml:space="preserve">והמשך עלייה במספר העובדים הזרים. ואולם, </w:t>
      </w:r>
      <w:r w:rsidR="00E70421" w:rsidRPr="005A6982">
        <w:rPr>
          <w:rFonts w:ascii="Calibri" w:hAnsi="Calibri" w:cs="Calibri"/>
          <w:rtl/>
        </w:rPr>
        <w:t>גם בקצה אופק התחזית</w:t>
      </w:r>
      <w:r w:rsidR="00F0228F" w:rsidRPr="005A6982">
        <w:rPr>
          <w:rFonts w:ascii="Calibri" w:hAnsi="Calibri" w:cs="Calibri"/>
          <w:rtl/>
        </w:rPr>
        <w:t xml:space="preserve"> (</w:t>
      </w:r>
      <w:r w:rsidR="00E70421" w:rsidRPr="005A6982">
        <w:rPr>
          <w:rFonts w:ascii="Calibri" w:hAnsi="Calibri" w:cs="Calibri"/>
          <w:rtl/>
        </w:rPr>
        <w:t xml:space="preserve">סוף </w:t>
      </w:r>
      <w:r w:rsidR="00E70421" w:rsidRPr="005A6982">
        <w:rPr>
          <w:rFonts w:ascii="Calibri" w:hAnsi="Calibri" w:cs="Calibri"/>
        </w:rPr>
        <w:t>2027</w:t>
      </w:r>
      <w:r w:rsidR="00F0228F" w:rsidRPr="005A6982">
        <w:rPr>
          <w:rFonts w:ascii="Calibri" w:hAnsi="Calibri" w:cs="Calibri"/>
          <w:rtl/>
        </w:rPr>
        <w:t>)</w:t>
      </w:r>
      <w:r w:rsidR="00E70421" w:rsidRPr="005A6982">
        <w:rPr>
          <w:rFonts w:ascii="Calibri" w:hAnsi="Calibri" w:cs="Calibri"/>
          <w:rtl/>
        </w:rPr>
        <w:t xml:space="preserve"> התוצר </w:t>
      </w:r>
      <w:r w:rsidR="00F0228F" w:rsidRPr="005A6982">
        <w:rPr>
          <w:rFonts w:ascii="Calibri" w:hAnsi="Calibri" w:cs="Calibri"/>
          <w:rtl/>
        </w:rPr>
        <w:t xml:space="preserve">צפוי להיוותר </w:t>
      </w:r>
      <w:r w:rsidR="00E70421" w:rsidRPr="005A6982">
        <w:rPr>
          <w:rFonts w:ascii="Calibri" w:hAnsi="Calibri" w:cs="Calibri"/>
          <w:rtl/>
        </w:rPr>
        <w:t xml:space="preserve">מתחת לקו המגמה מכיוון שהיצע העובדים עדיין צפוי להיות נמוך ביחס לרמה הנגזרת ממגמת טרום-המלחמה. </w:t>
      </w:r>
      <w:r w:rsidR="00F0228F" w:rsidRPr="005A6982">
        <w:rPr>
          <w:rFonts w:ascii="Calibri" w:hAnsi="Calibri" w:cs="Calibri"/>
          <w:rtl/>
        </w:rPr>
        <w:t xml:space="preserve">במקביל, </w:t>
      </w:r>
      <w:r w:rsidR="003C2632" w:rsidRPr="005A6982">
        <w:rPr>
          <w:rFonts w:ascii="Calibri" w:hAnsi="Calibri" w:cs="Calibri"/>
          <w:rtl/>
        </w:rPr>
        <w:t>ההקלה במגבלות ההיצע, הירידה במחירי הנפט ובפרמיית הסיכון של ישראל, וייסוף השקל תורמים להתמתנות סביבת האינפלציה, אשר צפויה להתבסס בסביבת מרכז תחום היעד, ותומכים בתהליך הורדת הריבית.</w:t>
      </w:r>
    </w:p>
    <w:p w14:paraId="12DE2B5B" w14:textId="77777777" w:rsidR="00117D7A" w:rsidRPr="005A6982" w:rsidRDefault="00117D7A" w:rsidP="004E7CD7">
      <w:pPr>
        <w:pStyle w:val="1"/>
        <w:rPr>
          <w:rFonts w:ascii="Calibri" w:hAnsi="Calibri" w:cs="Calibri"/>
          <w:rtl/>
        </w:rPr>
      </w:pPr>
      <w:r w:rsidRPr="005A6982">
        <w:rPr>
          <w:rFonts w:ascii="Calibri" w:hAnsi="Calibri" w:cs="Calibri"/>
          <w:rtl/>
        </w:rPr>
        <w:t>התחזית</w:t>
      </w:r>
    </w:p>
    <w:p w14:paraId="70320873" w14:textId="77777777" w:rsidR="00117D7A" w:rsidRPr="005A6982" w:rsidRDefault="00117D7A" w:rsidP="004E7CD7">
      <w:pPr>
        <w:bidi/>
        <w:spacing w:after="120" w:line="360" w:lineRule="auto"/>
        <w:jc w:val="both"/>
        <w:rPr>
          <w:rFonts w:ascii="Calibri" w:eastAsia="Calibri" w:hAnsi="Calibri" w:cs="Calibri"/>
          <w:rtl/>
        </w:rPr>
      </w:pPr>
      <w:r w:rsidRPr="005A6982">
        <w:rPr>
          <w:rFonts w:ascii="Calibri" w:eastAsia="Calibri" w:hAnsi="Calibri" w:cs="Calibri"/>
          <w:rtl/>
        </w:rPr>
        <w:t xml:space="preserve">חטיבת המחקר של בנק ישראל עורכת בכל רבעון תחזית מקרו-כלכלית שמתבססת על מספר מודלים, על מקורות מידע שונים ועל הערכות שיפוטיות. בתהליך זה יש תפקיד מרכזי למודלים מסוג </w:t>
      </w:r>
      <w:r w:rsidRPr="005A6982">
        <w:rPr>
          <w:rFonts w:ascii="Calibri" w:eastAsia="Calibri" w:hAnsi="Calibri" w:cs="Calibri"/>
        </w:rPr>
        <w:t xml:space="preserve">DSGE (Dynamic Stochastic </w:t>
      </w:r>
      <w:r w:rsidRPr="005A6982">
        <w:rPr>
          <w:rFonts w:ascii="Calibri" w:eastAsia="Calibri" w:hAnsi="Calibri" w:cs="Calibri"/>
        </w:rPr>
        <w:lastRenderedPageBreak/>
        <w:t>General Equilibrium</w:t>
      </w:r>
      <w:r w:rsidRPr="005A6982">
        <w:rPr>
          <w:rFonts w:ascii="Calibri" w:eastAsia="Calibri" w:hAnsi="Calibri" w:cs="Calibri"/>
          <w:rtl/>
        </w:rPr>
        <w:t>) שפותחו בחטיבת המחקר – מודלים מבניים שמבוססים על יסודות מיקרו-כלכליים. המודלים מספקים מסגרת לניתוח הכוחות המשפיעים על המשק ומאפשרים לגבש את המידע מהמקורות השונים לכדי תחזית מקרו-כלכלית למשתנים ריאליים ונומינליים, המתאפיינת בעקביות פנימית ובסיפור כלכלי. כמו כן המודלים מסייעים בניתוח תרחישים וחלופות מדיניות, ובכך תומכים בגיבוש מדיניות בתנאי אי ודאות.</w:t>
      </w:r>
    </w:p>
    <w:p w14:paraId="4A7B29C9" w14:textId="77777777" w:rsidR="00117D7A" w:rsidRPr="005A6982" w:rsidRDefault="00117D7A" w:rsidP="004E7CD7">
      <w:pPr>
        <w:pStyle w:val="a"/>
        <w:rPr>
          <w:rFonts w:ascii="Calibri" w:hAnsi="Calibri" w:cs="Calibri"/>
          <w:b/>
          <w:sz w:val="24"/>
        </w:rPr>
      </w:pPr>
      <w:r w:rsidRPr="005A6982">
        <w:rPr>
          <w:rFonts w:ascii="Calibri" w:hAnsi="Calibri" w:cs="Calibri"/>
          <w:b/>
          <w:sz w:val="24"/>
          <w:rtl/>
        </w:rPr>
        <w:t>הסביבה העולמית</w:t>
      </w:r>
      <w:bookmarkStart w:id="0" w:name="_Hlk202427660"/>
    </w:p>
    <w:p w14:paraId="71FEEBF1" w14:textId="77777777" w:rsidR="00117D7A" w:rsidRPr="005A6982" w:rsidRDefault="00117D7A" w:rsidP="004E7CD7">
      <w:pPr>
        <w:tabs>
          <w:tab w:val="num" w:pos="720"/>
        </w:tabs>
        <w:bidi/>
        <w:spacing w:after="360" w:line="360" w:lineRule="auto"/>
        <w:jc w:val="both"/>
        <w:rPr>
          <w:rFonts w:ascii="Calibri" w:hAnsi="Calibri" w:cs="Calibri"/>
          <w:rtl/>
        </w:rPr>
      </w:pPr>
      <w:r w:rsidRPr="005A6982">
        <w:rPr>
          <w:rFonts w:ascii="Calibri" w:eastAsia="Calibri" w:hAnsi="Calibri" w:cs="Calibri"/>
          <w:rtl/>
        </w:rPr>
        <w:t xml:space="preserve">הערכותינו לגבי ההתפתחויות בסביבה העולמית מתבססות על התחזיות שמגבשים מוסדות בין-לאומיים ובתי השקעות זרים. בהתאם, אנו מניחים כי התוצר של המדינות המפותחות יצמח בשיעור של </w:t>
      </w:r>
      <w:r w:rsidRPr="005A6982">
        <w:rPr>
          <w:rFonts w:ascii="Calibri" w:eastAsia="Calibri" w:hAnsi="Calibri" w:cs="Calibri"/>
        </w:rPr>
        <w:t>1.</w:t>
      </w:r>
      <w:r w:rsidR="000D7560" w:rsidRPr="005A6982">
        <w:rPr>
          <w:rFonts w:ascii="Calibri" w:eastAsia="Calibri" w:hAnsi="Calibri" w:cs="Calibri"/>
        </w:rPr>
        <w:t>2</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2026</w:t>
      </w:r>
      <w:r w:rsidRPr="005A6982">
        <w:rPr>
          <w:rFonts w:ascii="Calibri" w:eastAsia="Calibri" w:hAnsi="Calibri" w:cs="Calibri"/>
          <w:rtl/>
        </w:rPr>
        <w:t xml:space="preserve">, ובשיעור של </w:t>
      </w:r>
      <w:r w:rsidRPr="005A6982">
        <w:rPr>
          <w:rFonts w:ascii="Calibri" w:eastAsia="Calibri" w:hAnsi="Calibri" w:cs="Calibri"/>
        </w:rPr>
        <w:t>1.</w:t>
      </w:r>
      <w:r w:rsidR="000D7560" w:rsidRPr="005A6982">
        <w:rPr>
          <w:rFonts w:ascii="Calibri" w:eastAsia="Calibri" w:hAnsi="Calibri" w:cs="Calibri"/>
        </w:rPr>
        <w:t>4</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2027</w:t>
      </w:r>
      <w:r w:rsidRPr="005A6982">
        <w:rPr>
          <w:rFonts w:ascii="Calibri" w:eastAsia="Calibri" w:hAnsi="Calibri" w:cs="Calibri"/>
          <w:rtl/>
        </w:rPr>
        <w:t xml:space="preserve"> (</w:t>
      </w:r>
      <w:r w:rsidR="000D7560" w:rsidRPr="005A6982">
        <w:rPr>
          <w:rFonts w:ascii="Calibri" w:eastAsia="Calibri" w:hAnsi="Calibri" w:cs="Calibri"/>
          <w:rtl/>
        </w:rPr>
        <w:t>בהשוואה ל-</w:t>
      </w:r>
      <w:r w:rsidR="000D7560" w:rsidRPr="005A6982">
        <w:rPr>
          <w:rFonts w:ascii="Calibri" w:eastAsia="Calibri" w:hAnsi="Calibri" w:cs="Calibri"/>
        </w:rPr>
        <w:t>1.5%</w:t>
      </w:r>
      <w:r w:rsidR="000D7560" w:rsidRPr="005A6982">
        <w:rPr>
          <w:rFonts w:ascii="Calibri" w:eastAsia="Calibri" w:hAnsi="Calibri" w:cs="Calibri"/>
          <w:rtl/>
        </w:rPr>
        <w:t xml:space="preserve"> ו-</w:t>
      </w:r>
      <w:r w:rsidR="000D7560" w:rsidRPr="005A6982">
        <w:rPr>
          <w:rFonts w:ascii="Calibri" w:eastAsia="Calibri" w:hAnsi="Calibri" w:cs="Calibri"/>
        </w:rPr>
        <w:t>1.6%</w:t>
      </w:r>
      <w:r w:rsidR="000D7560" w:rsidRPr="005A6982">
        <w:rPr>
          <w:rFonts w:ascii="Calibri" w:eastAsia="Calibri" w:hAnsi="Calibri" w:cs="Calibri"/>
          <w:rtl/>
        </w:rPr>
        <w:t xml:space="preserve"> בתחזית מרץ</w:t>
      </w:r>
      <w:r w:rsidRPr="005A6982">
        <w:rPr>
          <w:rFonts w:ascii="Calibri" w:eastAsia="Calibri" w:hAnsi="Calibri" w:cs="Calibri"/>
          <w:rtl/>
        </w:rPr>
        <w:t xml:space="preserve">). האינפלציה של מדינות אלו תעמוד על </w:t>
      </w:r>
      <w:r w:rsidR="000D7560" w:rsidRPr="005A6982">
        <w:rPr>
          <w:rFonts w:ascii="Calibri" w:eastAsia="Calibri" w:hAnsi="Calibri" w:cs="Calibri"/>
        </w:rPr>
        <w:t>3.</w:t>
      </w:r>
      <w:r w:rsidR="7229FDE7" w:rsidRPr="005A6982">
        <w:rPr>
          <w:rFonts w:ascii="Calibri" w:eastAsia="Calibri" w:hAnsi="Calibri" w:cs="Calibri"/>
        </w:rPr>
        <w:t>0</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2026</w:t>
      </w:r>
      <w:r w:rsidRPr="005A6982">
        <w:rPr>
          <w:rFonts w:ascii="Calibri" w:eastAsia="Calibri" w:hAnsi="Calibri" w:cs="Calibri"/>
          <w:rtl/>
        </w:rPr>
        <w:t xml:space="preserve"> (בהשוואה ל-</w:t>
      </w:r>
      <w:r w:rsidRPr="005A6982">
        <w:rPr>
          <w:rFonts w:ascii="Calibri" w:eastAsia="Calibri" w:hAnsi="Calibri" w:cs="Calibri"/>
        </w:rPr>
        <w:t>2.</w:t>
      </w:r>
      <w:r w:rsidR="000D7560" w:rsidRPr="005A6982">
        <w:rPr>
          <w:rFonts w:ascii="Calibri" w:eastAsia="Calibri" w:hAnsi="Calibri" w:cs="Calibri"/>
        </w:rPr>
        <w:t>4</w:t>
      </w:r>
      <w:r w:rsidRPr="005A6982">
        <w:rPr>
          <w:rFonts w:ascii="Calibri" w:eastAsia="Calibri" w:hAnsi="Calibri" w:cs="Calibri"/>
        </w:rPr>
        <w:t>%</w:t>
      </w:r>
      <w:r w:rsidRPr="005A6982">
        <w:rPr>
          <w:rFonts w:ascii="Calibri" w:eastAsia="Calibri" w:hAnsi="Calibri" w:cs="Calibri"/>
          <w:rtl/>
        </w:rPr>
        <w:t xml:space="preserve"> בתחזית </w:t>
      </w:r>
      <w:r w:rsidR="000D7560" w:rsidRPr="005A6982">
        <w:rPr>
          <w:rFonts w:ascii="Calibri" w:eastAsia="Calibri" w:hAnsi="Calibri" w:cs="Calibri"/>
          <w:rtl/>
        </w:rPr>
        <w:t>מרץ</w:t>
      </w:r>
      <w:r w:rsidRPr="005A6982">
        <w:rPr>
          <w:rFonts w:ascii="Calibri" w:eastAsia="Calibri" w:hAnsi="Calibri" w:cs="Calibri"/>
          <w:rtl/>
        </w:rPr>
        <w:t xml:space="preserve">) ועל </w:t>
      </w:r>
      <w:r w:rsidRPr="005A6982">
        <w:rPr>
          <w:rFonts w:ascii="Calibri" w:eastAsia="Calibri" w:hAnsi="Calibri" w:cs="Calibri"/>
        </w:rPr>
        <w:t>2.</w:t>
      </w:r>
      <w:r w:rsidR="000D7560" w:rsidRPr="005A6982">
        <w:rPr>
          <w:rFonts w:ascii="Calibri" w:eastAsia="Calibri" w:hAnsi="Calibri" w:cs="Calibri"/>
        </w:rPr>
        <w:t>3</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2027</w:t>
      </w:r>
      <w:r w:rsidRPr="005A6982">
        <w:rPr>
          <w:rFonts w:ascii="Calibri" w:eastAsia="Calibri" w:hAnsi="Calibri" w:cs="Calibri"/>
          <w:rtl/>
        </w:rPr>
        <w:t xml:space="preserve"> (בהשוואה ל-</w:t>
      </w:r>
      <w:r w:rsidRPr="005A6982">
        <w:rPr>
          <w:rFonts w:ascii="Calibri" w:eastAsia="Calibri" w:hAnsi="Calibri" w:cs="Calibri"/>
        </w:rPr>
        <w:t>2.</w:t>
      </w:r>
      <w:r w:rsidR="000D7560" w:rsidRPr="005A6982">
        <w:rPr>
          <w:rFonts w:ascii="Calibri" w:eastAsia="Calibri" w:hAnsi="Calibri" w:cs="Calibri"/>
        </w:rPr>
        <w:t>0</w:t>
      </w:r>
      <w:r w:rsidRPr="005A6982">
        <w:rPr>
          <w:rFonts w:ascii="Calibri" w:eastAsia="Calibri" w:hAnsi="Calibri" w:cs="Calibri"/>
        </w:rPr>
        <w:t>%</w:t>
      </w:r>
      <w:r w:rsidRPr="005A6982">
        <w:rPr>
          <w:rFonts w:ascii="Calibri" w:eastAsia="Calibri" w:hAnsi="Calibri" w:cs="Calibri"/>
          <w:rtl/>
        </w:rPr>
        <w:t xml:space="preserve"> בתחזית </w:t>
      </w:r>
      <w:r w:rsidR="000D7560" w:rsidRPr="005A6982">
        <w:rPr>
          <w:rFonts w:ascii="Calibri" w:eastAsia="Calibri" w:hAnsi="Calibri" w:cs="Calibri"/>
          <w:rtl/>
        </w:rPr>
        <w:t>מרץ</w:t>
      </w:r>
      <w:r w:rsidRPr="005A6982">
        <w:rPr>
          <w:rFonts w:ascii="Calibri" w:eastAsia="Calibri" w:hAnsi="Calibri" w:cs="Calibri"/>
          <w:rtl/>
        </w:rPr>
        <w:t xml:space="preserve">), והריבית תעמוד על </w:t>
      </w:r>
      <w:r w:rsidR="000D7560" w:rsidRPr="005A6982">
        <w:rPr>
          <w:rFonts w:ascii="Calibri" w:eastAsia="Calibri" w:hAnsi="Calibri" w:cs="Calibri"/>
        </w:rPr>
        <w:t>3.0</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2026</w:t>
      </w:r>
      <w:r w:rsidRPr="005A6982">
        <w:rPr>
          <w:rFonts w:ascii="Calibri" w:eastAsia="Calibri" w:hAnsi="Calibri" w:cs="Calibri"/>
          <w:rtl/>
        </w:rPr>
        <w:t xml:space="preserve"> (בהשוואה ל-</w:t>
      </w:r>
      <w:r w:rsidRPr="005A6982">
        <w:rPr>
          <w:rFonts w:ascii="Calibri" w:eastAsia="Calibri" w:hAnsi="Calibri" w:cs="Calibri"/>
        </w:rPr>
        <w:t>2.</w:t>
      </w:r>
      <w:r w:rsidR="000D7560" w:rsidRPr="005A6982">
        <w:rPr>
          <w:rFonts w:ascii="Calibri" w:eastAsia="Calibri" w:hAnsi="Calibri" w:cs="Calibri"/>
        </w:rPr>
        <w:t>8</w:t>
      </w:r>
      <w:r w:rsidRPr="005A6982">
        <w:rPr>
          <w:rFonts w:ascii="Calibri" w:eastAsia="Calibri" w:hAnsi="Calibri" w:cs="Calibri"/>
        </w:rPr>
        <w:t>%</w:t>
      </w:r>
      <w:r w:rsidRPr="005A6982">
        <w:rPr>
          <w:rFonts w:ascii="Calibri" w:eastAsia="Calibri" w:hAnsi="Calibri" w:cs="Calibri"/>
          <w:rtl/>
        </w:rPr>
        <w:t xml:space="preserve"> בתחזית </w:t>
      </w:r>
      <w:r w:rsidR="000D7560" w:rsidRPr="005A6982">
        <w:rPr>
          <w:rFonts w:ascii="Calibri" w:eastAsia="Calibri" w:hAnsi="Calibri" w:cs="Calibri"/>
          <w:rtl/>
        </w:rPr>
        <w:t>מרץ</w:t>
      </w:r>
      <w:r w:rsidRPr="005A6982">
        <w:rPr>
          <w:rFonts w:ascii="Calibri" w:eastAsia="Calibri" w:hAnsi="Calibri" w:cs="Calibri"/>
          <w:rtl/>
        </w:rPr>
        <w:t xml:space="preserve">) ועל </w:t>
      </w:r>
      <w:r w:rsidRPr="005A6982">
        <w:rPr>
          <w:rFonts w:ascii="Calibri" w:eastAsia="Calibri" w:hAnsi="Calibri" w:cs="Calibri"/>
        </w:rPr>
        <w:t>2.</w:t>
      </w:r>
      <w:r w:rsidR="000D7560" w:rsidRPr="005A6982">
        <w:rPr>
          <w:rFonts w:ascii="Calibri" w:eastAsia="Calibri" w:hAnsi="Calibri" w:cs="Calibri"/>
        </w:rPr>
        <w:t>9</w:t>
      </w:r>
      <w:r w:rsidRPr="005A6982">
        <w:rPr>
          <w:rFonts w:ascii="Calibri" w:eastAsia="Calibri" w:hAnsi="Calibri" w:cs="Calibri"/>
        </w:rPr>
        <w:t>%</w:t>
      </w:r>
      <w:r w:rsidRPr="005A6982">
        <w:rPr>
          <w:rFonts w:ascii="Calibri" w:eastAsia="Calibri" w:hAnsi="Calibri" w:cs="Calibri"/>
          <w:rtl/>
        </w:rPr>
        <w:t xml:space="preserve"> בשנת </w:t>
      </w:r>
      <w:r w:rsidRPr="005A6982">
        <w:rPr>
          <w:rFonts w:ascii="Calibri" w:eastAsia="Calibri" w:hAnsi="Calibri" w:cs="Calibri"/>
        </w:rPr>
        <w:t>2027</w:t>
      </w:r>
      <w:r w:rsidRPr="005A6982">
        <w:rPr>
          <w:rFonts w:ascii="Calibri" w:eastAsia="Calibri" w:hAnsi="Calibri" w:cs="Calibri"/>
          <w:rtl/>
        </w:rPr>
        <w:t xml:space="preserve"> (</w:t>
      </w:r>
      <w:r w:rsidR="000D7560" w:rsidRPr="005A6982">
        <w:rPr>
          <w:rFonts w:ascii="Calibri" w:eastAsia="Calibri" w:hAnsi="Calibri" w:cs="Calibri"/>
          <w:rtl/>
        </w:rPr>
        <w:t>בהשוואה ל-</w:t>
      </w:r>
      <w:r w:rsidR="000D7560" w:rsidRPr="005A6982">
        <w:rPr>
          <w:rFonts w:ascii="Calibri" w:eastAsia="Calibri" w:hAnsi="Calibri" w:cs="Calibri"/>
        </w:rPr>
        <w:t>2.6%</w:t>
      </w:r>
      <w:r w:rsidR="000D7560" w:rsidRPr="005A6982">
        <w:rPr>
          <w:rFonts w:ascii="Calibri" w:eastAsia="Calibri" w:hAnsi="Calibri" w:cs="Calibri"/>
          <w:rtl/>
        </w:rPr>
        <w:t xml:space="preserve"> בתחזית מרץ</w:t>
      </w:r>
      <w:r w:rsidRPr="005A6982">
        <w:rPr>
          <w:rFonts w:ascii="Calibri" w:eastAsia="Calibri" w:hAnsi="Calibri" w:cs="Calibri"/>
          <w:rtl/>
        </w:rPr>
        <w:t xml:space="preserve">). </w:t>
      </w:r>
      <w:r w:rsidR="000D7560" w:rsidRPr="005A6982">
        <w:rPr>
          <w:rFonts w:ascii="Calibri" w:eastAsia="Calibri" w:hAnsi="Calibri" w:cs="Calibri"/>
          <w:rtl/>
        </w:rPr>
        <w:t xml:space="preserve">עדכונים אלו משקפים בעיקר את הערכות בתי ההשקעות הזרים באשר להשפעת העלייה במחירי הנפט בעקבות מבצע "שאגת הארי". </w:t>
      </w:r>
      <w:r w:rsidR="4031EF39" w:rsidRPr="005A6982">
        <w:rPr>
          <w:rFonts w:ascii="Calibri" w:eastAsia="Calibri" w:hAnsi="Calibri" w:cs="Calibri"/>
          <w:rtl/>
        </w:rPr>
        <w:t xml:space="preserve">לצד זאת, </w:t>
      </w:r>
      <w:r w:rsidRPr="005A6982">
        <w:rPr>
          <w:rFonts w:ascii="Calibri" w:eastAsia="Calibri" w:hAnsi="Calibri" w:cs="Calibri"/>
          <w:rtl/>
        </w:rPr>
        <w:t xml:space="preserve">מחירה של חבית נפט מסוג "ברנט" </w:t>
      </w:r>
      <w:r w:rsidR="004E7444" w:rsidRPr="005A6982">
        <w:rPr>
          <w:rFonts w:ascii="Calibri" w:eastAsia="Calibri" w:hAnsi="Calibri" w:cs="Calibri"/>
          <w:rtl/>
        </w:rPr>
        <w:t>ירד</w:t>
      </w:r>
      <w:r w:rsidRPr="005A6982">
        <w:rPr>
          <w:rFonts w:ascii="Calibri" w:eastAsia="Calibri" w:hAnsi="Calibri" w:cs="Calibri"/>
          <w:rtl/>
        </w:rPr>
        <w:t xml:space="preserve"> </w:t>
      </w:r>
      <w:r w:rsidR="001F7856" w:rsidRPr="005A6982">
        <w:rPr>
          <w:rFonts w:ascii="Calibri" w:eastAsia="Calibri" w:hAnsi="Calibri" w:cs="Calibri"/>
          <w:rtl/>
        </w:rPr>
        <w:t xml:space="preserve">באופן משמעותי </w:t>
      </w:r>
      <w:r w:rsidRPr="005A6982">
        <w:rPr>
          <w:rFonts w:ascii="Calibri" w:eastAsia="Calibri" w:hAnsi="Calibri" w:cs="Calibri"/>
          <w:rtl/>
        </w:rPr>
        <w:t>מרמה של כ־</w:t>
      </w:r>
      <w:r w:rsidR="007F0B25" w:rsidRPr="005A6982">
        <w:rPr>
          <w:rFonts w:ascii="Calibri" w:eastAsia="Calibri" w:hAnsi="Calibri" w:cs="Calibri"/>
        </w:rPr>
        <w:t>$112</w:t>
      </w:r>
      <w:r w:rsidRPr="005A6982">
        <w:rPr>
          <w:rFonts w:ascii="Calibri" w:eastAsia="Calibri" w:hAnsi="Calibri" w:cs="Calibri"/>
          <w:rtl/>
        </w:rPr>
        <w:t xml:space="preserve">, בעת עריכת תחזית </w:t>
      </w:r>
      <w:r w:rsidR="004E7444" w:rsidRPr="005A6982">
        <w:rPr>
          <w:rFonts w:ascii="Calibri" w:eastAsia="Calibri" w:hAnsi="Calibri" w:cs="Calibri"/>
          <w:rtl/>
        </w:rPr>
        <w:t>מרץ</w:t>
      </w:r>
      <w:r w:rsidRPr="005A6982">
        <w:rPr>
          <w:rFonts w:ascii="Calibri" w:eastAsia="Calibri" w:hAnsi="Calibri" w:cs="Calibri"/>
          <w:rtl/>
        </w:rPr>
        <w:t>, לרמה של כ-</w:t>
      </w:r>
      <w:r w:rsidR="007F0B25" w:rsidRPr="005A6982">
        <w:rPr>
          <w:rFonts w:ascii="Calibri" w:eastAsia="Calibri" w:hAnsi="Calibri" w:cs="Calibri"/>
        </w:rPr>
        <w:t>$</w:t>
      </w:r>
      <w:r w:rsidR="003204D0" w:rsidRPr="005A6982">
        <w:rPr>
          <w:rFonts w:ascii="Calibri" w:eastAsia="Calibri" w:hAnsi="Calibri" w:cs="Calibri"/>
        </w:rPr>
        <w:t>72</w:t>
      </w:r>
      <w:r w:rsidR="003204D0" w:rsidRPr="005A6982">
        <w:rPr>
          <w:rFonts w:ascii="Calibri" w:eastAsia="Calibri" w:hAnsi="Calibri" w:cs="Calibri"/>
          <w:rtl/>
        </w:rPr>
        <w:t xml:space="preserve"> </w:t>
      </w:r>
      <w:r w:rsidRPr="005A6982">
        <w:rPr>
          <w:rFonts w:ascii="Calibri" w:eastAsia="Calibri" w:hAnsi="Calibri" w:cs="Calibri"/>
          <w:rtl/>
        </w:rPr>
        <w:t xml:space="preserve">כעת. </w:t>
      </w:r>
    </w:p>
    <w:bookmarkEnd w:id="0"/>
    <w:tbl>
      <w:tblPr>
        <w:tblpPr w:leftFromText="180" w:rightFromText="180" w:vertAnchor="text" w:horzAnchor="margin" w:tblpXSpec="right" w:tblpY="234"/>
        <w:bidiVisual/>
        <w:tblW w:w="9649" w:type="dxa"/>
        <w:shd w:val="clear" w:color="auto" w:fill="FFFFFF" w:themeFill="background1"/>
        <w:tblLook w:val="04A0" w:firstRow="1" w:lastRow="0" w:firstColumn="1" w:lastColumn="0" w:noHBand="0" w:noVBand="1"/>
      </w:tblPr>
      <w:tblGrid>
        <w:gridCol w:w="223"/>
        <w:gridCol w:w="3641"/>
        <w:gridCol w:w="900"/>
        <w:gridCol w:w="975"/>
        <w:gridCol w:w="960"/>
        <w:gridCol w:w="1030"/>
        <w:gridCol w:w="1044"/>
        <w:gridCol w:w="876"/>
      </w:tblGrid>
      <w:tr w:rsidR="003E47C5" w:rsidRPr="005A6982" w14:paraId="45E016C2" w14:textId="77777777" w:rsidTr="006F18BC">
        <w:trPr>
          <w:trHeight w:val="389"/>
        </w:trPr>
        <w:tc>
          <w:tcPr>
            <w:tcW w:w="223" w:type="dxa"/>
            <w:tcBorders>
              <w:top w:val="nil"/>
              <w:left w:val="nil"/>
              <w:bottom w:val="nil"/>
              <w:right w:val="nil"/>
            </w:tcBorders>
            <w:shd w:val="clear" w:color="auto" w:fill="FFFFFF" w:themeFill="background1"/>
          </w:tcPr>
          <w:p w14:paraId="5BAE7A47" w14:textId="77777777" w:rsidR="003E47C5" w:rsidRPr="005A6982" w:rsidRDefault="003E47C5" w:rsidP="004E7CD7">
            <w:pPr>
              <w:bidi/>
              <w:spacing w:after="0" w:line="360" w:lineRule="auto"/>
              <w:rPr>
                <w:rFonts w:ascii="Calibri" w:hAnsi="Calibri" w:cs="Calibri"/>
                <w:rtl/>
              </w:rPr>
            </w:pPr>
          </w:p>
        </w:tc>
        <w:tc>
          <w:tcPr>
            <w:tcW w:w="9426" w:type="dxa"/>
            <w:gridSpan w:val="7"/>
            <w:tcBorders>
              <w:top w:val="nil"/>
              <w:left w:val="nil"/>
              <w:bottom w:val="nil"/>
              <w:right w:val="nil"/>
            </w:tcBorders>
            <w:shd w:val="clear" w:color="auto" w:fill="FFFFFF" w:themeFill="background1"/>
            <w:noWrap/>
            <w:vAlign w:val="bottom"/>
            <w:hideMark/>
          </w:tcPr>
          <w:p w14:paraId="4F95EE34" w14:textId="77777777" w:rsidR="003E47C5" w:rsidRPr="005A6982" w:rsidRDefault="003E47C5" w:rsidP="004E7CD7">
            <w:pPr>
              <w:bidi/>
              <w:spacing w:after="0" w:line="360" w:lineRule="auto"/>
              <w:jc w:val="center"/>
              <w:rPr>
                <w:rFonts w:ascii="Calibri" w:eastAsia="Times New Roman" w:hAnsi="Calibri" w:cs="Calibri"/>
                <w:b/>
                <w:bCs/>
                <w:color w:val="000000"/>
              </w:rPr>
            </w:pPr>
            <w:r w:rsidRPr="005A6982">
              <w:rPr>
                <w:rFonts w:ascii="Calibri" w:eastAsia="Times New Roman" w:hAnsi="Calibri" w:cs="Calibri"/>
                <w:b/>
                <w:bCs/>
                <w:color w:val="000000" w:themeColor="text1"/>
                <w:rtl/>
              </w:rPr>
              <w:br w:type="page"/>
              <w:t xml:space="preserve">לוח </w:t>
            </w:r>
            <w:r w:rsidRPr="005A6982">
              <w:rPr>
                <w:rFonts w:ascii="Calibri" w:eastAsia="Times New Roman" w:hAnsi="Calibri" w:cs="Calibri"/>
                <w:b/>
                <w:bCs/>
                <w:color w:val="000000" w:themeColor="text1"/>
              </w:rPr>
              <w:t>1</w:t>
            </w:r>
            <w:r w:rsidRPr="005A6982">
              <w:rPr>
                <w:rFonts w:ascii="Calibri" w:eastAsia="Times New Roman" w:hAnsi="Calibri" w:cs="Calibri"/>
                <w:b/>
                <w:bCs/>
                <w:color w:val="000000" w:themeColor="text1"/>
                <w:rtl/>
              </w:rPr>
              <w:t xml:space="preserve"> | תחזית חטיבת המחקר לשנים </w:t>
            </w:r>
            <w:r w:rsidRPr="005A6982">
              <w:rPr>
                <w:rFonts w:ascii="Calibri" w:eastAsia="Times New Roman" w:hAnsi="Calibri" w:cs="Calibri"/>
                <w:b/>
                <w:bCs/>
                <w:color w:val="000000" w:themeColor="text1"/>
              </w:rPr>
              <w:t>2026</w:t>
            </w:r>
            <w:r w:rsidRPr="005A6982">
              <w:rPr>
                <w:rFonts w:ascii="Calibri" w:eastAsia="Times New Roman" w:hAnsi="Calibri" w:cs="Calibri"/>
                <w:b/>
                <w:bCs/>
                <w:color w:val="000000" w:themeColor="text1"/>
                <w:rtl/>
              </w:rPr>
              <w:t>—</w:t>
            </w:r>
            <w:r w:rsidRPr="005A6982">
              <w:rPr>
                <w:rFonts w:ascii="Calibri" w:eastAsia="Times New Roman" w:hAnsi="Calibri" w:cs="Calibri"/>
                <w:b/>
                <w:bCs/>
                <w:color w:val="000000" w:themeColor="text1"/>
              </w:rPr>
              <w:t>2027</w:t>
            </w:r>
            <w:r w:rsidRPr="005A6982">
              <w:rPr>
                <w:rFonts w:ascii="Calibri" w:eastAsia="Times New Roman" w:hAnsi="Calibri" w:cs="Calibri"/>
                <w:b/>
                <w:bCs/>
                <w:color w:val="000000" w:themeColor="text1"/>
                <w:rtl/>
              </w:rPr>
              <w:t xml:space="preserve"> </w:t>
            </w:r>
          </w:p>
        </w:tc>
      </w:tr>
      <w:tr w:rsidR="003E47C5" w:rsidRPr="005A6982" w14:paraId="65C43E81" w14:textId="77777777" w:rsidTr="006F18BC">
        <w:trPr>
          <w:trHeight w:val="373"/>
        </w:trPr>
        <w:tc>
          <w:tcPr>
            <w:tcW w:w="223" w:type="dxa"/>
            <w:tcBorders>
              <w:top w:val="nil"/>
              <w:left w:val="nil"/>
              <w:bottom w:val="nil"/>
              <w:right w:val="nil"/>
            </w:tcBorders>
            <w:shd w:val="clear" w:color="auto" w:fill="FFFFFF" w:themeFill="background1"/>
          </w:tcPr>
          <w:p w14:paraId="40D5F076" w14:textId="77777777" w:rsidR="003E47C5" w:rsidRPr="005A6982" w:rsidRDefault="003E47C5" w:rsidP="004E7CD7">
            <w:pPr>
              <w:bidi/>
              <w:spacing w:after="0" w:line="360" w:lineRule="auto"/>
              <w:rPr>
                <w:rFonts w:ascii="Calibri" w:eastAsia="Times New Roman" w:hAnsi="Calibri" w:cs="Calibri"/>
                <w:color w:val="000000"/>
                <w:rtl/>
              </w:rPr>
            </w:pPr>
          </w:p>
        </w:tc>
        <w:tc>
          <w:tcPr>
            <w:tcW w:w="9426" w:type="dxa"/>
            <w:gridSpan w:val="7"/>
            <w:tcBorders>
              <w:top w:val="nil"/>
              <w:left w:val="nil"/>
              <w:bottom w:val="nil"/>
              <w:right w:val="nil"/>
            </w:tcBorders>
            <w:shd w:val="clear" w:color="auto" w:fill="FFFFFF" w:themeFill="background1"/>
            <w:noWrap/>
            <w:vAlign w:val="bottom"/>
            <w:hideMark/>
          </w:tcPr>
          <w:p w14:paraId="6A76AC7E" w14:textId="77777777" w:rsidR="003E47C5" w:rsidRPr="005A6982" w:rsidRDefault="003E47C5" w:rsidP="004E7CD7">
            <w:pPr>
              <w:bidi/>
              <w:spacing w:after="0" w:line="360" w:lineRule="auto"/>
              <w:jc w:val="center"/>
              <w:rPr>
                <w:rFonts w:ascii="Calibri" w:eastAsia="Times New Roman" w:hAnsi="Calibri" w:cs="Calibri"/>
                <w:color w:val="000000"/>
                <w:rtl/>
              </w:rPr>
            </w:pPr>
            <w:r w:rsidRPr="005A6982">
              <w:rPr>
                <w:rFonts w:ascii="Calibri" w:eastAsia="Times New Roman" w:hAnsi="Calibri" w:cs="Calibri"/>
                <w:color w:val="000000" w:themeColor="text1"/>
                <w:rtl/>
              </w:rPr>
              <w:t>(שיעורי השינוי השנתיים באחוזים</w:t>
            </w:r>
            <w:r w:rsidRPr="005A6982">
              <w:rPr>
                <w:rFonts w:ascii="Calibri" w:eastAsia="Times New Roman" w:hAnsi="Calibri" w:cs="Calibri"/>
                <w:color w:val="000000" w:themeColor="text1"/>
                <w:vertAlign w:val="superscript"/>
              </w:rPr>
              <w:t>1</w:t>
            </w:r>
            <w:r w:rsidRPr="005A6982">
              <w:rPr>
                <w:rFonts w:ascii="Calibri" w:eastAsia="Times New Roman" w:hAnsi="Calibri" w:cs="Calibri"/>
                <w:color w:val="000000" w:themeColor="text1"/>
                <w:rtl/>
              </w:rPr>
              <w:t>, אלא אם צוין אחרת)</w:t>
            </w:r>
          </w:p>
        </w:tc>
      </w:tr>
      <w:tr w:rsidR="003E47C5" w:rsidRPr="005A6982" w14:paraId="5B50C8BF" w14:textId="77777777" w:rsidTr="006F18BC">
        <w:trPr>
          <w:gridAfter w:val="1"/>
          <w:wAfter w:w="876" w:type="dxa"/>
          <w:trHeight w:val="327"/>
        </w:trPr>
        <w:tc>
          <w:tcPr>
            <w:tcW w:w="3864" w:type="dxa"/>
            <w:gridSpan w:val="2"/>
            <w:tcBorders>
              <w:top w:val="single" w:sz="4" w:space="0" w:color="1F497D" w:themeColor="text2"/>
              <w:left w:val="nil"/>
              <w:bottom w:val="nil"/>
              <w:right w:val="nil"/>
            </w:tcBorders>
            <w:shd w:val="clear" w:color="auto" w:fill="FFFFFF" w:themeFill="background1"/>
            <w:noWrap/>
            <w:vAlign w:val="bottom"/>
            <w:hideMark/>
          </w:tcPr>
          <w:p w14:paraId="349EC7CF" w14:textId="77777777" w:rsidR="003E47C5" w:rsidRPr="005A6982" w:rsidRDefault="003E47C5" w:rsidP="004E7CD7">
            <w:pPr>
              <w:bidi/>
              <w:spacing w:after="0" w:line="360" w:lineRule="auto"/>
              <w:rPr>
                <w:rFonts w:ascii="Calibri" w:eastAsia="Times New Roman" w:hAnsi="Calibri" w:cs="Calibri"/>
                <w:color w:val="000000"/>
                <w:rtl/>
              </w:rPr>
            </w:pPr>
            <w:bookmarkStart w:id="1" w:name="_Hlk202427682"/>
            <w:r w:rsidRPr="005A6982">
              <w:rPr>
                <w:rFonts w:ascii="Calibri" w:eastAsia="Times New Roman" w:hAnsi="Calibri" w:cs="Calibri"/>
                <w:color w:val="000000" w:themeColor="text1"/>
                <w:rtl/>
              </w:rPr>
              <w:t> </w:t>
            </w:r>
          </w:p>
        </w:tc>
        <w:tc>
          <w:tcPr>
            <w:tcW w:w="900" w:type="dxa"/>
            <w:tcBorders>
              <w:top w:val="single" w:sz="4" w:space="0" w:color="1F497D" w:themeColor="text2"/>
              <w:left w:val="nil"/>
              <w:bottom w:val="nil"/>
              <w:right w:val="nil"/>
            </w:tcBorders>
            <w:shd w:val="clear" w:color="auto" w:fill="FFFFFF" w:themeFill="background1"/>
            <w:vAlign w:val="center"/>
          </w:tcPr>
          <w:p w14:paraId="4A642E16" w14:textId="77777777" w:rsidR="003E47C5" w:rsidRPr="005A6982" w:rsidRDefault="003E47C5" w:rsidP="004E7CD7">
            <w:pPr>
              <w:bidi/>
              <w:spacing w:after="0" w:line="360" w:lineRule="auto"/>
              <w:jc w:val="center"/>
              <w:rPr>
                <w:rFonts w:ascii="Calibri" w:eastAsia="Times New Roman" w:hAnsi="Calibri" w:cs="Calibri"/>
                <w:b/>
                <w:bCs/>
                <w:color w:val="1F497D"/>
                <w:rtl/>
              </w:rPr>
            </w:pPr>
            <w:r w:rsidRPr="005A6982">
              <w:rPr>
                <w:rFonts w:ascii="Calibri" w:eastAsia="Times New Roman" w:hAnsi="Calibri" w:cs="Calibri"/>
                <w:b/>
                <w:bCs/>
                <w:color w:val="1F497D" w:themeColor="text2"/>
              </w:rPr>
              <w:t>2025</w:t>
            </w:r>
          </w:p>
        </w:tc>
        <w:tc>
          <w:tcPr>
            <w:tcW w:w="1935" w:type="dxa"/>
            <w:gridSpan w:val="2"/>
            <w:tcBorders>
              <w:top w:val="single" w:sz="4" w:space="0" w:color="1F497D" w:themeColor="text2"/>
              <w:left w:val="nil"/>
              <w:bottom w:val="nil"/>
              <w:right w:val="nil"/>
            </w:tcBorders>
            <w:shd w:val="clear" w:color="auto" w:fill="FFFFFF" w:themeFill="background1"/>
            <w:noWrap/>
            <w:vAlign w:val="center"/>
            <w:hideMark/>
          </w:tcPr>
          <w:p w14:paraId="0048CC53" w14:textId="77777777" w:rsidR="003E47C5" w:rsidRPr="005A6982" w:rsidRDefault="003E47C5" w:rsidP="004E7CD7">
            <w:pPr>
              <w:bidi/>
              <w:spacing w:after="0" w:line="360" w:lineRule="auto"/>
              <w:jc w:val="center"/>
              <w:rPr>
                <w:rFonts w:ascii="Calibri" w:eastAsia="Times New Roman" w:hAnsi="Calibri" w:cs="Calibri"/>
                <w:b/>
                <w:bCs/>
                <w:color w:val="1F497D"/>
                <w:rtl/>
              </w:rPr>
            </w:pPr>
            <w:r w:rsidRPr="005A6982">
              <w:rPr>
                <w:rFonts w:ascii="Calibri" w:eastAsia="Times New Roman" w:hAnsi="Calibri" w:cs="Calibri"/>
                <w:b/>
                <w:bCs/>
                <w:color w:val="1F497D" w:themeColor="text2"/>
              </w:rPr>
              <w:t>2026</w:t>
            </w:r>
          </w:p>
        </w:tc>
        <w:tc>
          <w:tcPr>
            <w:tcW w:w="2074" w:type="dxa"/>
            <w:gridSpan w:val="2"/>
            <w:tcBorders>
              <w:top w:val="single" w:sz="4" w:space="0" w:color="1F497D" w:themeColor="text2"/>
              <w:left w:val="nil"/>
              <w:bottom w:val="nil"/>
              <w:right w:val="nil"/>
            </w:tcBorders>
            <w:shd w:val="clear" w:color="auto" w:fill="FFFFFF" w:themeFill="background1"/>
            <w:noWrap/>
            <w:vAlign w:val="center"/>
            <w:hideMark/>
          </w:tcPr>
          <w:p w14:paraId="03D346D3" w14:textId="77777777" w:rsidR="003E47C5" w:rsidRPr="005A6982" w:rsidRDefault="003E47C5" w:rsidP="004E7CD7">
            <w:pPr>
              <w:bidi/>
              <w:spacing w:after="0" w:line="360" w:lineRule="auto"/>
              <w:jc w:val="center"/>
              <w:rPr>
                <w:rFonts w:ascii="Calibri" w:eastAsia="Times New Roman" w:hAnsi="Calibri" w:cs="Calibri"/>
                <w:b/>
                <w:bCs/>
                <w:color w:val="1F497D"/>
                <w:rtl/>
              </w:rPr>
            </w:pPr>
            <w:r w:rsidRPr="005A6982">
              <w:rPr>
                <w:rFonts w:ascii="Calibri" w:eastAsia="Times New Roman" w:hAnsi="Calibri" w:cs="Calibri"/>
                <w:b/>
                <w:bCs/>
                <w:color w:val="1F497D" w:themeColor="text2"/>
              </w:rPr>
              <w:t>2027</w:t>
            </w:r>
          </w:p>
        </w:tc>
      </w:tr>
      <w:bookmarkEnd w:id="1"/>
      <w:tr w:rsidR="003E47C5" w:rsidRPr="005A6982" w14:paraId="7C8DC43D" w14:textId="77777777" w:rsidTr="006F18BC">
        <w:trPr>
          <w:gridAfter w:val="1"/>
          <w:wAfter w:w="876" w:type="dxa"/>
          <w:trHeight w:val="513"/>
        </w:trPr>
        <w:tc>
          <w:tcPr>
            <w:tcW w:w="3864" w:type="dxa"/>
            <w:gridSpan w:val="2"/>
            <w:tcBorders>
              <w:top w:val="nil"/>
              <w:left w:val="nil"/>
              <w:bottom w:val="single" w:sz="4" w:space="0" w:color="1F497D" w:themeColor="text2"/>
              <w:right w:val="nil"/>
            </w:tcBorders>
            <w:shd w:val="clear" w:color="auto" w:fill="FFFFFF" w:themeFill="background1"/>
            <w:noWrap/>
            <w:vAlign w:val="bottom"/>
            <w:hideMark/>
          </w:tcPr>
          <w:p w14:paraId="45322329" w14:textId="77777777" w:rsidR="003E47C5" w:rsidRPr="005A6982" w:rsidRDefault="003E47C5" w:rsidP="004E7CD7">
            <w:pPr>
              <w:bidi/>
              <w:spacing w:after="0" w:line="360" w:lineRule="auto"/>
              <w:rPr>
                <w:rFonts w:ascii="Calibri" w:eastAsia="Times New Roman" w:hAnsi="Calibri" w:cs="Calibri"/>
                <w:color w:val="000000"/>
                <w:rtl/>
              </w:rPr>
            </w:pPr>
            <w:r w:rsidRPr="005A6982">
              <w:rPr>
                <w:rFonts w:ascii="Calibri" w:eastAsia="Times New Roman" w:hAnsi="Calibri" w:cs="Calibri"/>
                <w:color w:val="000000" w:themeColor="text1"/>
                <w:rtl/>
              </w:rPr>
              <w:t> </w:t>
            </w:r>
          </w:p>
        </w:tc>
        <w:tc>
          <w:tcPr>
            <w:tcW w:w="900" w:type="dxa"/>
            <w:tcBorders>
              <w:top w:val="nil"/>
              <w:left w:val="nil"/>
              <w:bottom w:val="single" w:sz="4" w:space="0" w:color="1F497D" w:themeColor="text2"/>
              <w:right w:val="nil"/>
            </w:tcBorders>
            <w:shd w:val="clear" w:color="auto" w:fill="FFFFFF" w:themeFill="background1"/>
            <w:vAlign w:val="center"/>
          </w:tcPr>
          <w:p w14:paraId="2F7BB270" w14:textId="77777777" w:rsidR="003E47C5" w:rsidRPr="005A6982" w:rsidRDefault="003E47C5"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נתונים בפועל</w:t>
            </w:r>
          </w:p>
        </w:tc>
        <w:tc>
          <w:tcPr>
            <w:tcW w:w="975" w:type="dxa"/>
            <w:tcBorders>
              <w:top w:val="nil"/>
              <w:left w:val="nil"/>
              <w:bottom w:val="single" w:sz="4" w:space="0" w:color="1F497D" w:themeColor="text2"/>
              <w:right w:val="nil"/>
            </w:tcBorders>
            <w:shd w:val="clear" w:color="auto" w:fill="FFFFFF" w:themeFill="background1"/>
            <w:vAlign w:val="center"/>
            <w:hideMark/>
          </w:tcPr>
          <w:p w14:paraId="377944A9" w14:textId="77777777" w:rsidR="003E47C5" w:rsidRPr="005A6982" w:rsidRDefault="003E47C5"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התחזית ל-</w:t>
            </w:r>
            <w:r w:rsidRPr="005A6982">
              <w:rPr>
                <w:rFonts w:ascii="Calibri" w:eastAsia="Times New Roman" w:hAnsi="Calibri" w:cs="Calibri"/>
                <w:color w:val="1F497D" w:themeColor="text2"/>
              </w:rPr>
              <w:t>2026</w:t>
            </w:r>
          </w:p>
        </w:tc>
        <w:tc>
          <w:tcPr>
            <w:tcW w:w="960" w:type="dxa"/>
            <w:tcBorders>
              <w:top w:val="nil"/>
              <w:left w:val="nil"/>
              <w:bottom w:val="single" w:sz="4" w:space="0" w:color="1F497D" w:themeColor="text2"/>
              <w:right w:val="nil"/>
            </w:tcBorders>
            <w:shd w:val="clear" w:color="auto" w:fill="FFFFFF" w:themeFill="background1"/>
            <w:vAlign w:val="center"/>
            <w:hideMark/>
          </w:tcPr>
          <w:p w14:paraId="424BD64B" w14:textId="77777777" w:rsidR="003E47C5" w:rsidRPr="005A6982" w:rsidRDefault="003E47C5"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השינוי מתחזית מרץ</w:t>
            </w:r>
          </w:p>
        </w:tc>
        <w:tc>
          <w:tcPr>
            <w:tcW w:w="1030" w:type="dxa"/>
            <w:tcBorders>
              <w:top w:val="nil"/>
              <w:left w:val="nil"/>
              <w:bottom w:val="single" w:sz="4" w:space="0" w:color="1F497D" w:themeColor="text2"/>
              <w:right w:val="nil"/>
            </w:tcBorders>
            <w:shd w:val="clear" w:color="auto" w:fill="FFFFFF" w:themeFill="background1"/>
            <w:vAlign w:val="center"/>
            <w:hideMark/>
          </w:tcPr>
          <w:p w14:paraId="7268DF59" w14:textId="77777777" w:rsidR="003E47C5" w:rsidRPr="005A6982" w:rsidRDefault="003E47C5"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התחזית ל-</w:t>
            </w:r>
            <w:r w:rsidRPr="005A6982">
              <w:rPr>
                <w:rFonts w:ascii="Calibri" w:eastAsia="Times New Roman" w:hAnsi="Calibri" w:cs="Calibri"/>
                <w:color w:val="1F497D" w:themeColor="text2"/>
              </w:rPr>
              <w:t>2027</w:t>
            </w:r>
          </w:p>
        </w:tc>
        <w:tc>
          <w:tcPr>
            <w:tcW w:w="1044" w:type="dxa"/>
            <w:tcBorders>
              <w:top w:val="nil"/>
              <w:left w:val="nil"/>
              <w:bottom w:val="single" w:sz="4" w:space="0" w:color="1F497D" w:themeColor="text2"/>
              <w:right w:val="nil"/>
            </w:tcBorders>
            <w:shd w:val="clear" w:color="auto" w:fill="FFFFFF" w:themeFill="background1"/>
            <w:vAlign w:val="center"/>
            <w:hideMark/>
          </w:tcPr>
          <w:p w14:paraId="3C4D4CF2" w14:textId="77777777" w:rsidR="003E47C5" w:rsidRPr="005A6982" w:rsidRDefault="003E47C5"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השינוי מתחזית מרץ</w:t>
            </w:r>
          </w:p>
        </w:tc>
      </w:tr>
      <w:tr w:rsidR="003E47C5" w:rsidRPr="005A6982" w14:paraId="29A13196"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65AE60AD" w14:textId="77777777" w:rsidR="003E47C5" w:rsidRPr="005A6982" w:rsidRDefault="003E47C5" w:rsidP="004E7CD7">
            <w:pPr>
              <w:bidi/>
              <w:spacing w:after="0" w:line="360" w:lineRule="auto"/>
              <w:rPr>
                <w:rFonts w:ascii="Calibri" w:eastAsia="Times New Roman" w:hAnsi="Calibri" w:cs="Calibri"/>
                <w:rtl/>
              </w:rPr>
            </w:pPr>
            <w:r w:rsidRPr="005A6982">
              <w:rPr>
                <w:rFonts w:ascii="Calibri" w:eastAsia="Times New Roman" w:hAnsi="Calibri" w:cs="Calibri"/>
                <w:rtl/>
              </w:rPr>
              <w:t>תוצר מקומי גולמי</w:t>
            </w:r>
          </w:p>
        </w:tc>
        <w:tc>
          <w:tcPr>
            <w:tcW w:w="900" w:type="dxa"/>
            <w:tcBorders>
              <w:top w:val="nil"/>
              <w:left w:val="nil"/>
              <w:bottom w:val="nil"/>
              <w:right w:val="nil"/>
            </w:tcBorders>
            <w:shd w:val="clear" w:color="auto" w:fill="FFFFFF" w:themeFill="background1"/>
            <w:vAlign w:val="center"/>
          </w:tcPr>
          <w:p w14:paraId="6DBFCB40"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Pr>
            </w:pPr>
            <w:r w:rsidRPr="005A6982">
              <w:rPr>
                <w:rFonts w:ascii="Calibri" w:hAnsi="Calibri" w:cs="Calibri" w:hint="cs"/>
                <w:b/>
                <w:bCs/>
                <w:color w:val="000000" w:themeColor="text1"/>
                <w:kern w:val="24"/>
                <w:rtl/>
              </w:rPr>
              <w:t>2.9</w:t>
            </w:r>
          </w:p>
        </w:tc>
        <w:tc>
          <w:tcPr>
            <w:tcW w:w="975" w:type="dxa"/>
            <w:tcBorders>
              <w:top w:val="nil"/>
              <w:left w:val="nil"/>
              <w:bottom w:val="nil"/>
              <w:right w:val="nil"/>
            </w:tcBorders>
            <w:shd w:val="clear" w:color="auto" w:fill="FFFFFF" w:themeFill="background1"/>
            <w:noWrap/>
            <w:vAlign w:val="center"/>
            <w:hideMark/>
          </w:tcPr>
          <w:p w14:paraId="71E5407F"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4.0</w:t>
            </w:r>
          </w:p>
        </w:tc>
        <w:tc>
          <w:tcPr>
            <w:tcW w:w="960" w:type="dxa"/>
            <w:tcBorders>
              <w:top w:val="nil"/>
              <w:left w:val="nil"/>
              <w:bottom w:val="nil"/>
              <w:right w:val="nil"/>
            </w:tcBorders>
            <w:shd w:val="clear" w:color="auto" w:fill="FFFFFF" w:themeFill="background1"/>
            <w:noWrap/>
            <w:vAlign w:val="center"/>
            <w:hideMark/>
          </w:tcPr>
          <w:p w14:paraId="02E837DC"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Pr>
            </w:pPr>
            <w:r w:rsidRPr="005A6982">
              <w:rPr>
                <w:rFonts w:ascii="Calibri" w:hAnsi="Calibri" w:cs="Calibri"/>
                <w:color w:val="1F497D"/>
                <w:kern w:val="24"/>
                <w:rtl/>
              </w:rPr>
              <w:t>0.2</w:t>
            </w:r>
          </w:p>
        </w:tc>
        <w:tc>
          <w:tcPr>
            <w:tcW w:w="1030" w:type="dxa"/>
            <w:tcBorders>
              <w:top w:val="nil"/>
              <w:left w:val="nil"/>
              <w:bottom w:val="nil"/>
              <w:right w:val="nil"/>
            </w:tcBorders>
            <w:shd w:val="clear" w:color="auto" w:fill="FFFFFF" w:themeFill="background1"/>
            <w:noWrap/>
            <w:vAlign w:val="center"/>
            <w:hideMark/>
          </w:tcPr>
          <w:p w14:paraId="21B39FCE"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5.5</w:t>
            </w:r>
          </w:p>
        </w:tc>
        <w:tc>
          <w:tcPr>
            <w:tcW w:w="1044" w:type="dxa"/>
            <w:tcBorders>
              <w:top w:val="nil"/>
              <w:left w:val="nil"/>
              <w:bottom w:val="nil"/>
              <w:right w:val="nil"/>
            </w:tcBorders>
            <w:shd w:val="clear" w:color="auto" w:fill="FFFFFF" w:themeFill="background1"/>
            <w:noWrap/>
            <w:vAlign w:val="center"/>
            <w:hideMark/>
          </w:tcPr>
          <w:p w14:paraId="0306741D"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0.0</w:t>
            </w:r>
          </w:p>
        </w:tc>
      </w:tr>
      <w:tr w:rsidR="003E47C5" w:rsidRPr="005A6982" w14:paraId="79657650"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27F8120D"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צריכה פרטית</w:t>
            </w:r>
          </w:p>
        </w:tc>
        <w:tc>
          <w:tcPr>
            <w:tcW w:w="900" w:type="dxa"/>
            <w:tcBorders>
              <w:top w:val="nil"/>
              <w:left w:val="nil"/>
              <w:bottom w:val="nil"/>
              <w:right w:val="nil"/>
            </w:tcBorders>
            <w:shd w:val="clear" w:color="auto" w:fill="FFFFFF" w:themeFill="background1"/>
            <w:vAlign w:val="center"/>
          </w:tcPr>
          <w:p w14:paraId="72D93CEF"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b/>
                <w:bCs/>
                <w:color w:val="000000" w:themeColor="text1"/>
                <w:kern w:val="24"/>
                <w:rtl/>
              </w:rPr>
              <w:t>2.7</w:t>
            </w:r>
          </w:p>
        </w:tc>
        <w:tc>
          <w:tcPr>
            <w:tcW w:w="975" w:type="dxa"/>
            <w:tcBorders>
              <w:top w:val="nil"/>
              <w:left w:val="nil"/>
              <w:bottom w:val="nil"/>
              <w:right w:val="nil"/>
            </w:tcBorders>
            <w:shd w:val="clear" w:color="auto" w:fill="FFFFFF" w:themeFill="background1"/>
            <w:noWrap/>
            <w:vAlign w:val="center"/>
            <w:hideMark/>
          </w:tcPr>
          <w:p w14:paraId="13039038"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3.0</w:t>
            </w:r>
          </w:p>
        </w:tc>
        <w:tc>
          <w:tcPr>
            <w:tcW w:w="960" w:type="dxa"/>
            <w:tcBorders>
              <w:top w:val="nil"/>
              <w:left w:val="nil"/>
              <w:bottom w:val="nil"/>
              <w:right w:val="nil"/>
            </w:tcBorders>
            <w:shd w:val="clear" w:color="auto" w:fill="FFFFFF" w:themeFill="background1"/>
            <w:noWrap/>
            <w:vAlign w:val="center"/>
            <w:hideMark/>
          </w:tcPr>
          <w:p w14:paraId="0AC05D55"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0.0</w:t>
            </w:r>
          </w:p>
        </w:tc>
        <w:tc>
          <w:tcPr>
            <w:tcW w:w="1030" w:type="dxa"/>
            <w:tcBorders>
              <w:top w:val="nil"/>
              <w:left w:val="nil"/>
              <w:bottom w:val="nil"/>
              <w:right w:val="nil"/>
            </w:tcBorders>
            <w:shd w:val="clear" w:color="auto" w:fill="FFFFFF" w:themeFill="background1"/>
            <w:noWrap/>
            <w:vAlign w:val="center"/>
            <w:hideMark/>
          </w:tcPr>
          <w:p w14:paraId="10C94712"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6.5</w:t>
            </w:r>
          </w:p>
        </w:tc>
        <w:tc>
          <w:tcPr>
            <w:tcW w:w="1044" w:type="dxa"/>
            <w:tcBorders>
              <w:top w:val="nil"/>
              <w:left w:val="nil"/>
              <w:bottom w:val="nil"/>
              <w:right w:val="nil"/>
            </w:tcBorders>
            <w:shd w:val="clear" w:color="auto" w:fill="FFFFFF" w:themeFill="background1"/>
            <w:noWrap/>
            <w:vAlign w:val="center"/>
            <w:hideMark/>
          </w:tcPr>
          <w:p w14:paraId="14B83211" w14:textId="77777777" w:rsidR="003E47C5" w:rsidRPr="005A6982" w:rsidRDefault="327C60C3"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-0.5</w:t>
            </w:r>
          </w:p>
        </w:tc>
      </w:tr>
      <w:tr w:rsidR="003E47C5" w:rsidRPr="005A6982" w14:paraId="031BCC05"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4478C77C"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 xml:space="preserve">השקעה בנכסים קבועים (ללא </w:t>
            </w:r>
            <w:proofErr w:type="spellStart"/>
            <w:r w:rsidRPr="005A6982">
              <w:rPr>
                <w:rFonts w:ascii="Calibri" w:eastAsia="Times New Roman" w:hAnsi="Calibri" w:cs="Calibri"/>
                <w:rtl/>
              </w:rPr>
              <w:t>אוניות</w:t>
            </w:r>
            <w:proofErr w:type="spellEnd"/>
            <w:r w:rsidRPr="005A6982">
              <w:rPr>
                <w:rFonts w:ascii="Calibri" w:eastAsia="Times New Roman" w:hAnsi="Calibri" w:cs="Calibri"/>
                <w:rtl/>
              </w:rPr>
              <w:t xml:space="preserve"> ומטוסים)</w:t>
            </w:r>
          </w:p>
        </w:tc>
        <w:tc>
          <w:tcPr>
            <w:tcW w:w="900" w:type="dxa"/>
            <w:tcBorders>
              <w:top w:val="nil"/>
              <w:left w:val="nil"/>
              <w:bottom w:val="nil"/>
              <w:right w:val="nil"/>
            </w:tcBorders>
            <w:shd w:val="clear" w:color="auto" w:fill="FFFFFF" w:themeFill="background1"/>
            <w:vAlign w:val="center"/>
          </w:tcPr>
          <w:p w14:paraId="6889B397"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b/>
                <w:bCs/>
                <w:color w:val="000000" w:themeColor="text1"/>
                <w:kern w:val="24"/>
                <w:rtl/>
              </w:rPr>
              <w:t>8.4</w:t>
            </w:r>
          </w:p>
        </w:tc>
        <w:tc>
          <w:tcPr>
            <w:tcW w:w="975" w:type="dxa"/>
            <w:tcBorders>
              <w:top w:val="nil"/>
              <w:left w:val="nil"/>
              <w:bottom w:val="nil"/>
              <w:right w:val="nil"/>
            </w:tcBorders>
            <w:shd w:val="clear" w:color="auto" w:fill="FFFFFF" w:themeFill="background1"/>
            <w:noWrap/>
            <w:vAlign w:val="center"/>
            <w:hideMark/>
          </w:tcPr>
          <w:p w14:paraId="05BB9601"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8.0</w:t>
            </w:r>
          </w:p>
        </w:tc>
        <w:tc>
          <w:tcPr>
            <w:tcW w:w="960" w:type="dxa"/>
            <w:tcBorders>
              <w:top w:val="nil"/>
              <w:left w:val="nil"/>
              <w:bottom w:val="nil"/>
              <w:right w:val="nil"/>
            </w:tcBorders>
            <w:shd w:val="clear" w:color="auto" w:fill="FFFFFF" w:themeFill="background1"/>
            <w:noWrap/>
            <w:vAlign w:val="center"/>
            <w:hideMark/>
          </w:tcPr>
          <w:p w14:paraId="0876584B"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1.5</w:t>
            </w:r>
          </w:p>
        </w:tc>
        <w:tc>
          <w:tcPr>
            <w:tcW w:w="1030" w:type="dxa"/>
            <w:tcBorders>
              <w:top w:val="nil"/>
              <w:left w:val="nil"/>
              <w:bottom w:val="nil"/>
              <w:right w:val="nil"/>
            </w:tcBorders>
            <w:shd w:val="clear" w:color="auto" w:fill="FFFFFF" w:themeFill="background1"/>
            <w:noWrap/>
            <w:vAlign w:val="center"/>
            <w:hideMark/>
          </w:tcPr>
          <w:p w14:paraId="3F25E400"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6.0</w:t>
            </w:r>
          </w:p>
        </w:tc>
        <w:tc>
          <w:tcPr>
            <w:tcW w:w="1044" w:type="dxa"/>
            <w:tcBorders>
              <w:top w:val="nil"/>
              <w:left w:val="nil"/>
              <w:bottom w:val="nil"/>
              <w:right w:val="nil"/>
            </w:tcBorders>
            <w:shd w:val="clear" w:color="auto" w:fill="FFFFFF" w:themeFill="background1"/>
            <w:noWrap/>
            <w:vAlign w:val="center"/>
            <w:hideMark/>
          </w:tcPr>
          <w:p w14:paraId="2BA8BB07" w14:textId="77777777" w:rsidR="003E47C5" w:rsidRPr="005A6982" w:rsidRDefault="5BF40590"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-8.5</w:t>
            </w:r>
          </w:p>
        </w:tc>
      </w:tr>
      <w:tr w:rsidR="003E47C5" w:rsidRPr="005A6982" w14:paraId="4F932D3B"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5C6E9270"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צריכה ציבורית (ללא יבוא ביטחוני)</w:t>
            </w:r>
          </w:p>
        </w:tc>
        <w:tc>
          <w:tcPr>
            <w:tcW w:w="900" w:type="dxa"/>
            <w:tcBorders>
              <w:top w:val="nil"/>
              <w:left w:val="nil"/>
              <w:bottom w:val="nil"/>
              <w:right w:val="nil"/>
            </w:tcBorders>
            <w:shd w:val="clear" w:color="auto" w:fill="FFFFFF" w:themeFill="background1"/>
            <w:vAlign w:val="center"/>
          </w:tcPr>
          <w:p w14:paraId="18F4BC7E"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b/>
                <w:bCs/>
                <w:color w:val="000000" w:themeColor="text1"/>
                <w:kern w:val="24"/>
                <w:rtl/>
              </w:rPr>
              <w:t>2.1</w:t>
            </w:r>
          </w:p>
        </w:tc>
        <w:tc>
          <w:tcPr>
            <w:tcW w:w="975" w:type="dxa"/>
            <w:tcBorders>
              <w:top w:val="nil"/>
              <w:left w:val="nil"/>
              <w:bottom w:val="nil"/>
              <w:right w:val="nil"/>
            </w:tcBorders>
            <w:shd w:val="clear" w:color="auto" w:fill="FFFFFF" w:themeFill="background1"/>
            <w:noWrap/>
            <w:vAlign w:val="center"/>
            <w:hideMark/>
          </w:tcPr>
          <w:p w14:paraId="7FEFE42B"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Pr>
            </w:pPr>
            <w:r w:rsidRPr="005A6982">
              <w:rPr>
                <w:rFonts w:ascii="Calibri" w:hAnsi="Calibri" w:cs="Calibri"/>
                <w:b/>
                <w:bCs/>
                <w:color w:val="000000" w:themeColor="text1"/>
                <w:kern w:val="24"/>
                <w:rtl/>
              </w:rPr>
              <w:t>2.0</w:t>
            </w:r>
          </w:p>
        </w:tc>
        <w:tc>
          <w:tcPr>
            <w:tcW w:w="960" w:type="dxa"/>
            <w:tcBorders>
              <w:top w:val="nil"/>
              <w:left w:val="nil"/>
              <w:bottom w:val="nil"/>
              <w:right w:val="nil"/>
            </w:tcBorders>
            <w:shd w:val="clear" w:color="auto" w:fill="FFFFFF" w:themeFill="background1"/>
            <w:noWrap/>
            <w:vAlign w:val="center"/>
            <w:hideMark/>
          </w:tcPr>
          <w:p w14:paraId="311140E1" w14:textId="77777777" w:rsidR="003E47C5" w:rsidRPr="005A6982" w:rsidRDefault="227463A6"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-0.5</w:t>
            </w:r>
          </w:p>
        </w:tc>
        <w:tc>
          <w:tcPr>
            <w:tcW w:w="1030" w:type="dxa"/>
            <w:tcBorders>
              <w:top w:val="nil"/>
              <w:left w:val="nil"/>
              <w:bottom w:val="nil"/>
              <w:right w:val="nil"/>
            </w:tcBorders>
            <w:shd w:val="clear" w:color="auto" w:fill="FFFFFF" w:themeFill="background1"/>
            <w:noWrap/>
            <w:vAlign w:val="center"/>
            <w:hideMark/>
          </w:tcPr>
          <w:p w14:paraId="7DF2C9EE" w14:textId="77777777" w:rsidR="003E47C5" w:rsidRPr="005A6982" w:rsidRDefault="0C813D28"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rPr>
              <w:t>0.5</w:t>
            </w:r>
          </w:p>
        </w:tc>
        <w:tc>
          <w:tcPr>
            <w:tcW w:w="1044" w:type="dxa"/>
            <w:tcBorders>
              <w:top w:val="nil"/>
              <w:left w:val="nil"/>
              <w:bottom w:val="nil"/>
              <w:right w:val="nil"/>
            </w:tcBorders>
            <w:shd w:val="clear" w:color="auto" w:fill="FFFFFF" w:themeFill="background1"/>
            <w:noWrap/>
            <w:vAlign w:val="center"/>
            <w:hideMark/>
          </w:tcPr>
          <w:p w14:paraId="6639B9A0" w14:textId="77777777" w:rsidR="003E47C5" w:rsidRPr="005A6982" w:rsidRDefault="0C813D28"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-2.0</w:t>
            </w:r>
          </w:p>
        </w:tc>
      </w:tr>
      <w:tr w:rsidR="003E47C5" w:rsidRPr="005A6982" w14:paraId="232D7B58"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5C3AFECF"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יצוא (ללא יהלומים והזנק)</w:t>
            </w:r>
          </w:p>
        </w:tc>
        <w:tc>
          <w:tcPr>
            <w:tcW w:w="900" w:type="dxa"/>
            <w:tcBorders>
              <w:top w:val="nil"/>
              <w:left w:val="nil"/>
              <w:bottom w:val="nil"/>
              <w:right w:val="nil"/>
            </w:tcBorders>
            <w:shd w:val="clear" w:color="auto" w:fill="FFFFFF" w:themeFill="background1"/>
            <w:vAlign w:val="center"/>
          </w:tcPr>
          <w:p w14:paraId="5E4E24E3"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b/>
                <w:bCs/>
                <w:color w:val="000000" w:themeColor="text1"/>
                <w:kern w:val="24"/>
                <w:rtl/>
              </w:rPr>
              <w:t>5.7</w:t>
            </w:r>
          </w:p>
        </w:tc>
        <w:tc>
          <w:tcPr>
            <w:tcW w:w="975" w:type="dxa"/>
            <w:tcBorders>
              <w:top w:val="nil"/>
              <w:left w:val="nil"/>
              <w:bottom w:val="nil"/>
              <w:right w:val="nil"/>
            </w:tcBorders>
            <w:shd w:val="clear" w:color="auto" w:fill="FFFFFF" w:themeFill="background1"/>
            <w:noWrap/>
            <w:vAlign w:val="center"/>
            <w:hideMark/>
          </w:tcPr>
          <w:p w14:paraId="76EA028F"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8.0</w:t>
            </w:r>
          </w:p>
        </w:tc>
        <w:tc>
          <w:tcPr>
            <w:tcW w:w="960" w:type="dxa"/>
            <w:tcBorders>
              <w:top w:val="nil"/>
              <w:left w:val="nil"/>
              <w:bottom w:val="nil"/>
              <w:right w:val="nil"/>
            </w:tcBorders>
            <w:shd w:val="clear" w:color="auto" w:fill="FFFFFF" w:themeFill="background1"/>
            <w:noWrap/>
            <w:vAlign w:val="center"/>
            <w:hideMark/>
          </w:tcPr>
          <w:p w14:paraId="0A712FF3"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2.5</w:t>
            </w:r>
          </w:p>
        </w:tc>
        <w:tc>
          <w:tcPr>
            <w:tcW w:w="1030" w:type="dxa"/>
            <w:tcBorders>
              <w:top w:val="nil"/>
              <w:left w:val="nil"/>
              <w:bottom w:val="nil"/>
              <w:right w:val="nil"/>
            </w:tcBorders>
            <w:shd w:val="clear" w:color="auto" w:fill="FFFFFF" w:themeFill="background1"/>
            <w:noWrap/>
            <w:vAlign w:val="center"/>
            <w:hideMark/>
          </w:tcPr>
          <w:p w14:paraId="33492477" w14:textId="77777777" w:rsidR="003E47C5" w:rsidRPr="005A6982" w:rsidRDefault="5BE1D547"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rPr>
              <w:t>7.0</w:t>
            </w:r>
          </w:p>
        </w:tc>
        <w:tc>
          <w:tcPr>
            <w:tcW w:w="1044" w:type="dxa"/>
            <w:tcBorders>
              <w:top w:val="nil"/>
              <w:left w:val="nil"/>
              <w:bottom w:val="nil"/>
              <w:right w:val="nil"/>
            </w:tcBorders>
            <w:shd w:val="clear" w:color="auto" w:fill="FFFFFF" w:themeFill="background1"/>
            <w:noWrap/>
            <w:vAlign w:val="center"/>
            <w:hideMark/>
          </w:tcPr>
          <w:p w14:paraId="1808C2FF" w14:textId="77777777" w:rsidR="003E47C5" w:rsidRPr="005A6982" w:rsidRDefault="5BE1D547"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-1.0</w:t>
            </w:r>
          </w:p>
        </w:tc>
      </w:tr>
      <w:tr w:rsidR="003E47C5" w:rsidRPr="005A6982" w14:paraId="5709BCF2" w14:textId="77777777" w:rsidTr="006F18BC">
        <w:trPr>
          <w:gridAfter w:val="1"/>
          <w:wAfter w:w="876" w:type="dxa"/>
          <w:trHeight w:val="310"/>
        </w:trPr>
        <w:tc>
          <w:tcPr>
            <w:tcW w:w="3864" w:type="dxa"/>
            <w:gridSpan w:val="2"/>
            <w:tcBorders>
              <w:top w:val="nil"/>
              <w:left w:val="nil"/>
              <w:bottom w:val="single" w:sz="4" w:space="0" w:color="1F497D" w:themeColor="text2"/>
              <w:right w:val="nil"/>
            </w:tcBorders>
            <w:shd w:val="clear" w:color="auto" w:fill="FFFFFF" w:themeFill="background1"/>
            <w:vAlign w:val="center"/>
            <w:hideMark/>
          </w:tcPr>
          <w:p w14:paraId="22E1961E"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 xml:space="preserve">יבוא אזרחי (ללא יהלומים, </w:t>
            </w:r>
            <w:proofErr w:type="spellStart"/>
            <w:r w:rsidRPr="005A6982">
              <w:rPr>
                <w:rFonts w:ascii="Calibri" w:eastAsia="Times New Roman" w:hAnsi="Calibri" w:cs="Calibri"/>
                <w:rtl/>
              </w:rPr>
              <w:t>אוניות</w:t>
            </w:r>
            <w:proofErr w:type="spellEnd"/>
            <w:r w:rsidRPr="005A6982">
              <w:rPr>
                <w:rFonts w:ascii="Calibri" w:eastAsia="Times New Roman" w:hAnsi="Calibri" w:cs="Calibri"/>
                <w:rtl/>
              </w:rPr>
              <w:t xml:space="preserve"> ומטוסים)</w:t>
            </w:r>
          </w:p>
        </w:tc>
        <w:tc>
          <w:tcPr>
            <w:tcW w:w="900" w:type="dxa"/>
            <w:tcBorders>
              <w:top w:val="nil"/>
              <w:left w:val="nil"/>
              <w:bottom w:val="single" w:sz="4" w:space="0" w:color="1F497D" w:themeColor="text2"/>
              <w:right w:val="nil"/>
            </w:tcBorders>
            <w:shd w:val="clear" w:color="auto" w:fill="FFFFFF" w:themeFill="background1"/>
            <w:vAlign w:val="center"/>
          </w:tcPr>
          <w:p w14:paraId="4348CAC0" w14:textId="77777777" w:rsidR="003E47C5" w:rsidRPr="005A6982" w:rsidRDefault="00984702"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b/>
                <w:bCs/>
                <w:color w:val="000000" w:themeColor="text1"/>
                <w:kern w:val="24"/>
                <w:rtl/>
              </w:rPr>
              <w:t>8.8</w:t>
            </w:r>
          </w:p>
        </w:tc>
        <w:tc>
          <w:tcPr>
            <w:tcW w:w="975" w:type="dxa"/>
            <w:tcBorders>
              <w:top w:val="nil"/>
              <w:left w:val="nil"/>
              <w:bottom w:val="single" w:sz="4" w:space="0" w:color="1F497D" w:themeColor="text2"/>
              <w:right w:val="nil"/>
            </w:tcBorders>
            <w:shd w:val="clear" w:color="auto" w:fill="FFFFFF" w:themeFill="background1"/>
            <w:noWrap/>
            <w:vAlign w:val="center"/>
            <w:hideMark/>
          </w:tcPr>
          <w:p w14:paraId="5A96F706"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10.5</w:t>
            </w:r>
          </w:p>
        </w:tc>
        <w:tc>
          <w:tcPr>
            <w:tcW w:w="960" w:type="dxa"/>
            <w:tcBorders>
              <w:top w:val="nil"/>
              <w:left w:val="nil"/>
              <w:bottom w:val="single" w:sz="4" w:space="0" w:color="1F497D" w:themeColor="text2"/>
              <w:right w:val="nil"/>
            </w:tcBorders>
            <w:shd w:val="clear" w:color="auto" w:fill="FFFFFF" w:themeFill="background1"/>
            <w:noWrap/>
            <w:vAlign w:val="center"/>
            <w:hideMark/>
          </w:tcPr>
          <w:p w14:paraId="6C8F81C3" w14:textId="77777777" w:rsidR="003E47C5" w:rsidRPr="005A6982" w:rsidRDefault="00DC641D"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hint="cs"/>
                <w:color w:val="1F497D"/>
                <w:kern w:val="24"/>
                <w:rtl/>
              </w:rPr>
              <w:t>0.5</w:t>
            </w:r>
          </w:p>
        </w:tc>
        <w:tc>
          <w:tcPr>
            <w:tcW w:w="1030" w:type="dxa"/>
            <w:tcBorders>
              <w:top w:val="nil"/>
              <w:left w:val="nil"/>
              <w:bottom w:val="single" w:sz="4" w:space="0" w:color="1F497D" w:themeColor="text2"/>
              <w:right w:val="nil"/>
            </w:tcBorders>
            <w:shd w:val="clear" w:color="auto" w:fill="FFFFFF" w:themeFill="background1"/>
            <w:noWrap/>
            <w:vAlign w:val="center"/>
            <w:hideMark/>
          </w:tcPr>
          <w:p w14:paraId="5871F4D9"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5.5</w:t>
            </w:r>
          </w:p>
        </w:tc>
        <w:tc>
          <w:tcPr>
            <w:tcW w:w="1044" w:type="dxa"/>
            <w:tcBorders>
              <w:top w:val="nil"/>
              <w:left w:val="nil"/>
              <w:bottom w:val="single" w:sz="4" w:space="0" w:color="1F497D" w:themeColor="text2"/>
              <w:right w:val="nil"/>
            </w:tcBorders>
            <w:shd w:val="clear" w:color="auto" w:fill="FFFFFF" w:themeFill="background1"/>
            <w:noWrap/>
            <w:vAlign w:val="center"/>
            <w:hideMark/>
          </w:tcPr>
          <w:p w14:paraId="26CB0EF6" w14:textId="77777777" w:rsidR="003E47C5" w:rsidRPr="005A6982" w:rsidRDefault="01069D57"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-6.5</w:t>
            </w:r>
          </w:p>
        </w:tc>
      </w:tr>
      <w:tr w:rsidR="003E47C5" w:rsidRPr="005A6982" w14:paraId="7B47C970"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2BA277FE"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 xml:space="preserve">שיעור האבטלה הרחבה (גילאי </w:t>
            </w:r>
            <w:r w:rsidRPr="005A6982">
              <w:rPr>
                <w:rFonts w:ascii="Calibri" w:eastAsia="Times New Roman" w:hAnsi="Calibri" w:cs="Calibri"/>
              </w:rPr>
              <w:t>25</w:t>
            </w:r>
            <w:r w:rsidRPr="005A6982">
              <w:rPr>
                <w:rFonts w:ascii="Calibri" w:eastAsia="Times New Roman" w:hAnsi="Calibri" w:cs="Calibri"/>
                <w:rtl/>
              </w:rPr>
              <w:t>–</w:t>
            </w:r>
            <w:r w:rsidRPr="005A6982">
              <w:rPr>
                <w:rFonts w:ascii="Calibri" w:eastAsia="Times New Roman" w:hAnsi="Calibri" w:cs="Calibri"/>
              </w:rPr>
              <w:t>64</w:t>
            </w:r>
            <w:r w:rsidRPr="005A6982">
              <w:rPr>
                <w:rFonts w:ascii="Calibri" w:eastAsia="Times New Roman" w:hAnsi="Calibri" w:cs="Calibri"/>
                <w:rtl/>
              </w:rPr>
              <w:t>)</w:t>
            </w:r>
            <w:r w:rsidRPr="005A6982">
              <w:rPr>
                <w:rFonts w:ascii="Calibri" w:eastAsia="Times New Roman" w:hAnsi="Calibri" w:cs="Calibri"/>
                <w:vertAlign w:val="superscript"/>
              </w:rPr>
              <w:t>2</w:t>
            </w:r>
          </w:p>
        </w:tc>
        <w:tc>
          <w:tcPr>
            <w:tcW w:w="900" w:type="dxa"/>
            <w:tcBorders>
              <w:top w:val="nil"/>
              <w:left w:val="nil"/>
              <w:bottom w:val="nil"/>
              <w:right w:val="nil"/>
            </w:tcBorders>
            <w:shd w:val="clear" w:color="auto" w:fill="FFFFFF" w:themeFill="background1"/>
          </w:tcPr>
          <w:p w14:paraId="12E20A37" w14:textId="77777777" w:rsidR="003E47C5" w:rsidRPr="005A6982" w:rsidRDefault="003E47C5" w:rsidP="004E7CD7">
            <w:pPr>
              <w:bidi/>
              <w:spacing w:after="0" w:line="360" w:lineRule="auto"/>
              <w:jc w:val="center"/>
              <w:rPr>
                <w:rFonts w:ascii="Calibri" w:eastAsia="Times New Roman" w:hAnsi="Calibri" w:cs="Calibri"/>
                <w:b/>
                <w:bCs/>
                <w:color w:val="000000"/>
                <w:rtl/>
              </w:rPr>
            </w:pPr>
            <w:r w:rsidRPr="005A6982">
              <w:rPr>
                <w:rFonts w:ascii="Calibri" w:eastAsia="Times New Roman" w:hAnsi="Calibri" w:cs="Calibri"/>
                <w:b/>
                <w:bCs/>
                <w:color w:val="000000" w:themeColor="text1"/>
              </w:rPr>
              <w:t>3.6</w:t>
            </w:r>
          </w:p>
        </w:tc>
        <w:tc>
          <w:tcPr>
            <w:tcW w:w="975" w:type="dxa"/>
            <w:tcBorders>
              <w:top w:val="nil"/>
              <w:left w:val="nil"/>
              <w:bottom w:val="nil"/>
              <w:right w:val="nil"/>
            </w:tcBorders>
            <w:shd w:val="clear" w:color="auto" w:fill="FFFFFF" w:themeFill="background1"/>
            <w:vAlign w:val="center"/>
            <w:hideMark/>
          </w:tcPr>
          <w:p w14:paraId="04AEA9A4"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Pr>
            </w:pPr>
            <w:r w:rsidRPr="005A6982">
              <w:rPr>
                <w:rFonts w:ascii="Calibri" w:hAnsi="Calibri" w:cs="Calibri"/>
                <w:b/>
                <w:bCs/>
                <w:color w:val="000000" w:themeColor="text1"/>
                <w:kern w:val="24"/>
                <w:rtl/>
              </w:rPr>
              <w:t>4.6</w:t>
            </w:r>
          </w:p>
        </w:tc>
        <w:tc>
          <w:tcPr>
            <w:tcW w:w="960" w:type="dxa"/>
            <w:tcBorders>
              <w:top w:val="nil"/>
              <w:left w:val="nil"/>
              <w:bottom w:val="nil"/>
              <w:right w:val="nil"/>
            </w:tcBorders>
            <w:shd w:val="clear" w:color="auto" w:fill="FFFFFF" w:themeFill="background1"/>
            <w:vAlign w:val="center"/>
            <w:hideMark/>
          </w:tcPr>
          <w:p w14:paraId="3BAE9AE5"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0.1</w:t>
            </w:r>
          </w:p>
        </w:tc>
        <w:tc>
          <w:tcPr>
            <w:tcW w:w="1030" w:type="dxa"/>
            <w:tcBorders>
              <w:top w:val="nil"/>
              <w:left w:val="nil"/>
              <w:bottom w:val="nil"/>
              <w:right w:val="nil"/>
            </w:tcBorders>
            <w:shd w:val="clear" w:color="auto" w:fill="FFFFFF" w:themeFill="background1"/>
            <w:vAlign w:val="center"/>
            <w:hideMark/>
          </w:tcPr>
          <w:p w14:paraId="34792460"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3.0</w:t>
            </w:r>
          </w:p>
        </w:tc>
        <w:tc>
          <w:tcPr>
            <w:tcW w:w="1044" w:type="dxa"/>
            <w:tcBorders>
              <w:top w:val="nil"/>
              <w:left w:val="nil"/>
              <w:bottom w:val="nil"/>
              <w:right w:val="nil"/>
            </w:tcBorders>
            <w:shd w:val="clear" w:color="auto" w:fill="FFFFFF" w:themeFill="background1"/>
            <w:vAlign w:val="center"/>
            <w:hideMark/>
          </w:tcPr>
          <w:p w14:paraId="267540E8"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Pr>
              <w:t>-0.4</w:t>
            </w:r>
          </w:p>
        </w:tc>
      </w:tr>
      <w:tr w:rsidR="003E47C5" w:rsidRPr="005A6982" w14:paraId="4EC70DFC" w14:textId="77777777" w:rsidTr="006F18BC">
        <w:trPr>
          <w:gridAfter w:val="1"/>
          <w:wAfter w:w="876" w:type="dxa"/>
          <w:trHeight w:val="310"/>
        </w:trPr>
        <w:tc>
          <w:tcPr>
            <w:tcW w:w="3864" w:type="dxa"/>
            <w:gridSpan w:val="2"/>
            <w:tcBorders>
              <w:top w:val="nil"/>
              <w:left w:val="nil"/>
              <w:bottom w:val="single" w:sz="4" w:space="0" w:color="1F497D" w:themeColor="text2"/>
              <w:right w:val="nil"/>
            </w:tcBorders>
            <w:shd w:val="clear" w:color="auto" w:fill="FFFFFF" w:themeFill="background1"/>
            <w:vAlign w:val="center"/>
            <w:hideMark/>
          </w:tcPr>
          <w:p w14:paraId="0C07C0A2"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t xml:space="preserve">שיעור התעסוקה המותאם (גילאי </w:t>
            </w:r>
            <w:r w:rsidRPr="005A6982">
              <w:rPr>
                <w:rFonts w:ascii="Calibri" w:eastAsia="Times New Roman" w:hAnsi="Calibri" w:cs="Calibri"/>
              </w:rPr>
              <w:t>25</w:t>
            </w:r>
            <w:r w:rsidRPr="005A6982">
              <w:rPr>
                <w:rFonts w:ascii="Calibri" w:eastAsia="Times New Roman" w:hAnsi="Calibri" w:cs="Calibri"/>
                <w:rtl/>
              </w:rPr>
              <w:t>–</w:t>
            </w:r>
            <w:r w:rsidRPr="005A6982">
              <w:rPr>
                <w:rFonts w:ascii="Calibri" w:eastAsia="Times New Roman" w:hAnsi="Calibri" w:cs="Calibri"/>
              </w:rPr>
              <w:t>64</w:t>
            </w:r>
            <w:r w:rsidRPr="005A6982">
              <w:rPr>
                <w:rFonts w:ascii="Calibri" w:eastAsia="Times New Roman" w:hAnsi="Calibri" w:cs="Calibri"/>
                <w:rtl/>
              </w:rPr>
              <w:t>)</w:t>
            </w:r>
            <w:r w:rsidRPr="005A6982">
              <w:rPr>
                <w:rFonts w:ascii="Calibri" w:eastAsia="Times New Roman" w:hAnsi="Calibri" w:cs="Calibri"/>
                <w:vertAlign w:val="superscript"/>
              </w:rPr>
              <w:t>2</w:t>
            </w:r>
          </w:p>
        </w:tc>
        <w:tc>
          <w:tcPr>
            <w:tcW w:w="900" w:type="dxa"/>
            <w:tcBorders>
              <w:top w:val="nil"/>
              <w:left w:val="nil"/>
              <w:bottom w:val="single" w:sz="4" w:space="0" w:color="1F497D" w:themeColor="text2"/>
              <w:right w:val="nil"/>
            </w:tcBorders>
            <w:shd w:val="clear" w:color="auto" w:fill="FFFFFF" w:themeFill="background1"/>
          </w:tcPr>
          <w:p w14:paraId="2075AC8B" w14:textId="77777777" w:rsidR="003E47C5" w:rsidRPr="005A6982" w:rsidRDefault="003E47C5" w:rsidP="004E7CD7">
            <w:pPr>
              <w:bidi/>
              <w:spacing w:after="0" w:line="360" w:lineRule="auto"/>
              <w:jc w:val="center"/>
              <w:rPr>
                <w:rFonts w:ascii="Calibri" w:eastAsia="Times New Roman" w:hAnsi="Calibri" w:cs="Calibri"/>
                <w:b/>
                <w:bCs/>
                <w:color w:val="000000"/>
              </w:rPr>
            </w:pPr>
            <w:r w:rsidRPr="005A6982">
              <w:rPr>
                <w:rFonts w:ascii="Calibri" w:eastAsia="Times New Roman" w:hAnsi="Calibri" w:cs="Calibri"/>
                <w:b/>
                <w:bCs/>
                <w:color w:val="000000" w:themeColor="text1"/>
              </w:rPr>
              <w:t>78.2</w:t>
            </w:r>
          </w:p>
        </w:tc>
        <w:tc>
          <w:tcPr>
            <w:tcW w:w="975" w:type="dxa"/>
            <w:tcBorders>
              <w:top w:val="nil"/>
              <w:left w:val="nil"/>
              <w:bottom w:val="single" w:sz="4" w:space="0" w:color="1F497D" w:themeColor="text2"/>
              <w:right w:val="nil"/>
            </w:tcBorders>
            <w:shd w:val="clear" w:color="auto" w:fill="FFFFFF" w:themeFill="background1"/>
            <w:noWrap/>
            <w:vAlign w:val="center"/>
            <w:hideMark/>
          </w:tcPr>
          <w:p w14:paraId="5D6911FB"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Pr>
              <w:t>77.4</w:t>
            </w:r>
          </w:p>
        </w:tc>
        <w:tc>
          <w:tcPr>
            <w:tcW w:w="960" w:type="dxa"/>
            <w:tcBorders>
              <w:top w:val="nil"/>
              <w:left w:val="nil"/>
              <w:bottom w:val="single" w:sz="4" w:space="0" w:color="1F497D" w:themeColor="text2"/>
              <w:right w:val="nil"/>
            </w:tcBorders>
            <w:shd w:val="clear" w:color="auto" w:fill="FFFFFF" w:themeFill="background1"/>
            <w:noWrap/>
            <w:vAlign w:val="center"/>
            <w:hideMark/>
          </w:tcPr>
          <w:p w14:paraId="22E3C0F2" w14:textId="77777777" w:rsidR="003E47C5" w:rsidRPr="005A6982" w:rsidRDefault="3868EAF1"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color w:val="1F497D" w:themeColor="text2"/>
              </w:rPr>
              <w:t>-0.1</w:t>
            </w:r>
          </w:p>
        </w:tc>
        <w:tc>
          <w:tcPr>
            <w:tcW w:w="1030" w:type="dxa"/>
            <w:tcBorders>
              <w:top w:val="nil"/>
              <w:left w:val="nil"/>
              <w:bottom w:val="single" w:sz="4" w:space="0" w:color="1F497D" w:themeColor="text2"/>
              <w:right w:val="nil"/>
            </w:tcBorders>
            <w:shd w:val="clear" w:color="auto" w:fill="FFFFFF" w:themeFill="background1"/>
            <w:noWrap/>
            <w:vAlign w:val="center"/>
            <w:hideMark/>
          </w:tcPr>
          <w:p w14:paraId="166DD9EF"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79.0</w:t>
            </w:r>
          </w:p>
        </w:tc>
        <w:tc>
          <w:tcPr>
            <w:tcW w:w="1044" w:type="dxa"/>
            <w:tcBorders>
              <w:top w:val="nil"/>
              <w:left w:val="nil"/>
              <w:bottom w:val="single" w:sz="4" w:space="0" w:color="1F497D" w:themeColor="text2"/>
              <w:right w:val="nil"/>
            </w:tcBorders>
            <w:shd w:val="clear" w:color="auto" w:fill="FFFFFF" w:themeFill="background1"/>
            <w:noWrap/>
            <w:vAlign w:val="center"/>
            <w:hideMark/>
          </w:tcPr>
          <w:p w14:paraId="0F4E6D62"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color w:val="1F497D"/>
                <w:kern w:val="24"/>
                <w:rtl/>
              </w:rPr>
              <w:t>0.4</w:t>
            </w:r>
          </w:p>
        </w:tc>
      </w:tr>
      <w:tr w:rsidR="003E47C5" w:rsidRPr="005A6982" w14:paraId="4820742D" w14:textId="77777777" w:rsidTr="006F18BC">
        <w:trPr>
          <w:gridAfter w:val="1"/>
          <w:wAfter w:w="876" w:type="dxa"/>
          <w:trHeight w:val="310"/>
        </w:trPr>
        <w:tc>
          <w:tcPr>
            <w:tcW w:w="3864" w:type="dxa"/>
            <w:gridSpan w:val="2"/>
            <w:tcBorders>
              <w:top w:val="nil"/>
              <w:left w:val="nil"/>
              <w:bottom w:val="nil"/>
              <w:right w:val="nil"/>
            </w:tcBorders>
            <w:shd w:val="clear" w:color="auto" w:fill="FFFFFF" w:themeFill="background1"/>
            <w:vAlign w:val="center"/>
            <w:hideMark/>
          </w:tcPr>
          <w:p w14:paraId="45705E07" w14:textId="77777777" w:rsidR="003E47C5" w:rsidRPr="005A6982" w:rsidRDefault="003E47C5" w:rsidP="004E7CD7">
            <w:pPr>
              <w:bidi/>
              <w:spacing w:after="0" w:line="360" w:lineRule="auto"/>
              <w:rPr>
                <w:rFonts w:ascii="Calibri" w:eastAsia="Times New Roman" w:hAnsi="Calibri" w:cs="Calibri"/>
                <w:rtl/>
              </w:rPr>
            </w:pPr>
            <w:r w:rsidRPr="005A6982">
              <w:rPr>
                <w:rFonts w:ascii="Calibri" w:eastAsia="Times New Roman" w:hAnsi="Calibri" w:cs="Calibri"/>
                <w:rtl/>
              </w:rPr>
              <w:t>גירעון הממשלה (אחוזי תוצר)</w:t>
            </w:r>
          </w:p>
        </w:tc>
        <w:tc>
          <w:tcPr>
            <w:tcW w:w="900" w:type="dxa"/>
            <w:tcBorders>
              <w:top w:val="nil"/>
              <w:left w:val="nil"/>
              <w:bottom w:val="nil"/>
              <w:right w:val="nil"/>
            </w:tcBorders>
            <w:shd w:val="clear" w:color="auto" w:fill="FFFFFF" w:themeFill="background1"/>
            <w:vAlign w:val="center"/>
          </w:tcPr>
          <w:p w14:paraId="02D41873" w14:textId="77777777" w:rsidR="003E47C5" w:rsidRPr="005A6982" w:rsidRDefault="003E47C5" w:rsidP="004E7CD7">
            <w:pPr>
              <w:bidi/>
              <w:spacing w:after="0" w:line="360" w:lineRule="auto"/>
              <w:jc w:val="center"/>
              <w:rPr>
                <w:rFonts w:ascii="Calibri" w:eastAsia="Times New Roman" w:hAnsi="Calibri" w:cs="Calibri"/>
                <w:b/>
                <w:bCs/>
                <w:color w:val="000000" w:themeColor="text1"/>
                <w:rtl/>
              </w:rPr>
            </w:pPr>
            <w:r w:rsidRPr="005A6982">
              <w:rPr>
                <w:rFonts w:ascii="Calibri" w:eastAsia="Times New Roman" w:hAnsi="Calibri" w:cs="Calibri"/>
                <w:b/>
                <w:bCs/>
                <w:color w:val="000000" w:themeColor="text1"/>
              </w:rPr>
              <w:t>4.7</w:t>
            </w:r>
          </w:p>
        </w:tc>
        <w:tc>
          <w:tcPr>
            <w:tcW w:w="975" w:type="dxa"/>
            <w:tcBorders>
              <w:top w:val="nil"/>
              <w:left w:val="nil"/>
              <w:bottom w:val="nil"/>
              <w:right w:val="nil"/>
            </w:tcBorders>
            <w:shd w:val="clear" w:color="auto" w:fill="FFFFFF" w:themeFill="background1"/>
            <w:noWrap/>
            <w:vAlign w:val="center"/>
            <w:hideMark/>
          </w:tcPr>
          <w:p w14:paraId="1DBAA874" w14:textId="77777777" w:rsidR="003E47C5" w:rsidRPr="005A6982" w:rsidRDefault="003E47C5"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kern w:val="24"/>
              </w:rPr>
              <w:t>4.</w:t>
            </w:r>
            <w:r w:rsidR="00B1156A" w:rsidRPr="005A6982">
              <w:rPr>
                <w:rFonts w:ascii="Calibri" w:hAnsi="Calibri" w:cs="Calibri"/>
                <w:b/>
                <w:bCs/>
                <w:color w:val="000000" w:themeColor="text1"/>
              </w:rPr>
              <w:t>9</w:t>
            </w:r>
          </w:p>
        </w:tc>
        <w:tc>
          <w:tcPr>
            <w:tcW w:w="960" w:type="dxa"/>
            <w:tcBorders>
              <w:top w:val="nil"/>
              <w:left w:val="nil"/>
              <w:bottom w:val="nil"/>
              <w:right w:val="nil"/>
            </w:tcBorders>
            <w:shd w:val="clear" w:color="auto" w:fill="FFFFFF" w:themeFill="background1"/>
            <w:noWrap/>
            <w:vAlign w:val="center"/>
            <w:hideMark/>
          </w:tcPr>
          <w:p w14:paraId="1CDD3839" w14:textId="77777777" w:rsidR="003E47C5" w:rsidRPr="005A6982" w:rsidRDefault="2BA5C470" w:rsidP="004E7CD7">
            <w:pPr>
              <w:pStyle w:val="NormalWeb"/>
              <w:spacing w:before="0" w:beforeAutospacing="0" w:after="0" w:afterAutospacing="0" w:line="360" w:lineRule="auto"/>
              <w:jc w:val="center"/>
              <w:rPr>
                <w:rFonts w:ascii="Calibri" w:hAnsi="Calibri" w:cs="Calibri"/>
              </w:rPr>
            </w:pPr>
            <w:r w:rsidRPr="005A6982">
              <w:rPr>
                <w:rFonts w:ascii="Calibri" w:eastAsiaTheme="minorEastAsia" w:hAnsi="Calibri" w:cs="Calibri"/>
                <w:color w:val="1F497D" w:themeColor="text2"/>
              </w:rPr>
              <w:t>-0.</w:t>
            </w:r>
            <w:r w:rsidR="00B1156A" w:rsidRPr="005A6982">
              <w:rPr>
                <w:rFonts w:ascii="Calibri" w:eastAsiaTheme="minorEastAsia" w:hAnsi="Calibri" w:cs="Calibri"/>
                <w:color w:val="1F497D" w:themeColor="text2"/>
                <w:rtl/>
              </w:rPr>
              <w:t>4</w:t>
            </w:r>
          </w:p>
        </w:tc>
        <w:tc>
          <w:tcPr>
            <w:tcW w:w="1030" w:type="dxa"/>
            <w:tcBorders>
              <w:top w:val="nil"/>
              <w:left w:val="nil"/>
              <w:bottom w:val="nil"/>
              <w:right w:val="nil"/>
            </w:tcBorders>
            <w:shd w:val="clear" w:color="auto" w:fill="FFFFFF" w:themeFill="background1"/>
            <w:noWrap/>
            <w:vAlign w:val="center"/>
            <w:hideMark/>
          </w:tcPr>
          <w:p w14:paraId="6DC29129" w14:textId="77777777" w:rsidR="003E47C5" w:rsidRPr="005A6982" w:rsidRDefault="001226CA"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kern w:val="24"/>
              </w:rPr>
              <w:t>4.2</w:t>
            </w:r>
          </w:p>
        </w:tc>
        <w:tc>
          <w:tcPr>
            <w:tcW w:w="1044" w:type="dxa"/>
            <w:tcBorders>
              <w:top w:val="nil"/>
              <w:left w:val="nil"/>
              <w:bottom w:val="nil"/>
              <w:right w:val="nil"/>
            </w:tcBorders>
            <w:shd w:val="clear" w:color="auto" w:fill="FFFFFF" w:themeFill="background1"/>
            <w:noWrap/>
            <w:vAlign w:val="center"/>
            <w:hideMark/>
          </w:tcPr>
          <w:p w14:paraId="5C47C369" w14:textId="77777777" w:rsidR="003E47C5" w:rsidRPr="005A6982" w:rsidRDefault="001226CA" w:rsidP="004E7CD7">
            <w:pPr>
              <w:pStyle w:val="NormalWeb"/>
              <w:spacing w:before="0" w:beforeAutospacing="0" w:after="0" w:afterAutospacing="0" w:line="360" w:lineRule="auto"/>
              <w:jc w:val="center"/>
              <w:rPr>
                <w:rFonts w:ascii="Calibri" w:hAnsi="Calibri" w:cs="Calibri"/>
              </w:rPr>
            </w:pPr>
            <w:r w:rsidRPr="005A6982">
              <w:rPr>
                <w:rFonts w:ascii="Calibri" w:eastAsiaTheme="minorEastAsia" w:hAnsi="Calibri" w:cs="Calibri" w:hint="cs"/>
                <w:color w:val="1F497D" w:themeColor="text2"/>
                <w:rtl/>
              </w:rPr>
              <w:t>0.2-</w:t>
            </w:r>
          </w:p>
        </w:tc>
      </w:tr>
      <w:tr w:rsidR="003E47C5" w:rsidRPr="005A6982" w14:paraId="34622496" w14:textId="77777777" w:rsidTr="006F18BC">
        <w:trPr>
          <w:gridAfter w:val="1"/>
          <w:wAfter w:w="876" w:type="dxa"/>
          <w:trHeight w:val="310"/>
        </w:trPr>
        <w:tc>
          <w:tcPr>
            <w:tcW w:w="3864" w:type="dxa"/>
            <w:gridSpan w:val="2"/>
            <w:tcBorders>
              <w:top w:val="nil"/>
              <w:left w:val="nil"/>
              <w:bottom w:val="single" w:sz="4" w:space="0" w:color="1F497D" w:themeColor="text2"/>
              <w:right w:val="nil"/>
            </w:tcBorders>
            <w:shd w:val="clear" w:color="auto" w:fill="FFFFFF" w:themeFill="background1"/>
            <w:vAlign w:val="center"/>
            <w:hideMark/>
          </w:tcPr>
          <w:p w14:paraId="2015C4CE" w14:textId="77777777" w:rsidR="003E47C5" w:rsidRPr="005A6982" w:rsidRDefault="003E47C5" w:rsidP="004E7CD7">
            <w:pPr>
              <w:bidi/>
              <w:spacing w:after="0" w:line="360" w:lineRule="auto"/>
              <w:rPr>
                <w:rFonts w:ascii="Calibri" w:eastAsia="Times New Roman" w:hAnsi="Calibri" w:cs="Calibri"/>
              </w:rPr>
            </w:pPr>
            <w:r w:rsidRPr="005A6982">
              <w:rPr>
                <w:rFonts w:ascii="Calibri" w:eastAsia="Times New Roman" w:hAnsi="Calibri" w:cs="Calibri"/>
                <w:rtl/>
              </w:rPr>
              <w:lastRenderedPageBreak/>
              <w:t>יחס החוב לתוצר (אחוזי תוצר)</w:t>
            </w:r>
          </w:p>
        </w:tc>
        <w:tc>
          <w:tcPr>
            <w:tcW w:w="900" w:type="dxa"/>
            <w:tcBorders>
              <w:top w:val="nil"/>
              <w:left w:val="nil"/>
              <w:bottom w:val="single" w:sz="4" w:space="0" w:color="1F497D" w:themeColor="text2"/>
              <w:right w:val="nil"/>
            </w:tcBorders>
            <w:shd w:val="clear" w:color="auto" w:fill="FFFFFF" w:themeFill="background1"/>
            <w:vAlign w:val="center"/>
          </w:tcPr>
          <w:p w14:paraId="7E2BE03C" w14:textId="77777777" w:rsidR="003E47C5" w:rsidRPr="005A6982" w:rsidRDefault="003E47C5" w:rsidP="004E7CD7">
            <w:pPr>
              <w:bidi/>
              <w:spacing w:after="0" w:line="360" w:lineRule="auto"/>
              <w:jc w:val="center"/>
              <w:rPr>
                <w:rFonts w:ascii="Calibri" w:eastAsia="Times New Roman" w:hAnsi="Calibri" w:cs="Calibri"/>
                <w:b/>
                <w:bCs/>
                <w:color w:val="000000" w:themeColor="text1"/>
                <w:rtl/>
              </w:rPr>
            </w:pPr>
            <w:r w:rsidRPr="005A6982">
              <w:rPr>
                <w:rFonts w:ascii="Calibri" w:eastAsia="Times New Roman" w:hAnsi="Calibri" w:cs="Calibri"/>
                <w:b/>
                <w:bCs/>
                <w:color w:val="000000" w:themeColor="text1"/>
              </w:rPr>
              <w:t>68.5</w:t>
            </w:r>
          </w:p>
        </w:tc>
        <w:tc>
          <w:tcPr>
            <w:tcW w:w="975" w:type="dxa"/>
            <w:tcBorders>
              <w:top w:val="nil"/>
              <w:left w:val="nil"/>
              <w:bottom w:val="single" w:sz="4" w:space="0" w:color="1F497D" w:themeColor="text2"/>
              <w:right w:val="nil"/>
            </w:tcBorders>
            <w:shd w:val="clear" w:color="auto" w:fill="FFFFFF" w:themeFill="background1"/>
            <w:noWrap/>
            <w:vAlign w:val="center"/>
            <w:hideMark/>
          </w:tcPr>
          <w:p w14:paraId="74464FFC" w14:textId="77777777" w:rsidR="003E47C5" w:rsidRPr="005A6982" w:rsidRDefault="6C46FA98"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rPr>
              <w:t>69.</w:t>
            </w:r>
            <w:r w:rsidR="00B1156A" w:rsidRPr="005A6982">
              <w:rPr>
                <w:rFonts w:ascii="Calibri" w:hAnsi="Calibri" w:cs="Calibri"/>
                <w:b/>
                <w:bCs/>
                <w:color w:val="000000" w:themeColor="text1"/>
              </w:rPr>
              <w:t>0</w:t>
            </w:r>
          </w:p>
        </w:tc>
        <w:tc>
          <w:tcPr>
            <w:tcW w:w="960" w:type="dxa"/>
            <w:tcBorders>
              <w:top w:val="nil"/>
              <w:left w:val="nil"/>
              <w:bottom w:val="single" w:sz="4" w:space="0" w:color="1F497D" w:themeColor="text2"/>
              <w:right w:val="nil"/>
            </w:tcBorders>
            <w:shd w:val="clear" w:color="auto" w:fill="FFFFFF" w:themeFill="background1"/>
            <w:noWrap/>
            <w:vAlign w:val="center"/>
            <w:hideMark/>
          </w:tcPr>
          <w:p w14:paraId="48776FDB" w14:textId="77777777" w:rsidR="003E47C5" w:rsidRPr="005A6982" w:rsidRDefault="6C46FA98" w:rsidP="004E7CD7">
            <w:pPr>
              <w:pStyle w:val="NormalWeb"/>
              <w:spacing w:before="0" w:beforeAutospacing="0" w:after="0" w:afterAutospacing="0" w:line="360" w:lineRule="auto"/>
              <w:jc w:val="center"/>
              <w:rPr>
                <w:rFonts w:ascii="Calibri" w:hAnsi="Calibri" w:cs="Calibri"/>
              </w:rPr>
            </w:pPr>
            <w:r w:rsidRPr="005A6982">
              <w:rPr>
                <w:rFonts w:ascii="Calibri" w:eastAsiaTheme="minorEastAsia" w:hAnsi="Calibri" w:cs="Calibri"/>
                <w:color w:val="1F487C"/>
              </w:rPr>
              <w:t>-1.</w:t>
            </w:r>
            <w:r w:rsidR="00B1156A" w:rsidRPr="005A6982">
              <w:rPr>
                <w:rFonts w:ascii="Calibri" w:eastAsiaTheme="minorEastAsia" w:hAnsi="Calibri" w:cs="Calibri"/>
                <w:color w:val="1F487C"/>
              </w:rPr>
              <w:t>5</w:t>
            </w:r>
          </w:p>
        </w:tc>
        <w:tc>
          <w:tcPr>
            <w:tcW w:w="1030" w:type="dxa"/>
            <w:tcBorders>
              <w:top w:val="nil"/>
              <w:left w:val="nil"/>
              <w:bottom w:val="single" w:sz="4" w:space="0" w:color="1F497D" w:themeColor="text2"/>
              <w:right w:val="nil"/>
            </w:tcBorders>
            <w:shd w:val="clear" w:color="auto" w:fill="FFFFFF" w:themeFill="background1"/>
            <w:noWrap/>
            <w:vAlign w:val="center"/>
            <w:hideMark/>
          </w:tcPr>
          <w:p w14:paraId="290B0165" w14:textId="77777777" w:rsidR="003E47C5" w:rsidRPr="005A6982" w:rsidRDefault="6C46FA98" w:rsidP="004E7CD7">
            <w:pPr>
              <w:pStyle w:val="NormalWeb"/>
              <w:spacing w:before="0" w:beforeAutospacing="0" w:after="0" w:afterAutospacing="0" w:line="360" w:lineRule="auto"/>
              <w:jc w:val="center"/>
              <w:rPr>
                <w:rFonts w:ascii="Calibri" w:hAnsi="Calibri" w:cs="Calibri"/>
              </w:rPr>
            </w:pPr>
            <w:r w:rsidRPr="005A6982">
              <w:rPr>
                <w:rFonts w:ascii="Calibri" w:hAnsi="Calibri" w:cs="Calibri"/>
                <w:b/>
                <w:bCs/>
                <w:color w:val="000000" w:themeColor="text1"/>
              </w:rPr>
              <w:t>69.0</w:t>
            </w:r>
          </w:p>
        </w:tc>
        <w:tc>
          <w:tcPr>
            <w:tcW w:w="1044" w:type="dxa"/>
            <w:tcBorders>
              <w:top w:val="nil"/>
              <w:left w:val="nil"/>
              <w:bottom w:val="single" w:sz="4" w:space="0" w:color="1F497D" w:themeColor="text2"/>
              <w:right w:val="nil"/>
            </w:tcBorders>
            <w:shd w:val="clear" w:color="auto" w:fill="FFFFFF" w:themeFill="background1"/>
            <w:noWrap/>
            <w:vAlign w:val="center"/>
            <w:hideMark/>
          </w:tcPr>
          <w:p w14:paraId="26415B8E" w14:textId="77777777" w:rsidR="003E47C5" w:rsidRPr="005A6982" w:rsidRDefault="6C46FA98" w:rsidP="004E7CD7">
            <w:pPr>
              <w:pStyle w:val="NormalWeb"/>
              <w:spacing w:before="0" w:beforeAutospacing="0" w:after="0" w:afterAutospacing="0" w:line="360" w:lineRule="auto"/>
              <w:jc w:val="center"/>
              <w:rPr>
                <w:rFonts w:ascii="Calibri" w:hAnsi="Calibri" w:cs="Calibri"/>
              </w:rPr>
            </w:pPr>
            <w:r w:rsidRPr="005A6982">
              <w:rPr>
                <w:rFonts w:ascii="Calibri" w:eastAsiaTheme="minorEastAsia" w:hAnsi="Calibri" w:cs="Calibri"/>
                <w:color w:val="1F497D" w:themeColor="text2"/>
              </w:rPr>
              <w:t>-1.5</w:t>
            </w:r>
          </w:p>
        </w:tc>
      </w:tr>
      <w:tr w:rsidR="003E47C5" w:rsidRPr="005A6982" w14:paraId="4AC30F7F" w14:textId="77777777" w:rsidTr="006F18BC">
        <w:trPr>
          <w:gridAfter w:val="1"/>
          <w:wAfter w:w="876" w:type="dxa"/>
          <w:trHeight w:val="310"/>
        </w:trPr>
        <w:tc>
          <w:tcPr>
            <w:tcW w:w="3864" w:type="dxa"/>
            <w:gridSpan w:val="2"/>
            <w:tcBorders>
              <w:top w:val="nil"/>
              <w:left w:val="nil"/>
              <w:bottom w:val="single" w:sz="4" w:space="0" w:color="1F497D" w:themeColor="text2"/>
              <w:right w:val="nil"/>
            </w:tcBorders>
            <w:shd w:val="clear" w:color="auto" w:fill="FFFFFF" w:themeFill="background1"/>
            <w:vAlign w:val="center"/>
            <w:hideMark/>
          </w:tcPr>
          <w:p w14:paraId="34226BB4" w14:textId="77777777" w:rsidR="003E47C5" w:rsidRPr="005A6982" w:rsidRDefault="003E47C5" w:rsidP="004E7CD7">
            <w:pPr>
              <w:bidi/>
              <w:spacing w:after="0" w:line="360" w:lineRule="auto"/>
              <w:rPr>
                <w:rFonts w:ascii="Calibri" w:eastAsia="Times New Roman" w:hAnsi="Calibri" w:cs="Calibri"/>
                <w:color w:val="000000"/>
              </w:rPr>
            </w:pPr>
            <w:r w:rsidRPr="005A6982">
              <w:rPr>
                <w:rFonts w:ascii="Calibri" w:eastAsia="Times New Roman" w:hAnsi="Calibri" w:cs="Calibri"/>
                <w:color w:val="000000" w:themeColor="text1"/>
                <w:rtl/>
              </w:rPr>
              <w:t>אינפלציה</w:t>
            </w:r>
            <w:r w:rsidRPr="005A6982">
              <w:rPr>
                <w:rFonts w:ascii="Calibri" w:eastAsia="Times New Roman" w:hAnsi="Calibri" w:cs="Calibri"/>
                <w:color w:val="000000" w:themeColor="text1"/>
                <w:vertAlign w:val="superscript"/>
              </w:rPr>
              <w:t>3</w:t>
            </w:r>
          </w:p>
        </w:tc>
        <w:tc>
          <w:tcPr>
            <w:tcW w:w="900" w:type="dxa"/>
            <w:tcBorders>
              <w:top w:val="nil"/>
              <w:left w:val="nil"/>
              <w:bottom w:val="single" w:sz="4" w:space="0" w:color="1F497D" w:themeColor="text2"/>
              <w:right w:val="nil"/>
            </w:tcBorders>
            <w:shd w:val="clear" w:color="auto" w:fill="FFFFFF" w:themeFill="background1"/>
            <w:vAlign w:val="center"/>
          </w:tcPr>
          <w:p w14:paraId="278AB0BC" w14:textId="77777777" w:rsidR="003E47C5" w:rsidRPr="005A6982" w:rsidRDefault="003E47C5" w:rsidP="004E7CD7">
            <w:pPr>
              <w:bidi/>
              <w:spacing w:after="0" w:line="360" w:lineRule="auto"/>
              <w:jc w:val="center"/>
              <w:rPr>
                <w:rFonts w:ascii="Calibri" w:eastAsia="Times New Roman" w:hAnsi="Calibri" w:cs="Calibri"/>
                <w:b/>
                <w:bCs/>
                <w:color w:val="000000"/>
                <w:rtl/>
              </w:rPr>
            </w:pPr>
            <w:r w:rsidRPr="005A6982">
              <w:rPr>
                <w:rFonts w:ascii="Calibri" w:eastAsia="Times New Roman" w:hAnsi="Calibri" w:cs="Calibri"/>
                <w:b/>
                <w:bCs/>
                <w:color w:val="000000" w:themeColor="text1"/>
              </w:rPr>
              <w:t>2.5</w:t>
            </w:r>
          </w:p>
        </w:tc>
        <w:tc>
          <w:tcPr>
            <w:tcW w:w="975" w:type="dxa"/>
            <w:tcBorders>
              <w:top w:val="nil"/>
              <w:left w:val="nil"/>
              <w:bottom w:val="single" w:sz="4" w:space="0" w:color="1F497D" w:themeColor="text2"/>
              <w:right w:val="nil"/>
            </w:tcBorders>
            <w:shd w:val="clear" w:color="auto" w:fill="FFFFFF" w:themeFill="background1"/>
            <w:noWrap/>
            <w:vAlign w:val="center"/>
            <w:hideMark/>
          </w:tcPr>
          <w:p w14:paraId="0EAAD5B2"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b/>
                <w:bCs/>
                <w:color w:val="000000" w:themeColor="text1"/>
              </w:rPr>
            </w:pPr>
            <w:r w:rsidRPr="005A6982">
              <w:rPr>
                <w:rFonts w:ascii="Calibri" w:hAnsi="Calibri" w:cs="Calibri"/>
                <w:b/>
                <w:bCs/>
                <w:color w:val="000000" w:themeColor="text1"/>
                <w:kern w:val="24"/>
              </w:rPr>
              <w:t>1.</w:t>
            </w:r>
            <w:r w:rsidR="41D1D787" w:rsidRPr="005A6982">
              <w:rPr>
                <w:rFonts w:ascii="Calibri" w:hAnsi="Calibri" w:cs="Calibri"/>
                <w:b/>
                <w:bCs/>
                <w:color w:val="000000" w:themeColor="text1"/>
              </w:rPr>
              <w:t>8</w:t>
            </w:r>
          </w:p>
        </w:tc>
        <w:tc>
          <w:tcPr>
            <w:tcW w:w="960" w:type="dxa"/>
            <w:tcBorders>
              <w:top w:val="nil"/>
              <w:left w:val="nil"/>
              <w:bottom w:val="single" w:sz="4" w:space="0" w:color="1F497D" w:themeColor="text2"/>
              <w:right w:val="nil"/>
            </w:tcBorders>
            <w:shd w:val="clear" w:color="auto" w:fill="FFFFFF" w:themeFill="background1"/>
            <w:noWrap/>
            <w:vAlign w:val="center"/>
            <w:hideMark/>
          </w:tcPr>
          <w:p w14:paraId="4AD4C662" w14:textId="77777777" w:rsidR="003E47C5" w:rsidRPr="005A6982" w:rsidRDefault="3D5E45AD" w:rsidP="004E7CD7">
            <w:pPr>
              <w:pStyle w:val="NormalWeb"/>
              <w:spacing w:before="0" w:beforeAutospacing="0" w:after="0" w:afterAutospacing="0" w:line="360" w:lineRule="auto"/>
              <w:jc w:val="center"/>
              <w:rPr>
                <w:rFonts w:ascii="Calibri" w:hAnsi="Calibri" w:cs="Calibri"/>
              </w:rPr>
            </w:pPr>
            <w:r w:rsidRPr="005A6982">
              <w:rPr>
                <w:rFonts w:ascii="Calibri" w:eastAsiaTheme="minorEastAsia" w:hAnsi="Calibri" w:cs="Calibri"/>
                <w:color w:val="1F487C"/>
              </w:rPr>
              <w:t>-0.</w:t>
            </w:r>
            <w:r w:rsidR="651F05D9" w:rsidRPr="005A6982">
              <w:rPr>
                <w:rFonts w:ascii="Calibri" w:eastAsiaTheme="minorEastAsia" w:hAnsi="Calibri" w:cs="Calibri"/>
                <w:color w:val="1F487C"/>
              </w:rPr>
              <w:t>4</w:t>
            </w:r>
          </w:p>
        </w:tc>
        <w:tc>
          <w:tcPr>
            <w:tcW w:w="1030" w:type="dxa"/>
            <w:tcBorders>
              <w:top w:val="nil"/>
              <w:left w:val="nil"/>
              <w:bottom w:val="single" w:sz="4" w:space="0" w:color="1F497D" w:themeColor="text2"/>
              <w:right w:val="nil"/>
            </w:tcBorders>
            <w:shd w:val="clear" w:color="auto" w:fill="FFFFFF" w:themeFill="background1"/>
            <w:noWrap/>
            <w:vAlign w:val="center"/>
            <w:hideMark/>
          </w:tcPr>
          <w:p w14:paraId="5FCB8AB2"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hAnsi="Calibri" w:cs="Calibri"/>
                <w:b/>
                <w:bCs/>
                <w:color w:val="000000" w:themeColor="text1"/>
                <w:kern w:val="24"/>
                <w:rtl/>
              </w:rPr>
              <w:t>1.8</w:t>
            </w:r>
          </w:p>
        </w:tc>
        <w:tc>
          <w:tcPr>
            <w:tcW w:w="1044" w:type="dxa"/>
            <w:tcBorders>
              <w:top w:val="nil"/>
              <w:left w:val="nil"/>
              <w:bottom w:val="single" w:sz="4" w:space="0" w:color="1F497D" w:themeColor="text2"/>
              <w:right w:val="nil"/>
            </w:tcBorders>
            <w:shd w:val="clear" w:color="auto" w:fill="FFFFFF" w:themeFill="background1"/>
            <w:noWrap/>
            <w:vAlign w:val="center"/>
            <w:hideMark/>
          </w:tcPr>
          <w:p w14:paraId="1E94BA7D" w14:textId="77777777" w:rsidR="003E47C5" w:rsidRPr="005A6982" w:rsidRDefault="003E47C5" w:rsidP="004E7CD7">
            <w:pPr>
              <w:pStyle w:val="NormalWeb"/>
              <w:spacing w:before="0" w:beforeAutospacing="0" w:after="0" w:afterAutospacing="0" w:line="360" w:lineRule="auto"/>
              <w:jc w:val="center"/>
              <w:textAlignment w:val="center"/>
              <w:rPr>
                <w:rFonts w:ascii="Calibri" w:hAnsi="Calibri" w:cs="Calibri"/>
                <w:rtl/>
              </w:rPr>
            </w:pPr>
            <w:r w:rsidRPr="005A6982">
              <w:rPr>
                <w:rFonts w:ascii="Calibri" w:eastAsiaTheme="minorEastAsia" w:hAnsi="Calibri" w:cs="Calibri"/>
                <w:color w:val="1F497D"/>
                <w:kern w:val="24"/>
                <w:rtl/>
              </w:rPr>
              <w:t>0.0</w:t>
            </w:r>
          </w:p>
        </w:tc>
      </w:tr>
      <w:tr w:rsidR="003E47C5" w:rsidRPr="005A6982" w14:paraId="06E7AF94" w14:textId="77777777" w:rsidTr="006F18BC">
        <w:trPr>
          <w:trHeight w:hRule="exact" w:val="347"/>
        </w:trPr>
        <w:tc>
          <w:tcPr>
            <w:tcW w:w="223" w:type="dxa"/>
            <w:tcBorders>
              <w:left w:val="nil"/>
              <w:bottom w:val="nil"/>
              <w:right w:val="nil"/>
            </w:tcBorders>
            <w:shd w:val="clear" w:color="auto" w:fill="FFFFFF" w:themeFill="background1"/>
          </w:tcPr>
          <w:p w14:paraId="38365CEB" w14:textId="77777777" w:rsidR="003E47C5" w:rsidRPr="005A6982" w:rsidRDefault="003E47C5" w:rsidP="004E7CD7">
            <w:pPr>
              <w:bidi/>
              <w:spacing w:after="0" w:line="360" w:lineRule="auto"/>
              <w:rPr>
                <w:rFonts w:ascii="Calibri" w:eastAsia="Times New Roman" w:hAnsi="Calibri" w:cs="Calibri"/>
                <w:color w:val="000000"/>
                <w:vertAlign w:val="superscript"/>
                <w:rtl/>
              </w:rPr>
            </w:pPr>
          </w:p>
        </w:tc>
        <w:tc>
          <w:tcPr>
            <w:tcW w:w="9426" w:type="dxa"/>
            <w:gridSpan w:val="7"/>
            <w:tcBorders>
              <w:left w:val="nil"/>
              <w:bottom w:val="nil"/>
              <w:right w:val="nil"/>
            </w:tcBorders>
            <w:shd w:val="clear" w:color="auto" w:fill="FFFFFF" w:themeFill="background1"/>
            <w:noWrap/>
            <w:vAlign w:val="center"/>
            <w:hideMark/>
          </w:tcPr>
          <w:p w14:paraId="18977EC9" w14:textId="77777777" w:rsidR="003E47C5" w:rsidRPr="005A6982" w:rsidRDefault="003E47C5" w:rsidP="004E7CD7">
            <w:pPr>
              <w:bidi/>
              <w:spacing w:after="0" w:line="360" w:lineRule="auto"/>
              <w:rPr>
                <w:rFonts w:ascii="Calibri" w:eastAsia="Times New Roman" w:hAnsi="Calibri" w:cs="Calibri"/>
                <w:color w:val="000000"/>
                <w:rtl/>
              </w:rPr>
            </w:pPr>
            <w:r w:rsidRPr="005A6982">
              <w:rPr>
                <w:rFonts w:ascii="Calibri" w:eastAsia="Times New Roman" w:hAnsi="Calibri" w:cs="Calibri"/>
                <w:color w:val="000000" w:themeColor="text1"/>
                <w:vertAlign w:val="superscript"/>
              </w:rPr>
              <w:t>1</w:t>
            </w:r>
            <w:r w:rsidRPr="005A6982">
              <w:rPr>
                <w:rFonts w:ascii="Calibri" w:eastAsia="Times New Roman" w:hAnsi="Calibri" w:cs="Calibri"/>
                <w:color w:val="000000" w:themeColor="text1"/>
                <w:rtl/>
              </w:rPr>
              <w:t xml:space="preserve"> התחזית לרכיבי החשבונאות הלאומית ולחוב הציבורי מעוגלת לחצי נקודת אחוז.</w:t>
            </w:r>
          </w:p>
        </w:tc>
      </w:tr>
      <w:tr w:rsidR="003E47C5" w:rsidRPr="005A6982" w14:paraId="57D521E9" w14:textId="77777777" w:rsidTr="006F18BC">
        <w:trPr>
          <w:trHeight w:hRule="exact" w:val="907"/>
        </w:trPr>
        <w:tc>
          <w:tcPr>
            <w:tcW w:w="223" w:type="dxa"/>
            <w:tcBorders>
              <w:left w:val="nil"/>
              <w:bottom w:val="nil"/>
              <w:right w:val="nil"/>
            </w:tcBorders>
            <w:shd w:val="clear" w:color="auto" w:fill="FFFFFF" w:themeFill="background1"/>
          </w:tcPr>
          <w:p w14:paraId="014769FB" w14:textId="77777777" w:rsidR="003E47C5" w:rsidRPr="005A6982" w:rsidRDefault="003E47C5" w:rsidP="004E7CD7">
            <w:pPr>
              <w:bidi/>
              <w:spacing w:after="0" w:line="360" w:lineRule="auto"/>
              <w:rPr>
                <w:rFonts w:ascii="Calibri" w:eastAsia="Times New Roman" w:hAnsi="Calibri" w:cs="Calibri"/>
                <w:color w:val="000000"/>
                <w:vertAlign w:val="superscript"/>
                <w:rtl/>
              </w:rPr>
            </w:pPr>
          </w:p>
        </w:tc>
        <w:tc>
          <w:tcPr>
            <w:tcW w:w="9426" w:type="dxa"/>
            <w:gridSpan w:val="7"/>
            <w:tcBorders>
              <w:left w:val="nil"/>
              <w:bottom w:val="nil"/>
              <w:right w:val="nil"/>
            </w:tcBorders>
            <w:shd w:val="clear" w:color="auto" w:fill="FFFFFF" w:themeFill="background1"/>
            <w:noWrap/>
            <w:vAlign w:val="center"/>
          </w:tcPr>
          <w:p w14:paraId="2BB971EA" w14:textId="77777777" w:rsidR="003E47C5" w:rsidRPr="005A6982" w:rsidRDefault="003E47C5" w:rsidP="004E7CD7">
            <w:pPr>
              <w:bidi/>
              <w:spacing w:after="0" w:line="360" w:lineRule="auto"/>
              <w:rPr>
                <w:rFonts w:ascii="Calibri" w:eastAsia="Times New Roman" w:hAnsi="Calibri" w:cs="Calibri"/>
                <w:color w:val="000000"/>
                <w:rtl/>
              </w:rPr>
            </w:pPr>
            <w:proofErr w:type="gramStart"/>
            <w:r w:rsidRPr="005A6982">
              <w:rPr>
                <w:rFonts w:ascii="Calibri" w:eastAsia="Times New Roman" w:hAnsi="Calibri" w:cs="Calibri"/>
                <w:color w:val="000000" w:themeColor="text1"/>
                <w:vertAlign w:val="superscript"/>
              </w:rPr>
              <w:t>2</w:t>
            </w:r>
            <w:r w:rsidRPr="005A6982">
              <w:rPr>
                <w:rFonts w:ascii="Calibri" w:eastAsia="Times New Roman" w:hAnsi="Calibri" w:cs="Calibri"/>
                <w:color w:val="000000" w:themeColor="text1"/>
                <w:vertAlign w:val="superscript"/>
                <w:rtl/>
              </w:rPr>
              <w:t xml:space="preserve"> </w:t>
            </w:r>
            <w:r w:rsidRPr="005A6982">
              <w:rPr>
                <w:rFonts w:ascii="Calibri" w:eastAsia="Times New Roman" w:hAnsi="Calibri" w:cs="Calibri"/>
                <w:color w:val="000000" w:themeColor="text1"/>
                <w:rtl/>
              </w:rPr>
              <w:t xml:space="preserve"> </w:t>
            </w:r>
            <w:r w:rsidRPr="005A6982">
              <w:rPr>
                <w:rFonts w:ascii="Calibri" w:hAnsi="Calibri" w:cs="Calibri"/>
                <w:rtl/>
              </w:rPr>
              <w:t xml:space="preserve"> </w:t>
            </w:r>
            <w:r w:rsidRPr="005A6982">
              <w:rPr>
                <w:rFonts w:ascii="Calibri" w:eastAsia="Times New Roman" w:hAnsi="Calibri" w:cs="Calibri"/>
                <w:color w:val="000000" w:themeColor="text1"/>
                <w:rtl/>
              </w:rPr>
              <w:t>ממוצע</w:t>
            </w:r>
            <w:proofErr w:type="gramEnd"/>
            <w:r w:rsidRPr="005A6982">
              <w:rPr>
                <w:rFonts w:ascii="Calibri" w:eastAsia="Times New Roman" w:hAnsi="Calibri" w:cs="Calibri"/>
                <w:color w:val="000000" w:themeColor="text1"/>
                <w:rtl/>
              </w:rPr>
              <w:t xml:space="preserve"> שנתי. בהתאם להגדרה של </w:t>
            </w:r>
            <w:proofErr w:type="spellStart"/>
            <w:r w:rsidRPr="005A6982">
              <w:rPr>
                <w:rFonts w:ascii="Calibri" w:eastAsia="Times New Roman" w:hAnsi="Calibri" w:cs="Calibri"/>
                <w:color w:val="000000" w:themeColor="text1"/>
                <w:rtl/>
              </w:rPr>
              <w:t>הלמ"ס</w:t>
            </w:r>
            <w:proofErr w:type="spellEnd"/>
            <w:r w:rsidRPr="005A6982">
              <w:rPr>
                <w:rFonts w:ascii="Calibri" w:eastAsia="Times New Roman" w:hAnsi="Calibri" w:cs="Calibri"/>
                <w:color w:val="000000" w:themeColor="text1"/>
                <w:rtl/>
              </w:rPr>
              <w:t xml:space="preserve">, שיעור האבטלה הרחבה כולל את המובטלים בהגדרתם הרגילה (מי שלא עבדו, רצו לעבוד, היו פנויים </w:t>
            </w:r>
          </w:p>
          <w:p w14:paraId="0453EC8A" w14:textId="77777777" w:rsidR="003E47C5" w:rsidRPr="005A6982" w:rsidRDefault="003E47C5" w:rsidP="004E7CD7">
            <w:pPr>
              <w:bidi/>
              <w:spacing w:after="0" w:line="360" w:lineRule="auto"/>
              <w:rPr>
                <w:rFonts w:ascii="Calibri" w:eastAsia="Times New Roman" w:hAnsi="Calibri" w:cs="Calibri"/>
                <w:color w:val="000000"/>
                <w:rtl/>
              </w:rPr>
            </w:pPr>
            <w:r w:rsidRPr="005A6982">
              <w:rPr>
                <w:rFonts w:ascii="Calibri" w:eastAsia="Times New Roman" w:hAnsi="Calibri" w:cs="Calibri"/>
                <w:color w:val="000000" w:themeColor="text1"/>
                <w:rtl/>
              </w:rPr>
              <w:t xml:space="preserve">לעבודה, וחיפשו עבודה) ואת המועסקים שנעדרים זמנית מעבודתם מסיבות כלכליות (כולל עובדים בחל"ת). בהתאם, שיעור התעסוקה המותאם אינו כולל </w:t>
            </w:r>
          </w:p>
          <w:p w14:paraId="22A61089" w14:textId="77777777" w:rsidR="003E47C5" w:rsidRPr="005A6982" w:rsidRDefault="003E47C5" w:rsidP="004E7CD7">
            <w:pPr>
              <w:tabs>
                <w:tab w:val="left" w:pos="8614"/>
              </w:tabs>
              <w:bidi/>
              <w:spacing w:after="0" w:line="360" w:lineRule="auto"/>
              <w:ind w:right="598"/>
              <w:rPr>
                <w:rFonts w:ascii="Calibri" w:eastAsia="Times New Roman" w:hAnsi="Calibri" w:cs="Calibri"/>
                <w:color w:val="000000"/>
                <w:rtl/>
              </w:rPr>
            </w:pPr>
            <w:r w:rsidRPr="005A6982">
              <w:rPr>
                <w:rFonts w:ascii="Calibri" w:eastAsia="Times New Roman" w:hAnsi="Calibri" w:cs="Calibri"/>
                <w:color w:val="000000" w:themeColor="text1"/>
                <w:rtl/>
              </w:rPr>
              <w:t>את הנעדרים זמנית מסיבות כלכליות.</w:t>
            </w:r>
            <w:r w:rsidR="00E70421" w:rsidRPr="005A6982">
              <w:rPr>
                <w:rFonts w:ascii="Calibri" w:eastAsia="Times New Roman" w:hAnsi="Calibri" w:cs="Calibri"/>
                <w:color w:val="000000" w:themeColor="text1"/>
                <w:rtl/>
              </w:rPr>
              <w:t xml:space="preserve"> שיעור האבטלה הממוצע בשנת </w:t>
            </w:r>
            <w:r w:rsidR="00E70421" w:rsidRPr="005A6982">
              <w:rPr>
                <w:rFonts w:ascii="Calibri" w:eastAsia="Times New Roman" w:hAnsi="Calibri" w:cs="Calibri"/>
                <w:color w:val="000000" w:themeColor="text1"/>
              </w:rPr>
              <w:t>2026</w:t>
            </w:r>
            <w:r w:rsidR="00E70421" w:rsidRPr="005A6982">
              <w:rPr>
                <w:rFonts w:ascii="Calibri" w:eastAsia="Times New Roman" w:hAnsi="Calibri" w:cs="Calibri"/>
                <w:color w:val="000000" w:themeColor="text1"/>
                <w:rtl/>
              </w:rPr>
              <w:t xml:space="preserve"> מושפע במידה רבה מחודשי הלחימה מול איראן, </w:t>
            </w:r>
            <w:r w:rsidR="00F30241" w:rsidRPr="005A6982">
              <w:rPr>
                <w:rFonts w:ascii="Calibri" w:eastAsia="Times New Roman" w:hAnsi="Calibri" w:cs="Calibri"/>
                <w:color w:val="000000" w:themeColor="text1"/>
                <w:rtl/>
              </w:rPr>
              <w:t>במחצית השנייה</w:t>
            </w:r>
            <w:r w:rsidR="00E70421" w:rsidRPr="005A6982">
              <w:rPr>
                <w:rFonts w:ascii="Calibri" w:eastAsia="Times New Roman" w:hAnsi="Calibri" w:cs="Calibri"/>
                <w:color w:val="000000" w:themeColor="text1"/>
                <w:rtl/>
              </w:rPr>
              <w:t xml:space="preserve"> של </w:t>
            </w:r>
            <w:r w:rsidR="00E70421" w:rsidRPr="005A6982">
              <w:rPr>
                <w:rFonts w:ascii="Calibri" w:eastAsia="Times New Roman" w:hAnsi="Calibri" w:cs="Calibri"/>
                <w:color w:val="000000" w:themeColor="text1"/>
              </w:rPr>
              <w:t>2026</w:t>
            </w:r>
            <w:r w:rsidR="00E70421" w:rsidRPr="005A6982">
              <w:rPr>
                <w:rFonts w:ascii="Calibri" w:eastAsia="Times New Roman" w:hAnsi="Calibri" w:cs="Calibri"/>
                <w:color w:val="000000" w:themeColor="text1"/>
                <w:rtl/>
              </w:rPr>
              <w:t xml:space="preserve"> הוא </w:t>
            </w:r>
            <w:r w:rsidR="006F18BC" w:rsidRPr="005A6982">
              <w:rPr>
                <w:rFonts w:ascii="Calibri" w:eastAsia="Times New Roman" w:hAnsi="Calibri" w:cs="Calibri" w:hint="cs"/>
                <w:color w:val="000000" w:themeColor="text1"/>
                <w:rtl/>
              </w:rPr>
              <w:t>צפוי</w:t>
            </w:r>
            <w:r w:rsidR="001237F9" w:rsidRPr="005A6982">
              <w:rPr>
                <w:rFonts w:ascii="Calibri" w:eastAsia="Times New Roman" w:hAnsi="Calibri" w:cs="Calibri"/>
                <w:color w:val="000000" w:themeColor="text1"/>
                <w:rtl/>
              </w:rPr>
              <w:t xml:space="preserve"> לעמוד בממוצע על</w:t>
            </w:r>
            <w:r w:rsidR="001237F9" w:rsidRPr="005A6982">
              <w:rPr>
                <w:rFonts w:ascii="Calibri" w:hAnsi="Calibri" w:cs="Calibri"/>
                <w:color w:val="000000"/>
                <w:rtl/>
              </w:rPr>
              <w:t xml:space="preserve"> 3%.</w:t>
            </w:r>
          </w:p>
        </w:tc>
      </w:tr>
      <w:tr w:rsidR="003E47C5" w:rsidRPr="005A6982" w14:paraId="5CBAE11A" w14:textId="77777777" w:rsidTr="006F18BC">
        <w:trPr>
          <w:trHeight w:val="310"/>
        </w:trPr>
        <w:tc>
          <w:tcPr>
            <w:tcW w:w="223" w:type="dxa"/>
            <w:tcBorders>
              <w:top w:val="nil"/>
              <w:left w:val="nil"/>
              <w:bottom w:val="nil"/>
              <w:right w:val="nil"/>
            </w:tcBorders>
            <w:shd w:val="clear" w:color="auto" w:fill="FFFFFF" w:themeFill="background1"/>
          </w:tcPr>
          <w:p w14:paraId="2682CA70" w14:textId="77777777" w:rsidR="003E47C5" w:rsidRPr="005A6982" w:rsidRDefault="003E47C5" w:rsidP="004E7CD7">
            <w:pPr>
              <w:bidi/>
              <w:spacing w:after="0" w:line="360" w:lineRule="auto"/>
              <w:rPr>
                <w:rFonts w:ascii="Calibri" w:eastAsia="Times New Roman" w:hAnsi="Calibri" w:cs="Calibri"/>
                <w:color w:val="000000"/>
                <w:vertAlign w:val="superscript"/>
                <w:rtl/>
              </w:rPr>
            </w:pPr>
          </w:p>
        </w:tc>
        <w:tc>
          <w:tcPr>
            <w:tcW w:w="9426" w:type="dxa"/>
            <w:gridSpan w:val="7"/>
            <w:tcBorders>
              <w:top w:val="nil"/>
              <w:left w:val="nil"/>
              <w:bottom w:val="nil"/>
              <w:right w:val="nil"/>
            </w:tcBorders>
            <w:shd w:val="clear" w:color="auto" w:fill="FFFFFF" w:themeFill="background1"/>
            <w:noWrap/>
            <w:vAlign w:val="bottom"/>
            <w:hideMark/>
          </w:tcPr>
          <w:p w14:paraId="029D044E" w14:textId="77777777" w:rsidR="003E47C5" w:rsidRPr="005A6982" w:rsidRDefault="003E47C5" w:rsidP="004E7CD7">
            <w:pPr>
              <w:bidi/>
              <w:spacing w:after="0" w:line="360" w:lineRule="auto"/>
              <w:rPr>
                <w:rFonts w:ascii="Calibri" w:eastAsia="Times New Roman" w:hAnsi="Calibri" w:cs="Calibri"/>
                <w:color w:val="000000"/>
                <w:rtl/>
              </w:rPr>
            </w:pPr>
            <w:proofErr w:type="gramStart"/>
            <w:r w:rsidRPr="005A6982">
              <w:rPr>
                <w:rFonts w:ascii="Calibri" w:eastAsia="Times New Roman" w:hAnsi="Calibri" w:cs="Calibri"/>
                <w:color w:val="000000" w:themeColor="text1"/>
                <w:vertAlign w:val="superscript"/>
              </w:rPr>
              <w:t>3</w:t>
            </w:r>
            <w:r w:rsidRPr="005A6982">
              <w:rPr>
                <w:rFonts w:ascii="Calibri" w:eastAsia="Times New Roman" w:hAnsi="Calibri" w:cs="Calibri"/>
                <w:color w:val="000000" w:themeColor="text1"/>
                <w:rtl/>
              </w:rPr>
              <w:t xml:space="preserve"> הממוצע</w:t>
            </w:r>
            <w:proofErr w:type="gramEnd"/>
            <w:r w:rsidRPr="005A6982">
              <w:rPr>
                <w:rFonts w:ascii="Calibri" w:eastAsia="Times New Roman" w:hAnsi="Calibri" w:cs="Calibri"/>
                <w:color w:val="000000" w:themeColor="text1"/>
                <w:rtl/>
              </w:rPr>
              <w:t xml:space="preserve"> של מדד המחירים לצרכן ברבעון האחרון בשנה לעומת הממוצע ברבעון האחרון בשנה הקודמת.</w:t>
            </w:r>
          </w:p>
        </w:tc>
      </w:tr>
    </w:tbl>
    <w:p w14:paraId="085A8834" w14:textId="77777777" w:rsidR="009B63D0" w:rsidRPr="005A6982" w:rsidRDefault="009B63D0" w:rsidP="004E7CD7">
      <w:pPr>
        <w:spacing w:line="360" w:lineRule="auto"/>
        <w:rPr>
          <w:rFonts w:ascii="Calibri" w:hAnsi="Calibri" w:cs="Calibri"/>
        </w:rPr>
      </w:pPr>
    </w:p>
    <w:p w14:paraId="1427F0A2" w14:textId="77777777" w:rsidR="00117D7A" w:rsidRPr="005A6982" w:rsidRDefault="00117D7A" w:rsidP="004E7CD7">
      <w:pPr>
        <w:pStyle w:val="a"/>
        <w:rPr>
          <w:rFonts w:ascii="Calibri" w:hAnsi="Calibri" w:cs="Calibri"/>
          <w:b/>
          <w:sz w:val="24"/>
          <w:rtl/>
        </w:rPr>
      </w:pPr>
      <w:r w:rsidRPr="005A6982">
        <w:rPr>
          <w:rFonts w:ascii="Calibri" w:hAnsi="Calibri" w:cs="Calibri"/>
          <w:b/>
          <w:sz w:val="24"/>
          <w:rtl/>
        </w:rPr>
        <w:t>הפעילות הריאלית בישראל</w:t>
      </w:r>
    </w:p>
    <w:p w14:paraId="5B47441A" w14:textId="77777777" w:rsidR="00005680" w:rsidRPr="005A6982" w:rsidRDefault="00117D7A" w:rsidP="004E7CD7">
      <w:pPr>
        <w:bidi/>
        <w:spacing w:after="120" w:line="360" w:lineRule="auto"/>
        <w:jc w:val="both"/>
        <w:rPr>
          <w:rFonts w:ascii="Calibri" w:hAnsi="Calibri" w:cs="Calibri"/>
          <w:rtl/>
        </w:rPr>
      </w:pPr>
      <w:r w:rsidRPr="005A6982">
        <w:rPr>
          <w:rFonts w:ascii="Calibri" w:hAnsi="Calibri" w:cs="Calibri"/>
          <w:b/>
          <w:bCs/>
          <w:rtl/>
        </w:rPr>
        <w:t>התוצר צפוי לצמוח ב־</w:t>
      </w:r>
      <w:r w:rsidR="001F7856" w:rsidRPr="005A6982">
        <w:rPr>
          <w:rFonts w:ascii="Calibri" w:hAnsi="Calibri" w:cs="Calibri"/>
          <w:b/>
          <w:bCs/>
        </w:rPr>
        <w:t>4.0</w:t>
      </w:r>
      <w:r w:rsidRPr="005A6982">
        <w:rPr>
          <w:rFonts w:ascii="Calibri" w:hAnsi="Calibri" w:cs="Calibri"/>
          <w:b/>
          <w:bCs/>
        </w:rPr>
        <w:t>%</w:t>
      </w:r>
      <w:r w:rsidRPr="005A6982">
        <w:rPr>
          <w:rFonts w:ascii="Calibri" w:hAnsi="Calibri" w:cs="Calibri"/>
          <w:b/>
          <w:bCs/>
          <w:rtl/>
        </w:rPr>
        <w:t xml:space="preserve"> בשנת </w:t>
      </w:r>
      <w:r w:rsidRPr="005A6982">
        <w:rPr>
          <w:rFonts w:ascii="Calibri" w:hAnsi="Calibri" w:cs="Calibri"/>
          <w:b/>
          <w:bCs/>
        </w:rPr>
        <w:t>2026</w:t>
      </w:r>
      <w:r w:rsidRPr="005A6982">
        <w:rPr>
          <w:rFonts w:ascii="Calibri" w:hAnsi="Calibri" w:cs="Calibri"/>
          <w:b/>
          <w:bCs/>
          <w:rtl/>
        </w:rPr>
        <w:t xml:space="preserve"> </w:t>
      </w:r>
      <w:proofErr w:type="spellStart"/>
      <w:r w:rsidRPr="005A6982">
        <w:rPr>
          <w:rFonts w:ascii="Calibri" w:hAnsi="Calibri" w:cs="Calibri"/>
          <w:b/>
          <w:bCs/>
          <w:rtl/>
        </w:rPr>
        <w:t>וב</w:t>
      </w:r>
      <w:proofErr w:type="spellEnd"/>
      <w:r w:rsidRPr="005A6982">
        <w:rPr>
          <w:rFonts w:ascii="Calibri" w:hAnsi="Calibri" w:cs="Calibri"/>
          <w:b/>
          <w:bCs/>
          <w:rtl/>
        </w:rPr>
        <w:t>־</w:t>
      </w:r>
      <w:r w:rsidRPr="005A6982">
        <w:rPr>
          <w:rFonts w:ascii="Calibri" w:hAnsi="Calibri" w:cs="Calibri"/>
          <w:b/>
          <w:bCs/>
        </w:rPr>
        <w:t>5.5%</w:t>
      </w:r>
      <w:r w:rsidRPr="005A6982">
        <w:rPr>
          <w:rFonts w:ascii="Calibri" w:hAnsi="Calibri" w:cs="Calibri"/>
          <w:b/>
          <w:bCs/>
          <w:rtl/>
        </w:rPr>
        <w:t xml:space="preserve"> בשנת </w:t>
      </w:r>
      <w:r w:rsidRPr="005A6982">
        <w:rPr>
          <w:rFonts w:ascii="Calibri" w:hAnsi="Calibri" w:cs="Calibri"/>
          <w:b/>
          <w:bCs/>
        </w:rPr>
        <w:t>2027</w:t>
      </w:r>
      <w:r w:rsidRPr="005A6982">
        <w:rPr>
          <w:rFonts w:ascii="Calibri" w:hAnsi="Calibri" w:cs="Calibri"/>
          <w:b/>
          <w:bCs/>
          <w:rtl/>
        </w:rPr>
        <w:t xml:space="preserve"> </w:t>
      </w:r>
      <w:r w:rsidRPr="005A6982">
        <w:rPr>
          <w:rFonts w:ascii="Calibri" w:hAnsi="Calibri" w:cs="Calibri"/>
          <w:rtl/>
        </w:rPr>
        <w:t xml:space="preserve">(לוח </w:t>
      </w:r>
      <w:r w:rsidRPr="005A6982">
        <w:rPr>
          <w:rFonts w:ascii="Calibri" w:hAnsi="Calibri" w:cs="Calibri"/>
        </w:rPr>
        <w:t>1</w:t>
      </w:r>
      <w:r w:rsidRPr="005A6982">
        <w:rPr>
          <w:rFonts w:ascii="Calibri" w:hAnsi="Calibri" w:cs="Calibri"/>
          <w:rtl/>
        </w:rPr>
        <w:t xml:space="preserve">). </w:t>
      </w:r>
      <w:r w:rsidR="001F7856" w:rsidRPr="005A6982">
        <w:rPr>
          <w:rFonts w:ascii="Calibri" w:hAnsi="Calibri" w:cs="Calibri"/>
          <w:rtl/>
        </w:rPr>
        <w:t>העד</w:t>
      </w:r>
      <w:r w:rsidR="002C2288" w:rsidRPr="005A6982">
        <w:rPr>
          <w:rFonts w:ascii="Calibri" w:hAnsi="Calibri" w:cs="Calibri"/>
          <w:rtl/>
        </w:rPr>
        <w:t>כ</w:t>
      </w:r>
      <w:r w:rsidR="001F7856" w:rsidRPr="005A6982">
        <w:rPr>
          <w:rFonts w:ascii="Calibri" w:hAnsi="Calibri" w:cs="Calibri"/>
          <w:rtl/>
        </w:rPr>
        <w:t xml:space="preserve">ון כלפי מעלה ביחס לתחזית הקודמת </w:t>
      </w:r>
      <w:r w:rsidR="009971B8" w:rsidRPr="005A6982">
        <w:rPr>
          <w:rFonts w:ascii="Calibri" w:hAnsi="Calibri" w:cs="Calibri"/>
          <w:rtl/>
        </w:rPr>
        <w:t xml:space="preserve">(צמיחה של </w:t>
      </w:r>
      <w:r w:rsidR="009971B8" w:rsidRPr="005A6982">
        <w:rPr>
          <w:rFonts w:ascii="Calibri" w:hAnsi="Calibri" w:cs="Calibri"/>
        </w:rPr>
        <w:t>4%</w:t>
      </w:r>
      <w:r w:rsidR="009971B8" w:rsidRPr="005A6982">
        <w:rPr>
          <w:rFonts w:ascii="Calibri" w:hAnsi="Calibri" w:cs="Calibri"/>
          <w:rtl/>
        </w:rPr>
        <w:t xml:space="preserve"> ב-</w:t>
      </w:r>
      <w:r w:rsidR="009971B8" w:rsidRPr="005A6982">
        <w:rPr>
          <w:rFonts w:ascii="Calibri" w:hAnsi="Calibri" w:cs="Calibri"/>
        </w:rPr>
        <w:t>2026</w:t>
      </w:r>
      <w:r w:rsidR="009971B8" w:rsidRPr="005A6982">
        <w:rPr>
          <w:rFonts w:ascii="Calibri" w:hAnsi="Calibri" w:cs="Calibri"/>
          <w:rtl/>
        </w:rPr>
        <w:t xml:space="preserve"> לעומת </w:t>
      </w:r>
      <w:r w:rsidR="009971B8" w:rsidRPr="005A6982">
        <w:rPr>
          <w:rFonts w:ascii="Calibri" w:hAnsi="Calibri" w:cs="Calibri"/>
        </w:rPr>
        <w:t>3.8%</w:t>
      </w:r>
      <w:r w:rsidR="009971B8" w:rsidRPr="005A6982">
        <w:rPr>
          <w:rFonts w:ascii="Calibri" w:hAnsi="Calibri" w:cs="Calibri"/>
          <w:rtl/>
        </w:rPr>
        <w:t xml:space="preserve"> בתחזית מרץ) </w:t>
      </w:r>
      <w:r w:rsidR="001F7856" w:rsidRPr="005A6982">
        <w:rPr>
          <w:rFonts w:ascii="Calibri" w:hAnsi="Calibri" w:cs="Calibri"/>
          <w:rtl/>
        </w:rPr>
        <w:t xml:space="preserve">משקף </w:t>
      </w:r>
      <w:r w:rsidR="002C2288" w:rsidRPr="005A6982">
        <w:rPr>
          <w:rFonts w:ascii="Calibri" w:hAnsi="Calibri" w:cs="Calibri"/>
          <w:rtl/>
        </w:rPr>
        <w:t xml:space="preserve">בעיקר את השפעת נתוני החשבונאות הלאומית לרבעון הראשון, שהיו גבוהים מהערכתנו בתחזית מרץ. שחרור אנשי מילואים וחזרתם לתעסוקה, </w:t>
      </w:r>
      <w:r w:rsidR="00984702" w:rsidRPr="005A6982">
        <w:rPr>
          <w:rFonts w:ascii="Calibri" w:hAnsi="Calibri" w:cs="Calibri" w:hint="cs"/>
          <w:rtl/>
        </w:rPr>
        <w:t xml:space="preserve"> </w:t>
      </w:r>
      <w:r w:rsidR="00E7087E" w:rsidRPr="005A6982">
        <w:rPr>
          <w:rFonts w:ascii="Calibri" w:hAnsi="Calibri" w:cs="Calibri" w:hint="cs"/>
          <w:rtl/>
        </w:rPr>
        <w:t>מ</w:t>
      </w:r>
      <w:r w:rsidR="002C2288" w:rsidRPr="005A6982">
        <w:rPr>
          <w:rFonts w:ascii="Calibri" w:hAnsi="Calibri" w:cs="Calibri"/>
          <w:rtl/>
        </w:rPr>
        <w:t>קל</w:t>
      </w:r>
      <w:r w:rsidR="00E7087E" w:rsidRPr="005A6982">
        <w:rPr>
          <w:rFonts w:ascii="Calibri" w:hAnsi="Calibri" w:cs="Calibri" w:hint="cs"/>
          <w:rtl/>
        </w:rPr>
        <w:t>ים</w:t>
      </w:r>
      <w:r w:rsidR="002C2288" w:rsidRPr="005A6982">
        <w:rPr>
          <w:rFonts w:ascii="Calibri" w:hAnsi="Calibri" w:cs="Calibri"/>
          <w:rtl/>
        </w:rPr>
        <w:t xml:space="preserve"> </w:t>
      </w:r>
      <w:r w:rsidR="00E7087E" w:rsidRPr="005A6982">
        <w:rPr>
          <w:rFonts w:ascii="Calibri" w:hAnsi="Calibri" w:cs="Calibri" w:hint="cs"/>
          <w:rtl/>
        </w:rPr>
        <w:t xml:space="preserve">את </w:t>
      </w:r>
      <w:r w:rsidR="00005680" w:rsidRPr="005A6982">
        <w:rPr>
          <w:rFonts w:ascii="Calibri" w:hAnsi="Calibri" w:cs="Calibri"/>
          <w:rtl/>
        </w:rPr>
        <w:t xml:space="preserve">מגבלות ההיצע. אנו מעריכים כי תהיה התכנסות הדרגתית של התוצר לעבר </w:t>
      </w:r>
      <w:r w:rsidR="009529B5" w:rsidRPr="005A6982">
        <w:rPr>
          <w:rFonts w:ascii="Calibri" w:hAnsi="Calibri" w:cs="Calibri"/>
          <w:rtl/>
        </w:rPr>
        <w:t>המגמה אולם גם בקצה אופק התחזית</w:t>
      </w:r>
      <w:r w:rsidR="009971B8" w:rsidRPr="005A6982">
        <w:rPr>
          <w:rFonts w:ascii="Calibri" w:hAnsi="Calibri" w:cs="Calibri"/>
          <w:rtl/>
        </w:rPr>
        <w:t>,</w:t>
      </w:r>
      <w:r w:rsidR="009529B5" w:rsidRPr="005A6982">
        <w:rPr>
          <w:rFonts w:ascii="Calibri" w:hAnsi="Calibri" w:cs="Calibri"/>
          <w:rtl/>
        </w:rPr>
        <w:t xml:space="preserve"> בסוף </w:t>
      </w:r>
      <w:r w:rsidR="009529B5" w:rsidRPr="005A6982">
        <w:rPr>
          <w:rFonts w:ascii="Calibri" w:hAnsi="Calibri" w:cs="Calibri"/>
        </w:rPr>
        <w:t>2027</w:t>
      </w:r>
      <w:r w:rsidR="009971B8" w:rsidRPr="005A6982">
        <w:rPr>
          <w:rFonts w:ascii="Calibri" w:hAnsi="Calibri" w:cs="Calibri"/>
          <w:rtl/>
        </w:rPr>
        <w:t>,</w:t>
      </w:r>
      <w:r w:rsidR="04E1A9E3" w:rsidRPr="005A6982">
        <w:rPr>
          <w:rFonts w:ascii="Calibri" w:hAnsi="Calibri" w:cs="Calibri"/>
          <w:rtl/>
        </w:rPr>
        <w:t xml:space="preserve"> התוצר יישאר מתחת לקו המגמה מכיוון </w:t>
      </w:r>
      <w:r w:rsidR="439293F6" w:rsidRPr="005A6982">
        <w:rPr>
          <w:rFonts w:ascii="Calibri" w:hAnsi="Calibri" w:cs="Calibri"/>
          <w:rtl/>
        </w:rPr>
        <w:t>ש</w:t>
      </w:r>
      <w:r w:rsidR="009971B8" w:rsidRPr="005A6982">
        <w:rPr>
          <w:rFonts w:ascii="Calibri" w:hAnsi="Calibri" w:cs="Calibri"/>
          <w:rtl/>
        </w:rPr>
        <w:t>היצע</w:t>
      </w:r>
      <w:r w:rsidR="009529B5" w:rsidRPr="005A6982">
        <w:rPr>
          <w:rFonts w:ascii="Calibri" w:hAnsi="Calibri" w:cs="Calibri"/>
          <w:rtl/>
        </w:rPr>
        <w:t xml:space="preserve"> העובדים </w:t>
      </w:r>
      <w:r w:rsidR="481E4459" w:rsidRPr="005A6982">
        <w:rPr>
          <w:rFonts w:ascii="Calibri" w:hAnsi="Calibri" w:cs="Calibri"/>
          <w:rtl/>
        </w:rPr>
        <w:t>עדיין צפוי להיות</w:t>
      </w:r>
      <w:r w:rsidR="009529B5" w:rsidRPr="005A6982">
        <w:rPr>
          <w:rFonts w:ascii="Calibri" w:hAnsi="Calibri" w:cs="Calibri"/>
          <w:rtl/>
        </w:rPr>
        <w:t xml:space="preserve"> נמוך ביחס לרמה הנגזרת ממגמת טרום-המלחמה</w:t>
      </w:r>
      <w:r w:rsidR="006F18BC" w:rsidRPr="005A6982">
        <w:rPr>
          <w:rFonts w:ascii="Calibri" w:hAnsi="Calibri" w:cs="Calibri" w:hint="cs"/>
          <w:rtl/>
        </w:rPr>
        <w:t>.</w:t>
      </w:r>
      <w:r w:rsidR="00E70421" w:rsidRPr="005A6982">
        <w:rPr>
          <w:rFonts w:ascii="Calibri" w:hAnsi="Calibri" w:cs="Calibri"/>
          <w:b/>
          <w:bCs/>
          <w:rtl/>
        </w:rPr>
        <w:t xml:space="preserve"> </w:t>
      </w:r>
      <w:r w:rsidR="00D76E55" w:rsidRPr="005A6982">
        <w:rPr>
          <w:rFonts w:ascii="Calibri" w:hAnsi="Calibri" w:cs="Calibri"/>
          <w:rtl/>
        </w:rPr>
        <w:t xml:space="preserve">זאת </w:t>
      </w:r>
      <w:r w:rsidR="00E70421" w:rsidRPr="005A6982">
        <w:rPr>
          <w:rFonts w:ascii="Calibri" w:hAnsi="Calibri" w:cs="Calibri"/>
          <w:rtl/>
        </w:rPr>
        <w:t xml:space="preserve">בשל היקף מילואים גבוה מאשר בעבר, </w:t>
      </w:r>
      <w:r w:rsidR="00D76E55" w:rsidRPr="005A6982">
        <w:rPr>
          <w:rFonts w:ascii="Calibri" w:hAnsi="Calibri" w:cs="Calibri"/>
          <w:rtl/>
        </w:rPr>
        <w:t xml:space="preserve">הישארותם של </w:t>
      </w:r>
      <w:r w:rsidR="00E70421" w:rsidRPr="005A6982">
        <w:rPr>
          <w:rFonts w:ascii="Calibri" w:hAnsi="Calibri" w:cs="Calibri"/>
          <w:rtl/>
        </w:rPr>
        <w:t>חלק מנפגעי מלחמה מחוץ לשוק העבודה ומאזן הגירה שלילי.</w:t>
      </w:r>
      <w:r w:rsidR="00005680" w:rsidRPr="005A6982">
        <w:rPr>
          <w:rFonts w:ascii="Calibri" w:hAnsi="Calibri" w:cs="Calibri"/>
          <w:b/>
          <w:bCs/>
          <w:rtl/>
        </w:rPr>
        <w:t xml:space="preserve"> </w:t>
      </w:r>
      <w:r w:rsidR="009529B5" w:rsidRPr="005A6982">
        <w:rPr>
          <w:rFonts w:ascii="Calibri" w:hAnsi="Calibri" w:cs="Calibri"/>
          <w:rtl/>
        </w:rPr>
        <w:t xml:space="preserve">על רקע ההקלה במגבלת ההיצע והירידה בסביבת הריבית, </w:t>
      </w:r>
      <w:r w:rsidRPr="005A6982">
        <w:rPr>
          <w:rFonts w:ascii="Calibri" w:hAnsi="Calibri" w:cs="Calibri"/>
          <w:rtl/>
        </w:rPr>
        <w:t>הצריכה הפרטית צפויה להתרחב ב־</w:t>
      </w:r>
      <w:r w:rsidRPr="005A6982">
        <w:rPr>
          <w:rFonts w:ascii="Calibri" w:hAnsi="Calibri" w:cs="Calibri"/>
        </w:rPr>
        <w:t>3.0%</w:t>
      </w:r>
      <w:r w:rsidRPr="005A6982">
        <w:rPr>
          <w:rFonts w:ascii="Calibri" w:hAnsi="Calibri" w:cs="Calibri"/>
          <w:rtl/>
        </w:rPr>
        <w:t xml:space="preserve"> בשנת </w:t>
      </w:r>
      <w:r w:rsidRPr="005A6982">
        <w:rPr>
          <w:rFonts w:ascii="Calibri" w:hAnsi="Calibri" w:cs="Calibri"/>
        </w:rPr>
        <w:t>2026</w:t>
      </w:r>
      <w:r w:rsidRPr="005A6982">
        <w:rPr>
          <w:rFonts w:ascii="Calibri" w:hAnsi="Calibri" w:cs="Calibri"/>
          <w:rtl/>
        </w:rPr>
        <w:t xml:space="preserve"> ו</w:t>
      </w:r>
      <w:r w:rsidR="1BE3A678" w:rsidRPr="005A6982">
        <w:rPr>
          <w:rFonts w:ascii="Calibri" w:hAnsi="Calibri" w:cs="Calibri"/>
          <w:rtl/>
        </w:rPr>
        <w:t>בשיעור מואץ של</w:t>
      </w:r>
      <w:r w:rsidR="1BE3A678" w:rsidRPr="005A6982">
        <w:rPr>
          <w:rFonts w:ascii="Calibri" w:hAnsi="Calibri" w:cs="Calibri"/>
          <w:b/>
          <w:bCs/>
          <w:rtl/>
        </w:rPr>
        <w:t xml:space="preserve"> </w:t>
      </w:r>
      <w:r w:rsidR="00005680" w:rsidRPr="005A6982">
        <w:rPr>
          <w:rFonts w:ascii="Calibri" w:hAnsi="Calibri" w:cs="Calibri"/>
        </w:rPr>
        <w:t>6.5%</w:t>
      </w:r>
      <w:r w:rsidRPr="005A6982">
        <w:rPr>
          <w:rFonts w:ascii="Calibri" w:hAnsi="Calibri" w:cs="Calibri"/>
          <w:rtl/>
        </w:rPr>
        <w:t xml:space="preserve"> בשנת </w:t>
      </w:r>
      <w:r w:rsidRPr="005A6982">
        <w:rPr>
          <w:rFonts w:ascii="Calibri" w:hAnsi="Calibri" w:cs="Calibri"/>
        </w:rPr>
        <w:t>2027</w:t>
      </w:r>
      <w:r w:rsidR="00005680" w:rsidRPr="005A6982">
        <w:rPr>
          <w:rFonts w:ascii="Calibri" w:hAnsi="Calibri" w:cs="Calibri"/>
          <w:rtl/>
        </w:rPr>
        <w:t>.</w:t>
      </w:r>
      <w:r w:rsidR="009B63D0" w:rsidRPr="005A6982">
        <w:rPr>
          <w:rFonts w:ascii="Calibri" w:hAnsi="Calibri" w:cs="Calibri"/>
          <w:rtl/>
        </w:rPr>
        <w:t xml:space="preserve"> </w:t>
      </w:r>
      <w:r w:rsidR="00005680" w:rsidRPr="005A6982">
        <w:rPr>
          <w:rFonts w:ascii="Calibri" w:hAnsi="Calibri" w:cs="Calibri"/>
          <w:rtl/>
        </w:rPr>
        <w:t xml:space="preserve">ההשקעות במשק צפויות לצמוח במהירות </w:t>
      </w:r>
      <w:r w:rsidR="00D76E55" w:rsidRPr="005A6982">
        <w:rPr>
          <w:rFonts w:ascii="Calibri" w:hAnsi="Calibri" w:cs="Calibri"/>
          <w:rtl/>
        </w:rPr>
        <w:t>ו</w:t>
      </w:r>
      <w:r w:rsidR="00005680" w:rsidRPr="005A6982">
        <w:rPr>
          <w:rFonts w:ascii="Calibri" w:hAnsi="Calibri" w:cs="Calibri"/>
          <w:rtl/>
        </w:rPr>
        <w:t>להשלים את פערי מלאי ההון שנוצרו, במגזר העסקי ובשוק הדיור. תהליך זה נתמך בהתאוששות בענף הבנייה עם חזרת מספר העובדים לרמתו ערב המלחמה, וכן באמצעות השקעה מוגברת במכונות וציוד. העדכון כלפי מטה בתחזית ההשקעה ב-</w:t>
      </w:r>
      <w:r w:rsidR="00005680" w:rsidRPr="005A6982">
        <w:rPr>
          <w:rFonts w:ascii="Calibri" w:hAnsi="Calibri" w:cs="Calibri"/>
        </w:rPr>
        <w:t>2027</w:t>
      </w:r>
      <w:r w:rsidR="00005680" w:rsidRPr="005A6982">
        <w:rPr>
          <w:rFonts w:ascii="Calibri" w:hAnsi="Calibri" w:cs="Calibri"/>
          <w:rtl/>
        </w:rPr>
        <w:t xml:space="preserve"> מבטא</w:t>
      </w:r>
      <w:r w:rsidR="78500AF2" w:rsidRPr="005A6982">
        <w:rPr>
          <w:rFonts w:ascii="Calibri" w:hAnsi="Calibri" w:cs="Calibri"/>
          <w:rtl/>
        </w:rPr>
        <w:t xml:space="preserve"> הערכה בדבר</w:t>
      </w:r>
      <w:r w:rsidR="00005680" w:rsidRPr="005A6982">
        <w:rPr>
          <w:rFonts w:ascii="Calibri" w:hAnsi="Calibri" w:cs="Calibri"/>
          <w:rtl/>
        </w:rPr>
        <w:t xml:space="preserve"> פריסה </w:t>
      </w:r>
      <w:r w:rsidR="04263177" w:rsidRPr="005A6982">
        <w:rPr>
          <w:rFonts w:ascii="Calibri" w:hAnsi="Calibri" w:cs="Calibri"/>
          <w:rtl/>
        </w:rPr>
        <w:t xml:space="preserve">הדרגתית יותר </w:t>
      </w:r>
      <w:r w:rsidR="00005680" w:rsidRPr="005A6982">
        <w:rPr>
          <w:rFonts w:ascii="Calibri" w:hAnsi="Calibri" w:cs="Calibri"/>
          <w:rtl/>
        </w:rPr>
        <w:t xml:space="preserve">של התאוששות </w:t>
      </w:r>
      <w:r w:rsidR="00D36180" w:rsidRPr="005A6982">
        <w:rPr>
          <w:rFonts w:ascii="Calibri" w:hAnsi="Calibri" w:cs="Calibri"/>
          <w:rtl/>
        </w:rPr>
        <w:t>ההשקעה</w:t>
      </w:r>
      <w:r w:rsidR="00005680" w:rsidRPr="005A6982">
        <w:rPr>
          <w:rFonts w:ascii="Calibri" w:hAnsi="Calibri" w:cs="Calibri"/>
          <w:rtl/>
        </w:rPr>
        <w:t xml:space="preserve">, </w:t>
      </w:r>
      <w:r w:rsidR="08F6727F" w:rsidRPr="005A6982">
        <w:rPr>
          <w:rFonts w:ascii="Calibri" w:hAnsi="Calibri" w:cs="Calibri"/>
          <w:rtl/>
        </w:rPr>
        <w:t xml:space="preserve">כך שהיא תימשך </w:t>
      </w:r>
      <w:r w:rsidR="00005680" w:rsidRPr="005A6982">
        <w:rPr>
          <w:rFonts w:ascii="Calibri" w:hAnsi="Calibri" w:cs="Calibri"/>
          <w:rtl/>
        </w:rPr>
        <w:t>גם מעבר לאופק התחזית. בהתאם לצרכי ההשקעה</w:t>
      </w:r>
      <w:r w:rsidR="00915FDF" w:rsidRPr="005A6982">
        <w:rPr>
          <w:rFonts w:ascii="Calibri" w:hAnsi="Calibri" w:cs="Calibri"/>
          <w:rtl/>
        </w:rPr>
        <w:t>, שהיא</w:t>
      </w:r>
      <w:r w:rsidR="00005680" w:rsidRPr="005A6982">
        <w:rPr>
          <w:rFonts w:ascii="Calibri" w:hAnsi="Calibri" w:cs="Calibri"/>
          <w:rtl/>
        </w:rPr>
        <w:t xml:space="preserve"> עתירת ייבוא, תחזית היבוא עודכנה </w:t>
      </w:r>
      <w:r w:rsidR="00D36180" w:rsidRPr="005A6982">
        <w:rPr>
          <w:rFonts w:ascii="Calibri" w:hAnsi="Calibri" w:cs="Calibri"/>
          <w:rtl/>
        </w:rPr>
        <w:t>באופן דומה</w:t>
      </w:r>
      <w:r w:rsidR="00005680" w:rsidRPr="005A6982">
        <w:rPr>
          <w:rFonts w:ascii="Calibri" w:hAnsi="Calibri" w:cs="Calibri"/>
          <w:rtl/>
        </w:rPr>
        <w:t xml:space="preserve">. </w:t>
      </w:r>
      <w:r w:rsidR="00D36180" w:rsidRPr="005A6982">
        <w:rPr>
          <w:rFonts w:ascii="Calibri" w:hAnsi="Calibri" w:cs="Calibri"/>
          <w:rtl/>
        </w:rPr>
        <w:t xml:space="preserve">כך, </w:t>
      </w:r>
      <w:r w:rsidR="003C2632" w:rsidRPr="005A6982">
        <w:rPr>
          <w:rFonts w:ascii="Calibri" w:hAnsi="Calibri" w:cs="Calibri"/>
          <w:rtl/>
        </w:rPr>
        <w:t xml:space="preserve">להערכתנו הירידה בעודף היצוא שנצפתה במהלך </w:t>
      </w:r>
      <w:r w:rsidR="003C2632" w:rsidRPr="005A6982">
        <w:rPr>
          <w:rFonts w:ascii="Calibri" w:hAnsi="Calibri" w:cs="Calibri"/>
        </w:rPr>
        <w:t>2025</w:t>
      </w:r>
      <w:r w:rsidR="003C2632" w:rsidRPr="005A6982">
        <w:rPr>
          <w:rFonts w:ascii="Calibri" w:hAnsi="Calibri" w:cs="Calibri"/>
          <w:rtl/>
        </w:rPr>
        <w:t xml:space="preserve"> תתמתן </w:t>
      </w:r>
      <w:r w:rsidR="00D36180" w:rsidRPr="005A6982">
        <w:rPr>
          <w:rFonts w:ascii="Calibri" w:hAnsi="Calibri" w:cs="Calibri"/>
          <w:rtl/>
        </w:rPr>
        <w:t>באופק התחזית</w:t>
      </w:r>
      <w:r w:rsidR="003C2632" w:rsidRPr="005A6982">
        <w:rPr>
          <w:rFonts w:ascii="Calibri" w:hAnsi="Calibri" w:cs="Calibri"/>
          <w:rtl/>
        </w:rPr>
        <w:t xml:space="preserve">, </w:t>
      </w:r>
      <w:r w:rsidR="00D36180" w:rsidRPr="005A6982">
        <w:rPr>
          <w:rFonts w:ascii="Calibri" w:hAnsi="Calibri" w:cs="Calibri"/>
          <w:rtl/>
        </w:rPr>
        <w:t xml:space="preserve">באופן </w:t>
      </w:r>
      <w:r w:rsidR="00D76E55" w:rsidRPr="005A6982">
        <w:rPr>
          <w:rFonts w:ascii="Calibri" w:hAnsi="Calibri" w:cs="Calibri"/>
          <w:rtl/>
        </w:rPr>
        <w:t xml:space="preserve">המתיישב </w:t>
      </w:r>
      <w:r w:rsidR="00D36180" w:rsidRPr="005A6982">
        <w:rPr>
          <w:rFonts w:ascii="Calibri" w:hAnsi="Calibri" w:cs="Calibri"/>
          <w:rtl/>
        </w:rPr>
        <w:t>עם ההקלה במגבלת ההיצע</w:t>
      </w:r>
      <w:r w:rsidR="00005680" w:rsidRPr="005A6982">
        <w:rPr>
          <w:rFonts w:ascii="Calibri" w:hAnsi="Calibri" w:cs="Calibri"/>
          <w:rtl/>
        </w:rPr>
        <w:t xml:space="preserve">. </w:t>
      </w:r>
      <w:r w:rsidR="006F18BC" w:rsidRPr="005A6982">
        <w:rPr>
          <w:rFonts w:ascii="Calibri" w:hAnsi="Calibri" w:cs="Calibri" w:hint="cs"/>
          <w:rtl/>
        </w:rPr>
        <w:t xml:space="preserve">גידול </w:t>
      </w:r>
      <w:r w:rsidR="00005680" w:rsidRPr="005A6982">
        <w:rPr>
          <w:rFonts w:ascii="Calibri" w:hAnsi="Calibri" w:cs="Calibri"/>
          <w:rtl/>
        </w:rPr>
        <w:t xml:space="preserve">הצריכה הציבורית צפוי להתמתן לאחר שנתיים של הוצאות מלחמה גבוהות, תוך שינוי בתמהיל לטובת הוצאות אזרחיות והתמתנות במחירי הצריכה הציבורית עקב הירידה </w:t>
      </w:r>
      <w:r w:rsidR="006F18BC" w:rsidRPr="005A6982">
        <w:rPr>
          <w:rFonts w:ascii="Calibri" w:hAnsi="Calibri" w:cs="Calibri"/>
          <w:rtl/>
        </w:rPr>
        <w:t>בהיק</w:t>
      </w:r>
      <w:r w:rsidR="006F18BC" w:rsidRPr="005A6982">
        <w:rPr>
          <w:rFonts w:ascii="Calibri" w:hAnsi="Calibri" w:cs="Calibri" w:hint="cs"/>
          <w:rtl/>
        </w:rPr>
        <w:t>ף</w:t>
      </w:r>
      <w:r w:rsidR="006F18BC" w:rsidRPr="005A6982">
        <w:rPr>
          <w:rFonts w:ascii="Calibri" w:hAnsi="Calibri" w:cs="Calibri"/>
          <w:rtl/>
        </w:rPr>
        <w:t xml:space="preserve"> </w:t>
      </w:r>
      <w:r w:rsidR="00005680" w:rsidRPr="005A6982">
        <w:rPr>
          <w:rFonts w:ascii="Calibri" w:hAnsi="Calibri" w:cs="Calibri"/>
          <w:rtl/>
        </w:rPr>
        <w:t>תשלומי השכר למשרתי המילואים.</w:t>
      </w:r>
    </w:p>
    <w:p w14:paraId="580C7DB3" w14:textId="77777777" w:rsidR="00117D7A" w:rsidRPr="005A6982" w:rsidRDefault="00005680" w:rsidP="004E7CD7">
      <w:pPr>
        <w:tabs>
          <w:tab w:val="num" w:pos="720"/>
        </w:tabs>
        <w:bidi/>
        <w:spacing w:after="360" w:line="360" w:lineRule="auto"/>
        <w:jc w:val="both"/>
        <w:rPr>
          <w:rFonts w:ascii="Calibri" w:hAnsi="Calibri" w:cs="Calibri"/>
          <w:rtl/>
        </w:rPr>
      </w:pPr>
      <w:r w:rsidRPr="005A6982">
        <w:rPr>
          <w:rFonts w:ascii="Calibri" w:hAnsi="Calibri" w:cs="Calibri"/>
          <w:rtl/>
        </w:rPr>
        <w:t xml:space="preserve">בשוק העבודה, </w:t>
      </w:r>
      <w:r w:rsidR="00117D7A" w:rsidRPr="005A6982">
        <w:rPr>
          <w:rFonts w:ascii="Calibri" w:hAnsi="Calibri" w:cs="Calibri"/>
          <w:rtl/>
        </w:rPr>
        <w:t xml:space="preserve">שיעור האבטלה הרחבה צפוי לעמוד בממוצע על </w:t>
      </w:r>
      <w:r w:rsidR="00117D7A" w:rsidRPr="005A6982">
        <w:rPr>
          <w:rFonts w:ascii="Calibri" w:hAnsi="Calibri" w:cs="Calibri"/>
        </w:rPr>
        <w:t>4.</w:t>
      </w:r>
      <w:r w:rsidRPr="005A6982">
        <w:rPr>
          <w:rFonts w:ascii="Calibri" w:hAnsi="Calibri" w:cs="Calibri"/>
        </w:rPr>
        <w:t>6</w:t>
      </w:r>
      <w:r w:rsidR="00117D7A" w:rsidRPr="005A6982">
        <w:rPr>
          <w:rFonts w:ascii="Calibri" w:hAnsi="Calibri" w:cs="Calibri"/>
        </w:rPr>
        <w:t>%</w:t>
      </w:r>
      <w:r w:rsidR="00117D7A" w:rsidRPr="005A6982">
        <w:rPr>
          <w:rFonts w:ascii="Calibri" w:hAnsi="Calibri" w:cs="Calibri"/>
          <w:rtl/>
        </w:rPr>
        <w:t xml:space="preserve"> בשנת </w:t>
      </w:r>
      <w:r w:rsidR="00117D7A" w:rsidRPr="005A6982">
        <w:rPr>
          <w:rFonts w:ascii="Calibri" w:hAnsi="Calibri" w:cs="Calibri"/>
        </w:rPr>
        <w:t>2026</w:t>
      </w:r>
      <w:r w:rsidR="00117D7A" w:rsidRPr="005A6982">
        <w:rPr>
          <w:rFonts w:ascii="Calibri" w:hAnsi="Calibri" w:cs="Calibri"/>
          <w:rtl/>
        </w:rPr>
        <w:t>, בעיקר בשל עליה חדה בתקופת הלחימה באיראן, ול</w:t>
      </w:r>
      <w:r w:rsidR="00F30241" w:rsidRPr="005A6982">
        <w:rPr>
          <w:rFonts w:ascii="Calibri" w:hAnsi="Calibri" w:cs="Calibri"/>
          <w:rtl/>
        </w:rPr>
        <w:t>התייצב</w:t>
      </w:r>
      <w:r w:rsidR="00117D7A" w:rsidRPr="005A6982">
        <w:rPr>
          <w:rFonts w:ascii="Calibri" w:hAnsi="Calibri" w:cs="Calibri"/>
          <w:rtl/>
        </w:rPr>
        <w:t xml:space="preserve"> </w:t>
      </w:r>
      <w:r w:rsidR="00F30241" w:rsidRPr="005A6982">
        <w:rPr>
          <w:rFonts w:ascii="Calibri" w:hAnsi="Calibri" w:cs="Calibri"/>
          <w:rtl/>
        </w:rPr>
        <w:t xml:space="preserve">החל מהמחצית השנייה של </w:t>
      </w:r>
      <w:r w:rsidR="00F30241" w:rsidRPr="005A6982">
        <w:rPr>
          <w:rFonts w:ascii="Calibri" w:hAnsi="Calibri" w:cs="Calibri"/>
        </w:rPr>
        <w:t>2026</w:t>
      </w:r>
      <w:r w:rsidR="00F30241" w:rsidRPr="005A6982">
        <w:rPr>
          <w:rFonts w:ascii="Calibri" w:hAnsi="Calibri" w:cs="Calibri"/>
          <w:rtl/>
        </w:rPr>
        <w:t xml:space="preserve"> על </w:t>
      </w:r>
      <w:r w:rsidR="00F30241" w:rsidRPr="005A6982">
        <w:rPr>
          <w:rFonts w:ascii="Calibri" w:hAnsi="Calibri" w:cs="Calibri"/>
        </w:rPr>
        <w:t>3%</w:t>
      </w:r>
      <w:r w:rsidR="00F30241" w:rsidRPr="005A6982">
        <w:rPr>
          <w:rFonts w:ascii="Calibri" w:hAnsi="Calibri" w:cs="Calibri"/>
          <w:rtl/>
        </w:rPr>
        <w:t xml:space="preserve">. </w:t>
      </w:r>
      <w:r w:rsidR="00117D7A" w:rsidRPr="005A6982">
        <w:rPr>
          <w:rFonts w:ascii="Calibri" w:hAnsi="Calibri" w:cs="Calibri"/>
          <w:rtl/>
        </w:rPr>
        <w:t xml:space="preserve">שיעור התעסוקה המותאם צפוי לעמוד על </w:t>
      </w:r>
      <w:r w:rsidR="00117D7A" w:rsidRPr="005A6982">
        <w:rPr>
          <w:rFonts w:ascii="Calibri" w:hAnsi="Calibri" w:cs="Calibri"/>
        </w:rPr>
        <w:t>77.</w:t>
      </w:r>
      <w:r w:rsidRPr="005A6982">
        <w:rPr>
          <w:rFonts w:ascii="Calibri" w:hAnsi="Calibri" w:cs="Calibri"/>
        </w:rPr>
        <w:t>4</w:t>
      </w:r>
      <w:r w:rsidR="00117D7A" w:rsidRPr="005A6982">
        <w:rPr>
          <w:rFonts w:ascii="Calibri" w:hAnsi="Calibri" w:cs="Calibri"/>
        </w:rPr>
        <w:t>%</w:t>
      </w:r>
      <w:r w:rsidR="00117D7A" w:rsidRPr="005A6982">
        <w:rPr>
          <w:rFonts w:ascii="Calibri" w:hAnsi="Calibri" w:cs="Calibri"/>
          <w:rtl/>
        </w:rPr>
        <w:t xml:space="preserve"> ו־</w:t>
      </w:r>
      <w:r w:rsidRPr="005A6982">
        <w:rPr>
          <w:rFonts w:ascii="Calibri" w:hAnsi="Calibri" w:cs="Calibri"/>
        </w:rPr>
        <w:t>79.0</w:t>
      </w:r>
      <w:r w:rsidR="00117D7A" w:rsidRPr="005A6982">
        <w:rPr>
          <w:rFonts w:ascii="Calibri" w:hAnsi="Calibri" w:cs="Calibri"/>
        </w:rPr>
        <w:t>%</w:t>
      </w:r>
      <w:r w:rsidR="00984702" w:rsidRPr="005A6982">
        <w:rPr>
          <w:rFonts w:ascii="Calibri" w:hAnsi="Calibri" w:cs="Calibri" w:hint="cs"/>
          <w:rtl/>
        </w:rPr>
        <w:t xml:space="preserve"> ב-2026 וב-2027, </w:t>
      </w:r>
      <w:r w:rsidR="00117D7A" w:rsidRPr="005A6982">
        <w:rPr>
          <w:rFonts w:ascii="Calibri" w:hAnsi="Calibri" w:cs="Calibri"/>
          <w:rtl/>
        </w:rPr>
        <w:t>בהתאמה.</w:t>
      </w:r>
    </w:p>
    <w:p w14:paraId="723F1736" w14:textId="61C84CB9" w:rsidR="00D36180" w:rsidRPr="005A6982" w:rsidRDefault="00767FD1" w:rsidP="004E7CD7">
      <w:pPr>
        <w:bidi/>
        <w:spacing w:after="360" w:line="360" w:lineRule="auto"/>
        <w:ind w:left="6"/>
        <w:jc w:val="both"/>
        <w:rPr>
          <w:rFonts w:ascii="Calibri" w:hAnsi="Calibri" w:cs="Calibri"/>
          <w:rtl/>
        </w:rPr>
      </w:pPr>
      <w:r w:rsidRPr="005A6982">
        <w:rPr>
          <w:rFonts w:ascii="Calibri" w:hAnsi="Calibri" w:cs="Calibri" w:hint="cs"/>
          <w:rtl/>
        </w:rPr>
        <w:t xml:space="preserve">תרחיש הבסיס מניח הנחת עבודה שתקציב הביטחון לשנת 2026 יגדל </w:t>
      </w:r>
      <w:r w:rsidR="00205D90" w:rsidRPr="005A6982">
        <w:rPr>
          <w:rFonts w:ascii="Calibri" w:hAnsi="Calibri" w:cs="Calibri" w:hint="cs"/>
          <w:rtl/>
        </w:rPr>
        <w:t>ב-15 מיליארדי ₪, מעט יותר</w:t>
      </w:r>
      <w:r w:rsidRPr="005A6982">
        <w:rPr>
          <w:rFonts w:ascii="Calibri" w:hAnsi="Calibri" w:cs="Calibri" w:hint="cs"/>
          <w:rtl/>
        </w:rPr>
        <w:t xml:space="preserve"> </w:t>
      </w:r>
      <w:r w:rsidR="00205D90" w:rsidRPr="005A6982">
        <w:rPr>
          <w:rFonts w:ascii="Calibri" w:hAnsi="Calibri" w:cs="Calibri" w:hint="cs"/>
          <w:rtl/>
        </w:rPr>
        <w:t>מ</w:t>
      </w:r>
      <w:r w:rsidRPr="005A6982">
        <w:rPr>
          <w:rFonts w:ascii="Calibri" w:hAnsi="Calibri" w:cs="Calibri" w:hint="cs"/>
          <w:rtl/>
        </w:rPr>
        <w:t>סכום הרזרבה שהממשלה הקצתה במסגרת תקצ</w:t>
      </w:r>
      <w:r w:rsidRPr="005A6982">
        <w:rPr>
          <w:rFonts w:ascii="Calibri" w:hAnsi="Calibri" w:cs="Calibri"/>
          <w:rtl/>
        </w:rPr>
        <w:t xml:space="preserve">יב </w:t>
      </w:r>
      <w:r w:rsidRPr="005A6982">
        <w:rPr>
          <w:rFonts w:ascii="Calibri" w:hAnsi="Calibri" w:cs="Calibri"/>
        </w:rPr>
        <w:t>2026</w:t>
      </w:r>
      <w:r w:rsidRPr="005A6982">
        <w:rPr>
          <w:rFonts w:ascii="Calibri" w:hAnsi="Calibri" w:cs="Calibri"/>
          <w:rtl/>
        </w:rPr>
        <w:t xml:space="preserve"> (</w:t>
      </w:r>
      <w:r w:rsidRPr="005A6982">
        <w:rPr>
          <w:rFonts w:ascii="Calibri" w:hAnsi="Calibri" w:cs="Calibri"/>
        </w:rPr>
        <w:t>12.8</w:t>
      </w:r>
      <w:r w:rsidRPr="005A6982">
        <w:rPr>
          <w:rFonts w:ascii="Calibri" w:hAnsi="Calibri" w:cs="Calibri"/>
          <w:rtl/>
        </w:rPr>
        <w:t xml:space="preserve"> מיליארדי ש"ח),</w:t>
      </w:r>
      <w:r w:rsidRPr="005A6982">
        <w:rPr>
          <w:rFonts w:ascii="Calibri" w:hAnsi="Calibri" w:cs="Calibri" w:hint="cs"/>
          <w:rtl/>
        </w:rPr>
        <w:t xml:space="preserve"> </w:t>
      </w:r>
      <w:r w:rsidRPr="005A6982">
        <w:rPr>
          <w:rFonts w:ascii="Calibri" w:hAnsi="Calibri" w:cs="Calibri"/>
          <w:rtl/>
        </w:rPr>
        <w:t xml:space="preserve">וכי בשנת </w:t>
      </w:r>
      <w:r w:rsidRPr="005A6982">
        <w:rPr>
          <w:rFonts w:ascii="Calibri" w:hAnsi="Calibri" w:cs="Calibri"/>
        </w:rPr>
        <w:t>2027</w:t>
      </w:r>
      <w:r w:rsidRPr="005A6982">
        <w:rPr>
          <w:rFonts w:ascii="Calibri" w:hAnsi="Calibri" w:cs="Calibri"/>
          <w:rtl/>
        </w:rPr>
        <w:t xml:space="preserve"> תצומצם ההוצאה הביטחונית לעומת שנת </w:t>
      </w:r>
      <w:r w:rsidRPr="005A6982">
        <w:rPr>
          <w:rFonts w:ascii="Calibri" w:hAnsi="Calibri" w:cs="Calibri"/>
        </w:rPr>
        <w:t>2026</w:t>
      </w:r>
      <w:r w:rsidRPr="005A6982">
        <w:rPr>
          <w:rFonts w:ascii="Calibri" w:hAnsi="Calibri" w:cs="Calibri"/>
          <w:rtl/>
        </w:rPr>
        <w:t xml:space="preserve"> בעיקר הודות לירידה בתוספות ללחימה שוטפת.</w:t>
      </w:r>
      <w:r w:rsidRPr="005A6982">
        <w:rPr>
          <w:rFonts w:ascii="Calibri" w:hAnsi="Calibri" w:cs="Calibri" w:hint="cs"/>
          <w:rtl/>
        </w:rPr>
        <w:t xml:space="preserve"> על בסיס הנחה זו </w:t>
      </w:r>
      <w:r w:rsidR="00CF1FC8" w:rsidRPr="005A6982">
        <w:rPr>
          <w:rFonts w:ascii="Calibri" w:hAnsi="Calibri" w:cs="Calibri"/>
          <w:b/>
          <w:bCs/>
          <w:rtl/>
        </w:rPr>
        <w:t xml:space="preserve">הגירעון בתקציב המדינה צפוי לעמוד על </w:t>
      </w:r>
      <w:r w:rsidR="00CF1FC8" w:rsidRPr="005A6982">
        <w:rPr>
          <w:rFonts w:ascii="Calibri" w:hAnsi="Calibri" w:cs="Calibri"/>
          <w:b/>
          <w:bCs/>
        </w:rPr>
        <w:t>4.</w:t>
      </w:r>
      <w:r w:rsidR="00B1156A" w:rsidRPr="005A6982">
        <w:rPr>
          <w:rFonts w:ascii="Calibri" w:hAnsi="Calibri" w:cs="Calibri"/>
          <w:b/>
          <w:bCs/>
        </w:rPr>
        <w:t>9</w:t>
      </w:r>
      <w:r w:rsidR="00B1156A" w:rsidRPr="005A6982">
        <w:rPr>
          <w:rFonts w:ascii="Calibri" w:hAnsi="Calibri" w:cs="Calibri"/>
          <w:b/>
          <w:bCs/>
          <w:rtl/>
        </w:rPr>
        <w:t xml:space="preserve"> </w:t>
      </w:r>
      <w:r w:rsidR="00CF1FC8" w:rsidRPr="005A6982">
        <w:rPr>
          <w:rFonts w:ascii="Calibri" w:hAnsi="Calibri" w:cs="Calibri"/>
          <w:b/>
          <w:bCs/>
          <w:rtl/>
        </w:rPr>
        <w:t>ו-</w:t>
      </w:r>
      <w:r w:rsidR="002F72DC" w:rsidRPr="005A6982">
        <w:rPr>
          <w:rFonts w:ascii="Calibri" w:hAnsi="Calibri" w:cs="Calibri"/>
          <w:b/>
          <w:bCs/>
        </w:rPr>
        <w:t>4.2</w:t>
      </w:r>
      <w:r w:rsidR="002F72DC" w:rsidRPr="005A6982">
        <w:rPr>
          <w:rFonts w:ascii="Calibri" w:hAnsi="Calibri" w:cs="Calibri"/>
          <w:b/>
          <w:bCs/>
          <w:rtl/>
        </w:rPr>
        <w:t xml:space="preserve"> </w:t>
      </w:r>
      <w:r w:rsidR="00CF1FC8" w:rsidRPr="005A6982">
        <w:rPr>
          <w:rFonts w:ascii="Calibri" w:hAnsi="Calibri" w:cs="Calibri"/>
          <w:b/>
          <w:bCs/>
          <w:rtl/>
        </w:rPr>
        <w:t xml:space="preserve">אחוזי תוצר בשנים </w:t>
      </w:r>
      <w:r w:rsidR="00CF1FC8" w:rsidRPr="005A6982">
        <w:rPr>
          <w:rFonts w:ascii="Calibri" w:hAnsi="Calibri" w:cs="Calibri"/>
          <w:b/>
          <w:bCs/>
        </w:rPr>
        <w:t>2026</w:t>
      </w:r>
      <w:r w:rsidR="00CF1FC8" w:rsidRPr="005A6982">
        <w:rPr>
          <w:rFonts w:ascii="Calibri" w:hAnsi="Calibri" w:cs="Calibri"/>
          <w:b/>
          <w:bCs/>
          <w:rtl/>
        </w:rPr>
        <w:t xml:space="preserve"> ו-</w:t>
      </w:r>
      <w:r w:rsidR="00CF1FC8" w:rsidRPr="005A6982">
        <w:rPr>
          <w:rFonts w:ascii="Calibri" w:hAnsi="Calibri" w:cs="Calibri"/>
          <w:b/>
          <w:bCs/>
        </w:rPr>
        <w:t>2027</w:t>
      </w:r>
      <w:r w:rsidR="00CF1FC8" w:rsidRPr="005A6982">
        <w:rPr>
          <w:rFonts w:ascii="Calibri" w:hAnsi="Calibri" w:cs="Calibri"/>
          <w:b/>
          <w:bCs/>
          <w:rtl/>
        </w:rPr>
        <w:t>, בהתאמה.</w:t>
      </w:r>
      <w:r w:rsidR="00CF1FC8" w:rsidRPr="005A6982">
        <w:rPr>
          <w:rFonts w:ascii="Calibri" w:hAnsi="Calibri" w:cs="Calibri"/>
          <w:rtl/>
        </w:rPr>
        <w:t xml:space="preserve"> יחס החוב הציבורי לתוצר צפוי להתייצב בשנים </w:t>
      </w:r>
      <w:r w:rsidR="00CF1FC8" w:rsidRPr="005A6982">
        <w:rPr>
          <w:rFonts w:ascii="Calibri" w:hAnsi="Calibri" w:cs="Calibri"/>
          <w:rtl/>
        </w:rPr>
        <w:lastRenderedPageBreak/>
        <w:t>אלה</w:t>
      </w:r>
      <w:r w:rsidR="00B1156A" w:rsidRPr="005A6982">
        <w:rPr>
          <w:rFonts w:ascii="Calibri" w:hAnsi="Calibri" w:cs="Calibri"/>
        </w:rPr>
        <w:t xml:space="preserve"> </w:t>
      </w:r>
      <w:r w:rsidR="00CF1FC8" w:rsidRPr="005A6982">
        <w:rPr>
          <w:rFonts w:ascii="Calibri" w:hAnsi="Calibri" w:cs="Calibri"/>
          <w:rtl/>
        </w:rPr>
        <w:t>על כ-</w:t>
      </w:r>
      <w:r w:rsidR="00CF1FC8" w:rsidRPr="005A6982">
        <w:rPr>
          <w:rFonts w:ascii="Calibri" w:hAnsi="Calibri" w:cs="Calibri"/>
        </w:rPr>
        <w:t>69</w:t>
      </w:r>
      <w:r w:rsidR="00CF1FC8" w:rsidRPr="005A6982">
        <w:rPr>
          <w:rFonts w:ascii="Calibri" w:hAnsi="Calibri" w:cs="Calibri"/>
          <w:rtl/>
        </w:rPr>
        <w:t xml:space="preserve"> אחוזים. </w:t>
      </w:r>
      <w:r w:rsidR="00B1156A" w:rsidRPr="005A6982">
        <w:rPr>
          <w:rFonts w:ascii="Calibri" w:hAnsi="Calibri" w:cs="Calibri"/>
          <w:rtl/>
        </w:rPr>
        <w:t xml:space="preserve">ביחס לתחזית חטיבת המחקר ממרץ 2026, </w:t>
      </w:r>
      <w:r w:rsidR="00CF1FC8" w:rsidRPr="005A6982">
        <w:rPr>
          <w:rFonts w:ascii="Calibri" w:hAnsi="Calibri" w:cs="Calibri"/>
          <w:rtl/>
        </w:rPr>
        <w:t>הירידה בתחזית הגרעון</w:t>
      </w:r>
      <w:r w:rsidR="00B1156A" w:rsidRPr="005A6982">
        <w:rPr>
          <w:rFonts w:ascii="Calibri" w:hAnsi="Calibri" w:cs="Calibri"/>
          <w:rtl/>
        </w:rPr>
        <w:t xml:space="preserve"> לשנת 2026</w:t>
      </w:r>
      <w:r w:rsidR="00CF1FC8" w:rsidRPr="005A6982">
        <w:rPr>
          <w:rFonts w:ascii="Calibri" w:hAnsi="Calibri" w:cs="Calibri"/>
          <w:rtl/>
        </w:rPr>
        <w:t xml:space="preserve"> נובעת מ</w:t>
      </w:r>
      <w:r w:rsidR="00A1714B" w:rsidRPr="005A6982">
        <w:rPr>
          <w:rFonts w:ascii="Calibri" w:hAnsi="Calibri" w:cs="Calibri" w:hint="cs"/>
          <w:rtl/>
        </w:rPr>
        <w:t>עליה של אומדן</w:t>
      </w:r>
      <w:r w:rsidR="00CF1FC8" w:rsidRPr="005A6982">
        <w:rPr>
          <w:rFonts w:ascii="Calibri" w:hAnsi="Calibri" w:cs="Calibri"/>
          <w:rtl/>
        </w:rPr>
        <w:t xml:space="preserve"> ההכנסות, בעיקר הודות לגביית מ</w:t>
      </w:r>
      <w:r w:rsidR="47F1E99F" w:rsidRPr="005A6982">
        <w:rPr>
          <w:rFonts w:ascii="Calibri" w:hAnsi="Calibri" w:cs="Calibri"/>
          <w:rtl/>
        </w:rPr>
        <w:t>י</w:t>
      </w:r>
      <w:r w:rsidR="00CF1FC8" w:rsidRPr="005A6982">
        <w:rPr>
          <w:rFonts w:ascii="Calibri" w:hAnsi="Calibri" w:cs="Calibri"/>
          <w:rtl/>
        </w:rPr>
        <w:t>סים גבוהה מן הצפוי ב</w:t>
      </w:r>
      <w:r w:rsidR="00B1156A" w:rsidRPr="005A6982">
        <w:rPr>
          <w:rFonts w:ascii="Calibri" w:hAnsi="Calibri" w:cs="Calibri"/>
          <w:rtl/>
        </w:rPr>
        <w:t>מחצית הראשונה</w:t>
      </w:r>
      <w:r w:rsidR="00CF1FC8" w:rsidRPr="005A6982">
        <w:rPr>
          <w:rFonts w:ascii="Calibri" w:hAnsi="Calibri" w:cs="Calibri"/>
          <w:rtl/>
        </w:rPr>
        <w:t xml:space="preserve"> של </w:t>
      </w:r>
      <w:r w:rsidR="00B1156A" w:rsidRPr="005A6982">
        <w:rPr>
          <w:rFonts w:ascii="Calibri" w:hAnsi="Calibri" w:cs="Calibri"/>
          <w:rtl/>
        </w:rPr>
        <w:t xml:space="preserve">השנה. </w:t>
      </w:r>
      <w:r w:rsidR="00CF1FC8" w:rsidRPr="005A6982">
        <w:rPr>
          <w:rFonts w:ascii="Calibri" w:hAnsi="Calibri" w:cs="Calibri"/>
          <w:rtl/>
        </w:rPr>
        <w:t xml:space="preserve">במקביל, </w:t>
      </w:r>
      <w:r w:rsidR="004F2A3C" w:rsidRPr="005A6982">
        <w:rPr>
          <w:rFonts w:ascii="Calibri" w:hAnsi="Calibri" w:cs="Calibri"/>
          <w:rtl/>
        </w:rPr>
        <w:t xml:space="preserve">הנחת העבודה לגבי </w:t>
      </w:r>
      <w:r w:rsidR="00CF1FC8" w:rsidRPr="005A6982">
        <w:rPr>
          <w:rFonts w:ascii="Calibri" w:hAnsi="Calibri" w:cs="Calibri"/>
          <w:rtl/>
        </w:rPr>
        <w:t xml:space="preserve">ההוצאות לשנים אלה נותרה דומה לתחזית הקודמת. בפרט, התחזית ממשיכה להניח כי תנאי הסביבה הגאו-פוליטית והחשש מסבבי עימות נוספים בגזרות השונות יותירו את היקף גיוס המילואים ואת תקציב הביטחון באופק התחזית </w:t>
      </w:r>
      <w:r w:rsidR="00B81717" w:rsidRPr="005A6982">
        <w:rPr>
          <w:rFonts w:ascii="Calibri" w:hAnsi="Calibri" w:cs="Calibri"/>
          <w:rtl/>
        </w:rPr>
        <w:t xml:space="preserve">ברמה </w:t>
      </w:r>
      <w:r w:rsidR="00CF1FC8" w:rsidRPr="005A6982">
        <w:rPr>
          <w:rFonts w:ascii="Calibri" w:hAnsi="Calibri" w:cs="Calibri"/>
          <w:rtl/>
        </w:rPr>
        <w:t>גבוהה</w:t>
      </w:r>
      <w:r w:rsidR="00B81717" w:rsidRPr="005A6982">
        <w:rPr>
          <w:rFonts w:ascii="Calibri" w:hAnsi="Calibri" w:cs="Calibri"/>
          <w:rtl/>
        </w:rPr>
        <w:t xml:space="preserve"> באופן ניכר </w:t>
      </w:r>
      <w:r w:rsidR="007E3A6A" w:rsidRPr="005A6982">
        <w:rPr>
          <w:rFonts w:ascii="Calibri" w:hAnsi="Calibri" w:cs="Calibri"/>
          <w:rtl/>
        </w:rPr>
        <w:t>בהשוואה</w:t>
      </w:r>
      <w:r w:rsidR="00CF1FC8" w:rsidRPr="005A6982">
        <w:rPr>
          <w:rFonts w:ascii="Calibri" w:hAnsi="Calibri" w:cs="Calibri"/>
          <w:rtl/>
        </w:rPr>
        <w:t xml:space="preserve"> לערב המלחמה. </w:t>
      </w:r>
      <w:r w:rsidR="00B81717" w:rsidRPr="005A6982">
        <w:rPr>
          <w:rFonts w:ascii="Calibri" w:hAnsi="Calibri" w:cs="Calibri"/>
          <w:rtl/>
        </w:rPr>
        <w:t xml:space="preserve">עם זאת, </w:t>
      </w:r>
      <w:r w:rsidR="00A1714B" w:rsidRPr="005A6982">
        <w:rPr>
          <w:rFonts w:ascii="Calibri" w:hAnsi="Calibri" w:cs="Calibri" w:hint="cs"/>
          <w:rtl/>
        </w:rPr>
        <w:t xml:space="preserve">בממשלה נבחנת האפשרות להגדיל בהמשך השנה את תקציב הביטחון לשנת 2026 בהיקף של עד 25 מיליארדי ש"ח נוספים. ככל שהדבר יתממש הגירעון והחוב יגדלו, והאינפלציה תהיה גבוהה יותר, כפי שמפורט בסעיף ד' להלן. כמו כן </w:t>
      </w:r>
      <w:r w:rsidR="00B81717" w:rsidRPr="005A6982">
        <w:rPr>
          <w:rFonts w:ascii="Calibri" w:hAnsi="Calibri" w:cs="Calibri"/>
          <w:rtl/>
        </w:rPr>
        <w:t>קיימת אי-ודאות לגבי המדיניות הפיסקלית שתיישם הממשלה שתקום לאחר הבחירות</w:t>
      </w:r>
      <w:r w:rsidR="00CF1FC8" w:rsidRPr="005A6982">
        <w:rPr>
          <w:rFonts w:ascii="Calibri" w:hAnsi="Calibri" w:cs="Calibri"/>
          <w:rtl/>
        </w:rPr>
        <w:t xml:space="preserve"> לכנסת ה-</w:t>
      </w:r>
      <w:r w:rsidR="00CF1FC8" w:rsidRPr="005A6982">
        <w:rPr>
          <w:rFonts w:ascii="Calibri" w:hAnsi="Calibri" w:cs="Calibri"/>
        </w:rPr>
        <w:t>26</w:t>
      </w:r>
      <w:r w:rsidR="00CF1FC8" w:rsidRPr="005A6982">
        <w:rPr>
          <w:rFonts w:ascii="Calibri" w:hAnsi="Calibri" w:cs="Calibri"/>
          <w:rtl/>
        </w:rPr>
        <w:t xml:space="preserve">, </w:t>
      </w:r>
      <w:r w:rsidR="00B81717" w:rsidRPr="005A6982">
        <w:rPr>
          <w:rFonts w:ascii="Calibri" w:hAnsi="Calibri" w:cs="Calibri"/>
          <w:rtl/>
        </w:rPr>
        <w:t xml:space="preserve">ובפרט </w:t>
      </w:r>
      <w:r w:rsidR="006F18BC" w:rsidRPr="005A6982">
        <w:rPr>
          <w:rFonts w:ascii="Calibri" w:hAnsi="Calibri" w:cs="Calibri" w:hint="cs"/>
          <w:rtl/>
        </w:rPr>
        <w:t>בנוגע ל</w:t>
      </w:r>
      <w:r w:rsidR="00B81717" w:rsidRPr="005A6982">
        <w:rPr>
          <w:rFonts w:ascii="Calibri" w:hAnsi="Calibri" w:cs="Calibri"/>
          <w:rtl/>
        </w:rPr>
        <w:t xml:space="preserve">גודל תקציב הביטחון </w:t>
      </w:r>
      <w:r w:rsidR="00A1714B" w:rsidRPr="005A6982">
        <w:rPr>
          <w:rFonts w:ascii="Calibri" w:hAnsi="Calibri" w:cs="Calibri" w:hint="cs"/>
          <w:rtl/>
        </w:rPr>
        <w:t xml:space="preserve">בשנים הקרובות </w:t>
      </w:r>
      <w:r w:rsidR="00B81717" w:rsidRPr="005A6982">
        <w:rPr>
          <w:rFonts w:ascii="Calibri" w:hAnsi="Calibri" w:cs="Calibri"/>
          <w:rtl/>
        </w:rPr>
        <w:t>והדרכים למימונו</w:t>
      </w:r>
      <w:r w:rsidR="00CF1FC8" w:rsidRPr="005A6982">
        <w:rPr>
          <w:rFonts w:ascii="Calibri" w:hAnsi="Calibri" w:cs="Calibri"/>
          <w:rtl/>
        </w:rPr>
        <w:t xml:space="preserve">.  </w:t>
      </w:r>
      <w:r w:rsidR="00D36180" w:rsidRPr="005A6982">
        <w:rPr>
          <w:rFonts w:ascii="Calibri" w:hAnsi="Calibri" w:cs="Calibri"/>
          <w:rtl/>
        </w:rPr>
        <w:t xml:space="preserve"> </w:t>
      </w:r>
    </w:p>
    <w:p w14:paraId="796A74FD" w14:textId="77777777" w:rsidR="00117D7A" w:rsidRPr="005A6982" w:rsidRDefault="00117D7A" w:rsidP="004E7CD7">
      <w:pPr>
        <w:pStyle w:val="a"/>
        <w:rPr>
          <w:rFonts w:ascii="Calibri" w:hAnsi="Calibri" w:cs="Calibri"/>
          <w:b/>
          <w:sz w:val="24"/>
          <w:rtl/>
        </w:rPr>
      </w:pPr>
      <w:r w:rsidRPr="005A6982">
        <w:rPr>
          <w:rFonts w:ascii="Calibri" w:hAnsi="Calibri" w:cs="Calibri"/>
          <w:b/>
          <w:sz w:val="24"/>
          <w:rtl/>
        </w:rPr>
        <w:t>האינפלציה והריבית</w:t>
      </w:r>
    </w:p>
    <w:p w14:paraId="04171037" w14:textId="77777777" w:rsidR="00117D7A" w:rsidRPr="005A6982" w:rsidRDefault="00117D7A" w:rsidP="004E7CD7">
      <w:pPr>
        <w:bidi/>
        <w:spacing w:line="360" w:lineRule="auto"/>
        <w:jc w:val="both"/>
        <w:rPr>
          <w:rFonts w:ascii="Calibri" w:hAnsi="Calibri" w:cs="Calibri"/>
          <w:b/>
          <w:bCs/>
        </w:rPr>
      </w:pPr>
      <w:bookmarkStart w:id="2" w:name="_Hlk202427787"/>
      <w:r w:rsidRPr="005A6982">
        <w:rPr>
          <w:rFonts w:ascii="Calibri" w:hAnsi="Calibri" w:cs="Calibri"/>
          <w:b/>
          <w:bCs/>
          <w:rtl/>
        </w:rPr>
        <w:t xml:space="preserve">שיעור האינפלציה במהלך ארבעת הרבעונים הבאים, המסתיימים ברבעון </w:t>
      </w:r>
      <w:r w:rsidR="00005680" w:rsidRPr="005A6982">
        <w:rPr>
          <w:rFonts w:ascii="Calibri" w:hAnsi="Calibri" w:cs="Calibri"/>
          <w:b/>
          <w:bCs/>
          <w:rtl/>
        </w:rPr>
        <w:t xml:space="preserve">השני של שנת </w:t>
      </w:r>
      <w:r w:rsidR="00005680" w:rsidRPr="005A6982">
        <w:rPr>
          <w:rFonts w:ascii="Calibri" w:hAnsi="Calibri" w:cs="Calibri"/>
          <w:b/>
          <w:bCs/>
        </w:rPr>
        <w:t>2027</w:t>
      </w:r>
      <w:r w:rsidR="00005680" w:rsidRPr="005A6982">
        <w:rPr>
          <w:rFonts w:ascii="Calibri" w:hAnsi="Calibri" w:cs="Calibri"/>
          <w:b/>
          <w:bCs/>
          <w:rtl/>
        </w:rPr>
        <w:t>, צפוי לעמוד על</w:t>
      </w:r>
      <w:r w:rsidR="004F2A3C" w:rsidRPr="005A6982">
        <w:rPr>
          <w:rFonts w:ascii="Calibri" w:hAnsi="Calibri" w:cs="Calibri"/>
          <w:b/>
          <w:bCs/>
          <w:rtl/>
        </w:rPr>
        <w:t xml:space="preserve"> </w:t>
      </w:r>
      <w:r w:rsidR="004F2A3C" w:rsidRPr="005A6982">
        <w:rPr>
          <w:rFonts w:ascii="Calibri" w:hAnsi="Calibri" w:cs="Calibri"/>
          <w:b/>
          <w:bCs/>
        </w:rPr>
        <w:t>1.</w:t>
      </w:r>
      <w:r w:rsidR="00175475" w:rsidRPr="005A6982">
        <w:rPr>
          <w:rFonts w:ascii="Calibri" w:hAnsi="Calibri" w:cs="Calibri"/>
          <w:b/>
          <w:bCs/>
        </w:rPr>
        <w:t>8</w:t>
      </w:r>
      <w:r w:rsidR="006F18BC" w:rsidRPr="005A6982">
        <w:rPr>
          <w:rFonts w:ascii="Calibri" w:hAnsi="Calibri" w:cs="Calibri"/>
          <w:b/>
          <w:bCs/>
        </w:rPr>
        <w:t>%</w:t>
      </w:r>
      <w:r w:rsidRPr="005A6982">
        <w:rPr>
          <w:rFonts w:ascii="Calibri" w:hAnsi="Calibri" w:cs="Calibri"/>
          <w:b/>
          <w:bCs/>
          <w:rtl/>
        </w:rPr>
        <w:t xml:space="preserve"> (לוח </w:t>
      </w:r>
      <w:r w:rsidRPr="005A6982">
        <w:rPr>
          <w:rFonts w:ascii="Calibri" w:hAnsi="Calibri" w:cs="Calibri"/>
          <w:b/>
          <w:bCs/>
        </w:rPr>
        <w:t>2</w:t>
      </w:r>
      <w:r w:rsidRPr="005A6982">
        <w:rPr>
          <w:rFonts w:ascii="Calibri" w:hAnsi="Calibri" w:cs="Calibri"/>
          <w:b/>
          <w:bCs/>
          <w:rtl/>
        </w:rPr>
        <w:t xml:space="preserve">). </w:t>
      </w:r>
      <w:r w:rsidR="003C2632" w:rsidRPr="005A6982">
        <w:rPr>
          <w:rFonts w:ascii="Calibri" w:hAnsi="Calibri" w:cs="Calibri"/>
          <w:rtl/>
        </w:rPr>
        <w:t xml:space="preserve">האינפלציה במהלך שנת </w:t>
      </w:r>
      <w:r w:rsidR="003C2632" w:rsidRPr="005A6982">
        <w:rPr>
          <w:rFonts w:ascii="Calibri" w:hAnsi="Calibri" w:cs="Calibri"/>
        </w:rPr>
        <w:t>2026</w:t>
      </w:r>
      <w:r w:rsidR="003C2632" w:rsidRPr="005A6982">
        <w:rPr>
          <w:rFonts w:ascii="Calibri" w:hAnsi="Calibri" w:cs="Calibri"/>
          <w:rtl/>
        </w:rPr>
        <w:t xml:space="preserve"> צפויה להסתכם ב-</w:t>
      </w:r>
      <w:r w:rsidR="003C2632" w:rsidRPr="005A6982">
        <w:rPr>
          <w:rFonts w:ascii="Calibri" w:hAnsi="Calibri" w:cs="Calibri"/>
        </w:rPr>
        <w:t>1.</w:t>
      </w:r>
      <w:r w:rsidR="3D278004" w:rsidRPr="005A6982">
        <w:rPr>
          <w:rFonts w:ascii="Calibri" w:hAnsi="Calibri" w:cs="Calibri"/>
        </w:rPr>
        <w:t>8</w:t>
      </w:r>
      <w:r w:rsidR="003C2632" w:rsidRPr="005A6982">
        <w:rPr>
          <w:rFonts w:ascii="Calibri" w:hAnsi="Calibri" w:cs="Calibri"/>
        </w:rPr>
        <w:t>%</w:t>
      </w:r>
      <w:r w:rsidR="005967DD" w:rsidRPr="005A6982">
        <w:rPr>
          <w:rFonts w:ascii="Calibri" w:hAnsi="Calibri" w:cs="Calibri"/>
          <w:rtl/>
        </w:rPr>
        <w:t xml:space="preserve"> לעומת</w:t>
      </w:r>
      <w:r w:rsidR="006F18BC" w:rsidRPr="005A6982">
        <w:rPr>
          <w:rFonts w:ascii="Calibri" w:hAnsi="Calibri" w:cs="Calibri" w:hint="cs"/>
          <w:rtl/>
        </w:rPr>
        <w:t xml:space="preserve"> צפי של</w:t>
      </w:r>
      <w:r w:rsidR="005967DD" w:rsidRPr="005A6982">
        <w:rPr>
          <w:rFonts w:ascii="Calibri" w:hAnsi="Calibri" w:cs="Calibri"/>
          <w:rtl/>
        </w:rPr>
        <w:t xml:space="preserve"> </w:t>
      </w:r>
      <w:r w:rsidR="005967DD" w:rsidRPr="005A6982">
        <w:rPr>
          <w:rFonts w:ascii="Calibri" w:hAnsi="Calibri" w:cs="Calibri"/>
        </w:rPr>
        <w:t>2.2%</w:t>
      </w:r>
      <w:r w:rsidR="005967DD" w:rsidRPr="005A6982">
        <w:rPr>
          <w:rFonts w:ascii="Calibri" w:hAnsi="Calibri" w:cs="Calibri"/>
          <w:rtl/>
        </w:rPr>
        <w:t xml:space="preserve"> בתחזית מרץ. עם סיום מבצע "שאגת הארי" נרשמה ירידה בפרמיית הסיכון של ישראל, והשקל התחזק. לאור ההסכם בין ארה"ב ואיראן </w:t>
      </w:r>
      <w:r w:rsidR="003E47C5" w:rsidRPr="005A6982">
        <w:rPr>
          <w:rFonts w:ascii="Calibri" w:hAnsi="Calibri" w:cs="Calibri"/>
          <w:rtl/>
        </w:rPr>
        <w:t xml:space="preserve">ופתיחת </w:t>
      </w:r>
      <w:r w:rsidR="005967DD" w:rsidRPr="005A6982">
        <w:rPr>
          <w:rFonts w:ascii="Calibri" w:hAnsi="Calibri" w:cs="Calibri"/>
          <w:rtl/>
        </w:rPr>
        <w:t xml:space="preserve">מיצרי </w:t>
      </w:r>
      <w:proofErr w:type="spellStart"/>
      <w:r w:rsidR="005967DD" w:rsidRPr="005A6982">
        <w:rPr>
          <w:rFonts w:ascii="Calibri" w:hAnsi="Calibri" w:cs="Calibri"/>
          <w:rtl/>
        </w:rPr>
        <w:t>הורמוז</w:t>
      </w:r>
      <w:proofErr w:type="spellEnd"/>
      <w:r w:rsidR="005967DD" w:rsidRPr="005A6982">
        <w:rPr>
          <w:rFonts w:ascii="Calibri" w:hAnsi="Calibri" w:cs="Calibri"/>
          <w:rtl/>
        </w:rPr>
        <w:t>, מחירי הנפט ירדו בחדות</w:t>
      </w:r>
      <w:r w:rsidR="006F18BC" w:rsidRPr="005A6982">
        <w:rPr>
          <w:rFonts w:ascii="Calibri" w:hAnsi="Calibri" w:cs="Calibri" w:hint="cs"/>
          <w:rtl/>
        </w:rPr>
        <w:t>,</w:t>
      </w:r>
      <w:r w:rsidR="005967DD" w:rsidRPr="005A6982">
        <w:rPr>
          <w:rFonts w:ascii="Calibri" w:hAnsi="Calibri" w:cs="Calibri"/>
          <w:rtl/>
        </w:rPr>
        <w:t xml:space="preserve"> </w:t>
      </w:r>
      <w:r w:rsidR="006F18BC" w:rsidRPr="005A6982">
        <w:rPr>
          <w:rFonts w:ascii="Calibri" w:hAnsi="Calibri" w:cs="Calibri" w:hint="cs"/>
          <w:rtl/>
        </w:rPr>
        <w:t>מעבר</w:t>
      </w:r>
      <w:r w:rsidR="005967DD" w:rsidRPr="005A6982">
        <w:rPr>
          <w:rFonts w:ascii="Calibri" w:hAnsi="Calibri" w:cs="Calibri"/>
          <w:rtl/>
        </w:rPr>
        <w:t xml:space="preserve"> להערכתנו בתחזית מרץ. כוחות אלו תורמים</w:t>
      </w:r>
      <w:r w:rsidRPr="005A6982">
        <w:rPr>
          <w:rFonts w:ascii="Calibri" w:hAnsi="Calibri" w:cs="Calibri"/>
          <w:rtl/>
        </w:rPr>
        <w:t xml:space="preserve"> </w:t>
      </w:r>
      <w:r w:rsidR="00005680" w:rsidRPr="005A6982">
        <w:rPr>
          <w:rFonts w:ascii="Calibri" w:hAnsi="Calibri" w:cs="Calibri"/>
          <w:rtl/>
        </w:rPr>
        <w:t>לירידה</w:t>
      </w:r>
      <w:r w:rsidRPr="005A6982">
        <w:rPr>
          <w:rFonts w:ascii="Calibri" w:hAnsi="Calibri" w:cs="Calibri"/>
          <w:rtl/>
        </w:rPr>
        <w:t xml:space="preserve"> בסביבת האינפלציה בטווח הקצר. </w:t>
      </w:r>
    </w:p>
    <w:p w14:paraId="03D5BCAA" w14:textId="6D75AF22" w:rsidR="00117D7A" w:rsidRPr="005A6982" w:rsidRDefault="00117D7A" w:rsidP="005965F1">
      <w:pPr>
        <w:bidi/>
        <w:spacing w:line="360" w:lineRule="auto"/>
        <w:jc w:val="both"/>
        <w:rPr>
          <w:rFonts w:ascii="Calibri" w:hAnsi="Calibri" w:cs="Calibri"/>
          <w:rtl/>
        </w:rPr>
      </w:pPr>
      <w:r w:rsidRPr="005A6982">
        <w:rPr>
          <w:rFonts w:ascii="Calibri" w:hAnsi="Calibri" w:cs="Calibri"/>
          <w:b/>
          <w:bCs/>
          <w:rtl/>
        </w:rPr>
        <w:t xml:space="preserve">ריבית בנק ישראל צפויה לעמוד על </w:t>
      </w:r>
      <w:r w:rsidR="00F30241" w:rsidRPr="005A6982">
        <w:rPr>
          <w:rFonts w:ascii="Calibri" w:hAnsi="Calibri" w:cs="Calibri"/>
          <w:b/>
          <w:bCs/>
        </w:rPr>
        <w:t>3.0%</w:t>
      </w:r>
      <w:r w:rsidR="001A2323" w:rsidRPr="005A6982">
        <w:rPr>
          <w:rFonts w:ascii="Calibri" w:hAnsi="Calibri" w:cs="Calibri"/>
          <w:b/>
          <w:bCs/>
          <w:rtl/>
        </w:rPr>
        <w:t xml:space="preserve"> </w:t>
      </w:r>
      <w:r w:rsidRPr="005A6982">
        <w:rPr>
          <w:rFonts w:ascii="Calibri" w:hAnsi="Calibri" w:cs="Calibri"/>
          <w:b/>
          <w:bCs/>
          <w:rtl/>
        </w:rPr>
        <w:t xml:space="preserve">בממוצע, ברבעון </w:t>
      </w:r>
      <w:r w:rsidR="001A2323" w:rsidRPr="005A6982">
        <w:rPr>
          <w:rFonts w:ascii="Calibri" w:hAnsi="Calibri" w:cs="Calibri"/>
          <w:b/>
          <w:bCs/>
          <w:rtl/>
        </w:rPr>
        <w:t>השני</w:t>
      </w:r>
      <w:r w:rsidRPr="005A6982">
        <w:rPr>
          <w:rFonts w:ascii="Calibri" w:hAnsi="Calibri" w:cs="Calibri"/>
          <w:b/>
          <w:bCs/>
          <w:rtl/>
        </w:rPr>
        <w:t xml:space="preserve"> של </w:t>
      </w:r>
      <w:r w:rsidRPr="005A6982">
        <w:rPr>
          <w:rFonts w:ascii="Calibri" w:hAnsi="Calibri" w:cs="Calibri"/>
          <w:b/>
          <w:bCs/>
        </w:rPr>
        <w:t>2027</w:t>
      </w:r>
      <w:r w:rsidRPr="005A6982">
        <w:rPr>
          <w:rFonts w:ascii="Calibri" w:hAnsi="Calibri" w:cs="Calibri"/>
          <w:b/>
          <w:bCs/>
          <w:rtl/>
        </w:rPr>
        <w:t xml:space="preserve"> (לוח </w:t>
      </w:r>
      <w:r w:rsidRPr="005A6982">
        <w:rPr>
          <w:rFonts w:ascii="Calibri" w:hAnsi="Calibri" w:cs="Calibri"/>
          <w:b/>
          <w:bCs/>
        </w:rPr>
        <w:t>2</w:t>
      </w:r>
      <w:r w:rsidRPr="005A6982">
        <w:rPr>
          <w:rFonts w:ascii="Calibri" w:hAnsi="Calibri" w:cs="Calibri"/>
          <w:b/>
          <w:bCs/>
          <w:rtl/>
        </w:rPr>
        <w:t xml:space="preserve">). </w:t>
      </w:r>
      <w:r w:rsidRPr="005A6982">
        <w:rPr>
          <w:rFonts w:ascii="Calibri" w:hAnsi="Calibri" w:cs="Calibri"/>
          <w:rtl/>
        </w:rPr>
        <w:t xml:space="preserve">תחזית זו מגלמת </w:t>
      </w:r>
      <w:r w:rsidR="005965F1">
        <w:rPr>
          <w:rFonts w:ascii="Calibri" w:hAnsi="Calibri" w:cs="Calibri" w:hint="cs"/>
          <w:rtl/>
        </w:rPr>
        <w:t xml:space="preserve">שתי </w:t>
      </w:r>
      <w:r w:rsidR="006F18BC" w:rsidRPr="005A6982">
        <w:rPr>
          <w:rFonts w:ascii="Calibri" w:hAnsi="Calibri" w:cs="Calibri" w:hint="cs"/>
          <w:rtl/>
        </w:rPr>
        <w:t>הפחת</w:t>
      </w:r>
      <w:r w:rsidR="005965F1">
        <w:rPr>
          <w:rFonts w:ascii="Calibri" w:hAnsi="Calibri" w:cs="Calibri" w:hint="cs"/>
          <w:rtl/>
        </w:rPr>
        <w:t>ו</w:t>
      </w:r>
      <w:r w:rsidR="006F18BC" w:rsidRPr="005A6982">
        <w:rPr>
          <w:rFonts w:ascii="Calibri" w:hAnsi="Calibri" w:cs="Calibri" w:hint="cs"/>
          <w:rtl/>
        </w:rPr>
        <w:t>ת</w:t>
      </w:r>
      <w:r w:rsidR="006F18BC" w:rsidRPr="005A6982">
        <w:rPr>
          <w:rFonts w:ascii="Calibri" w:hAnsi="Calibri" w:cs="Calibri"/>
          <w:rtl/>
        </w:rPr>
        <w:t xml:space="preserve"> </w:t>
      </w:r>
      <w:r w:rsidRPr="005A6982">
        <w:rPr>
          <w:rFonts w:ascii="Calibri" w:hAnsi="Calibri" w:cs="Calibri"/>
          <w:rtl/>
        </w:rPr>
        <w:t xml:space="preserve">ריבית </w:t>
      </w:r>
      <w:r w:rsidR="005965F1">
        <w:rPr>
          <w:rFonts w:ascii="Calibri" w:hAnsi="Calibri" w:cs="Calibri" w:hint="cs"/>
          <w:rtl/>
        </w:rPr>
        <w:t xml:space="preserve">נוספות </w:t>
      </w:r>
      <w:bookmarkStart w:id="3" w:name="_GoBack"/>
      <w:bookmarkEnd w:id="3"/>
      <w:r w:rsidRPr="005A6982">
        <w:rPr>
          <w:rFonts w:ascii="Calibri" w:hAnsi="Calibri" w:cs="Calibri"/>
          <w:rtl/>
        </w:rPr>
        <w:t>במהלך השנה הקרובה. תוואי הריבית ייקבע בהתאם להתפתחות סביבת האינפלציה, לפעילות הכלכלית</w:t>
      </w:r>
      <w:r w:rsidR="00C52E6B" w:rsidRPr="005A6982">
        <w:rPr>
          <w:rFonts w:ascii="Calibri" w:hAnsi="Calibri" w:cs="Calibri" w:hint="cs"/>
          <w:rtl/>
        </w:rPr>
        <w:t>,</w:t>
      </w:r>
      <w:r w:rsidRPr="005A6982">
        <w:rPr>
          <w:rFonts w:ascii="Calibri" w:hAnsi="Calibri" w:cs="Calibri"/>
          <w:rtl/>
        </w:rPr>
        <w:t xml:space="preserve"> להתפתחויות בשווקים הפיננסיים ובזירה הגיאופוליטית</w:t>
      </w:r>
      <w:r w:rsidR="00C52E6B" w:rsidRPr="005A6982">
        <w:rPr>
          <w:rFonts w:ascii="Calibri" w:hAnsi="Calibri" w:cs="Calibri" w:hint="cs"/>
          <w:rtl/>
        </w:rPr>
        <w:t xml:space="preserve"> ולמדיניות הפיסקלית</w:t>
      </w:r>
      <w:r w:rsidRPr="005A6982">
        <w:rPr>
          <w:rFonts w:ascii="Calibri" w:hAnsi="Calibri" w:cs="Calibri"/>
          <w:rtl/>
        </w:rPr>
        <w:t xml:space="preserve">. </w:t>
      </w:r>
    </w:p>
    <w:bookmarkEnd w:id="2"/>
    <w:p w14:paraId="39B37F74" w14:textId="0019CB6C" w:rsidR="002F5939" w:rsidRPr="005A6982" w:rsidRDefault="00117D7A" w:rsidP="004E7CD7">
      <w:pPr>
        <w:bidi/>
        <w:spacing w:line="360" w:lineRule="auto"/>
        <w:jc w:val="both"/>
        <w:rPr>
          <w:rFonts w:ascii="Calibri" w:hAnsi="Calibri" w:cs="Calibri"/>
          <w:rtl/>
        </w:rPr>
      </w:pPr>
      <w:r w:rsidRPr="005A6982">
        <w:rPr>
          <w:rFonts w:ascii="Calibri" w:hAnsi="Calibri" w:cs="Calibri"/>
          <w:rtl/>
        </w:rPr>
        <w:t xml:space="preserve">מלוח </w:t>
      </w:r>
      <w:r w:rsidRPr="005A6982">
        <w:rPr>
          <w:rFonts w:ascii="Calibri" w:hAnsi="Calibri" w:cs="Calibri"/>
        </w:rPr>
        <w:t>2</w:t>
      </w:r>
      <w:r w:rsidRPr="005A6982">
        <w:rPr>
          <w:rFonts w:ascii="Calibri" w:hAnsi="Calibri" w:cs="Calibri"/>
          <w:rtl/>
        </w:rPr>
        <w:t xml:space="preserve"> עולה כי תחזית החטיבה לאינפלציה במהלך ארבעת הרביעים הקרובים גבוהה מהציפיות הנגזרות משוק ההון, אך דומה לממוצע תחזיות החזאים</w:t>
      </w:r>
      <w:r w:rsidR="00E34291" w:rsidRPr="005A6982">
        <w:rPr>
          <w:rFonts w:ascii="Calibri" w:hAnsi="Calibri" w:cs="Calibri"/>
          <w:rtl/>
        </w:rPr>
        <w:t xml:space="preserve"> הפרטיים</w:t>
      </w:r>
      <w:r w:rsidRPr="005A6982">
        <w:rPr>
          <w:rFonts w:ascii="Calibri" w:hAnsi="Calibri" w:cs="Calibri"/>
          <w:rtl/>
        </w:rPr>
        <w:t xml:space="preserve">. תחזית החטיבה לריבית בעוד ארבעה רביעים </w:t>
      </w:r>
      <w:r w:rsidR="00B80DC6" w:rsidRPr="005A6982">
        <w:rPr>
          <w:rFonts w:ascii="Calibri" w:hAnsi="Calibri" w:cs="Calibri" w:hint="cs"/>
          <w:rtl/>
        </w:rPr>
        <w:t>דומה</w:t>
      </w:r>
      <w:r w:rsidR="001A2323" w:rsidRPr="005A6982">
        <w:rPr>
          <w:rFonts w:ascii="Calibri" w:hAnsi="Calibri" w:cs="Calibri"/>
          <w:rtl/>
        </w:rPr>
        <w:t xml:space="preserve"> לציפיות הנגזרות משוק ההון ו</w:t>
      </w:r>
      <w:r w:rsidRPr="005A6982">
        <w:rPr>
          <w:rFonts w:ascii="Calibri" w:hAnsi="Calibri" w:cs="Calibri"/>
          <w:rtl/>
        </w:rPr>
        <w:t>מ</w:t>
      </w:r>
      <w:r w:rsidR="00DC641D" w:rsidRPr="005A6982">
        <w:rPr>
          <w:rFonts w:ascii="Calibri" w:hAnsi="Calibri" w:cs="Calibri" w:hint="cs"/>
          <w:rtl/>
        </w:rPr>
        <w:t>מ</w:t>
      </w:r>
      <w:r w:rsidRPr="005A6982">
        <w:rPr>
          <w:rFonts w:ascii="Calibri" w:hAnsi="Calibri" w:cs="Calibri"/>
          <w:rtl/>
        </w:rPr>
        <w:t xml:space="preserve">מוצע תחזיות החזאים הפרטיים. </w:t>
      </w:r>
    </w:p>
    <w:p w14:paraId="362D59BC" w14:textId="77777777" w:rsidR="000602E7" w:rsidRPr="005A6982" w:rsidRDefault="000602E7" w:rsidP="004E7CD7">
      <w:pPr>
        <w:bidi/>
        <w:spacing w:line="360" w:lineRule="auto"/>
        <w:jc w:val="both"/>
        <w:rPr>
          <w:rFonts w:ascii="Calibri" w:hAnsi="Calibri" w:cs="Calibri"/>
          <w:rtl/>
        </w:rPr>
      </w:pPr>
    </w:p>
    <w:p w14:paraId="04D85DEA" w14:textId="77777777" w:rsidR="000602E7" w:rsidRPr="005A6982" w:rsidRDefault="000602E7" w:rsidP="004E7CD7">
      <w:pPr>
        <w:bidi/>
        <w:spacing w:line="360" w:lineRule="auto"/>
        <w:jc w:val="both"/>
        <w:rPr>
          <w:rFonts w:ascii="Calibri" w:hAnsi="Calibri" w:cs="Calibri"/>
          <w:rtl/>
        </w:rPr>
      </w:pPr>
    </w:p>
    <w:p w14:paraId="7B977A99" w14:textId="77777777" w:rsidR="001226CA" w:rsidRPr="005A6982" w:rsidRDefault="001226CA" w:rsidP="004E7CD7">
      <w:pPr>
        <w:bidi/>
        <w:spacing w:line="360" w:lineRule="auto"/>
        <w:jc w:val="both"/>
        <w:rPr>
          <w:rFonts w:ascii="Calibri" w:hAnsi="Calibri" w:cs="Calibri"/>
          <w:rtl/>
        </w:rPr>
      </w:pPr>
    </w:p>
    <w:p w14:paraId="7D47404E" w14:textId="77777777" w:rsidR="001226CA" w:rsidRPr="005A6982" w:rsidRDefault="001226CA" w:rsidP="004E7CD7">
      <w:pPr>
        <w:bidi/>
        <w:spacing w:line="360" w:lineRule="auto"/>
        <w:jc w:val="both"/>
        <w:rPr>
          <w:rFonts w:ascii="Calibri" w:hAnsi="Calibri" w:cs="Calibri"/>
          <w:rtl/>
        </w:rPr>
      </w:pPr>
    </w:p>
    <w:tbl>
      <w:tblPr>
        <w:bidiVisual/>
        <w:tblW w:w="9746" w:type="dxa"/>
        <w:jc w:val="center"/>
        <w:tblLook w:val="04A0" w:firstRow="1" w:lastRow="0" w:firstColumn="1" w:lastColumn="0" w:noHBand="0" w:noVBand="1"/>
      </w:tblPr>
      <w:tblGrid>
        <w:gridCol w:w="2837"/>
        <w:gridCol w:w="2379"/>
        <w:gridCol w:w="2370"/>
        <w:gridCol w:w="2160"/>
      </w:tblGrid>
      <w:tr w:rsidR="00117D7A" w:rsidRPr="005A6982" w14:paraId="54C6ABBD" w14:textId="77777777" w:rsidTr="6A05EF4E">
        <w:trPr>
          <w:trHeight w:val="280"/>
          <w:jc w:val="center"/>
        </w:trPr>
        <w:tc>
          <w:tcPr>
            <w:tcW w:w="9746" w:type="dxa"/>
            <w:gridSpan w:val="4"/>
            <w:tcBorders>
              <w:top w:val="nil"/>
              <w:left w:val="nil"/>
              <w:bottom w:val="nil"/>
              <w:right w:val="nil"/>
            </w:tcBorders>
            <w:noWrap/>
            <w:vAlign w:val="bottom"/>
            <w:hideMark/>
          </w:tcPr>
          <w:p w14:paraId="317AF2F0" w14:textId="77777777" w:rsidR="00117D7A" w:rsidRPr="005A6982" w:rsidRDefault="00117D7A" w:rsidP="004E7CD7">
            <w:pPr>
              <w:bidi/>
              <w:spacing w:after="0" w:line="360" w:lineRule="auto"/>
              <w:jc w:val="center"/>
              <w:rPr>
                <w:rFonts w:ascii="Calibri" w:eastAsia="Times New Roman" w:hAnsi="Calibri" w:cs="Calibri"/>
                <w:b/>
                <w:bCs/>
                <w:color w:val="000000"/>
              </w:rPr>
            </w:pPr>
            <w:bookmarkStart w:id="4" w:name="_Hlk202427821"/>
            <w:r w:rsidRPr="005A6982">
              <w:rPr>
                <w:rFonts w:ascii="Calibri" w:eastAsia="Times New Roman" w:hAnsi="Calibri" w:cs="Calibri"/>
                <w:b/>
                <w:bCs/>
                <w:color w:val="000000" w:themeColor="text1"/>
                <w:rtl/>
              </w:rPr>
              <w:t xml:space="preserve">לוח </w:t>
            </w:r>
            <w:r w:rsidRPr="005A6982">
              <w:rPr>
                <w:rFonts w:ascii="Calibri" w:eastAsia="Times New Roman" w:hAnsi="Calibri" w:cs="Calibri"/>
                <w:b/>
                <w:bCs/>
                <w:color w:val="000000" w:themeColor="text1"/>
              </w:rPr>
              <w:t>2</w:t>
            </w:r>
            <w:r w:rsidRPr="005A6982">
              <w:rPr>
                <w:rFonts w:ascii="Calibri" w:eastAsia="Times New Roman" w:hAnsi="Calibri" w:cs="Calibri"/>
                <w:b/>
                <w:bCs/>
                <w:color w:val="000000" w:themeColor="text1"/>
                <w:rtl/>
              </w:rPr>
              <w:t xml:space="preserve"> | התחזיות לגבי האינפלציה במהלך השנה הקרובה ולגבי הריבית בעוד שנה</w:t>
            </w:r>
          </w:p>
        </w:tc>
      </w:tr>
      <w:tr w:rsidR="00117D7A" w:rsidRPr="005A6982" w14:paraId="6B0E2EAC" w14:textId="77777777" w:rsidTr="6A05EF4E">
        <w:trPr>
          <w:trHeight w:val="315"/>
          <w:jc w:val="center"/>
        </w:trPr>
        <w:tc>
          <w:tcPr>
            <w:tcW w:w="9746" w:type="dxa"/>
            <w:gridSpan w:val="4"/>
            <w:tcBorders>
              <w:top w:val="nil"/>
              <w:left w:val="nil"/>
              <w:bottom w:val="single" w:sz="4" w:space="0" w:color="1F497D" w:themeColor="text2"/>
              <w:right w:val="nil"/>
            </w:tcBorders>
            <w:noWrap/>
            <w:vAlign w:val="bottom"/>
            <w:hideMark/>
          </w:tcPr>
          <w:p w14:paraId="64B76798" w14:textId="77777777" w:rsidR="00117D7A" w:rsidRPr="005A6982" w:rsidRDefault="00117D7A" w:rsidP="004E7CD7">
            <w:pPr>
              <w:bidi/>
              <w:spacing w:after="0" w:line="360" w:lineRule="auto"/>
              <w:jc w:val="center"/>
              <w:rPr>
                <w:rFonts w:ascii="Calibri" w:eastAsia="Times New Roman" w:hAnsi="Calibri" w:cs="Calibri"/>
                <w:color w:val="000000"/>
                <w:rtl/>
              </w:rPr>
            </w:pPr>
            <w:r w:rsidRPr="005A6982">
              <w:rPr>
                <w:rFonts w:ascii="Calibri" w:eastAsia="Times New Roman" w:hAnsi="Calibri" w:cs="Calibri"/>
                <w:color w:val="000000" w:themeColor="text1"/>
                <w:rtl/>
              </w:rPr>
              <w:t>(אחוזים)</w:t>
            </w:r>
          </w:p>
        </w:tc>
      </w:tr>
      <w:tr w:rsidR="00117D7A" w:rsidRPr="005A6982" w14:paraId="73F6E1BD" w14:textId="77777777" w:rsidTr="6A05EF4E">
        <w:trPr>
          <w:trHeight w:val="660"/>
          <w:jc w:val="center"/>
        </w:trPr>
        <w:tc>
          <w:tcPr>
            <w:tcW w:w="2837" w:type="dxa"/>
            <w:tcBorders>
              <w:top w:val="nil"/>
              <w:left w:val="nil"/>
              <w:bottom w:val="single" w:sz="4" w:space="0" w:color="1F497D" w:themeColor="text2"/>
              <w:right w:val="nil"/>
            </w:tcBorders>
            <w:noWrap/>
            <w:vAlign w:val="bottom"/>
            <w:hideMark/>
          </w:tcPr>
          <w:p w14:paraId="1A217160" w14:textId="77777777" w:rsidR="00117D7A" w:rsidRPr="005A6982" w:rsidRDefault="00117D7A" w:rsidP="004E7CD7">
            <w:pPr>
              <w:bidi/>
              <w:spacing w:after="0" w:line="360" w:lineRule="auto"/>
              <w:rPr>
                <w:rFonts w:ascii="Calibri" w:eastAsia="Times New Roman" w:hAnsi="Calibri" w:cs="Calibri"/>
                <w:color w:val="000000"/>
              </w:rPr>
            </w:pPr>
            <w:r w:rsidRPr="005A6982">
              <w:rPr>
                <w:rFonts w:ascii="Calibri" w:eastAsia="Times New Roman" w:hAnsi="Calibri" w:cs="Calibri"/>
                <w:color w:val="000000"/>
              </w:rPr>
              <w:lastRenderedPageBreak/>
              <w:t> </w:t>
            </w:r>
          </w:p>
        </w:tc>
        <w:tc>
          <w:tcPr>
            <w:tcW w:w="2379" w:type="dxa"/>
            <w:tcBorders>
              <w:top w:val="nil"/>
              <w:left w:val="nil"/>
              <w:bottom w:val="nil"/>
              <w:right w:val="nil"/>
            </w:tcBorders>
            <w:vAlign w:val="center"/>
            <w:hideMark/>
          </w:tcPr>
          <w:p w14:paraId="10073124" w14:textId="77777777" w:rsidR="00117D7A" w:rsidRPr="005A6982" w:rsidRDefault="00117D7A" w:rsidP="004E7CD7">
            <w:pPr>
              <w:bidi/>
              <w:spacing w:after="0" w:line="360" w:lineRule="auto"/>
              <w:jc w:val="center"/>
              <w:rPr>
                <w:rFonts w:ascii="Calibri" w:eastAsia="Times New Roman" w:hAnsi="Calibri" w:cs="Calibri"/>
                <w:color w:val="1F497D"/>
              </w:rPr>
            </w:pPr>
            <w:r w:rsidRPr="005A6982">
              <w:rPr>
                <w:rFonts w:ascii="Calibri" w:eastAsia="Times New Roman" w:hAnsi="Calibri" w:cs="Calibri"/>
                <w:color w:val="1F497D" w:themeColor="text2"/>
                <w:rtl/>
              </w:rPr>
              <w:t>חטיבת המחקר של בנק ישראל</w:t>
            </w:r>
            <w:r w:rsidRPr="005A6982">
              <w:rPr>
                <w:rFonts w:ascii="Calibri" w:eastAsia="Times New Roman" w:hAnsi="Calibri" w:cs="Calibri"/>
                <w:color w:val="1F497D" w:themeColor="text2"/>
                <w:vertAlign w:val="superscript"/>
              </w:rPr>
              <w:t>1</w:t>
            </w:r>
          </w:p>
        </w:tc>
        <w:tc>
          <w:tcPr>
            <w:tcW w:w="2370" w:type="dxa"/>
            <w:tcBorders>
              <w:top w:val="nil"/>
              <w:left w:val="nil"/>
              <w:bottom w:val="single" w:sz="4" w:space="0" w:color="1F497D" w:themeColor="text2"/>
              <w:right w:val="nil"/>
            </w:tcBorders>
            <w:vAlign w:val="center"/>
            <w:hideMark/>
          </w:tcPr>
          <w:p w14:paraId="7EF4ED91" w14:textId="77777777" w:rsidR="00117D7A" w:rsidRPr="005A6982" w:rsidRDefault="00117D7A"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שוק ההון</w:t>
            </w:r>
            <w:r w:rsidRPr="005A6982">
              <w:rPr>
                <w:rFonts w:ascii="Calibri" w:eastAsia="Times New Roman" w:hAnsi="Calibri" w:cs="Calibri"/>
                <w:color w:val="1F497D" w:themeColor="text2"/>
                <w:vertAlign w:val="superscript"/>
              </w:rPr>
              <w:t>2</w:t>
            </w:r>
          </w:p>
        </w:tc>
        <w:tc>
          <w:tcPr>
            <w:tcW w:w="2160" w:type="dxa"/>
            <w:tcBorders>
              <w:top w:val="nil"/>
              <w:left w:val="nil"/>
              <w:bottom w:val="single" w:sz="4" w:space="0" w:color="1F497D" w:themeColor="text2"/>
              <w:right w:val="nil"/>
            </w:tcBorders>
            <w:vAlign w:val="center"/>
            <w:hideMark/>
          </w:tcPr>
          <w:p w14:paraId="154ADC6C" w14:textId="77777777" w:rsidR="00117D7A" w:rsidRPr="005A6982" w:rsidRDefault="00117D7A" w:rsidP="004E7CD7">
            <w:pPr>
              <w:bidi/>
              <w:spacing w:after="0" w:line="360" w:lineRule="auto"/>
              <w:jc w:val="center"/>
              <w:rPr>
                <w:rFonts w:ascii="Calibri" w:eastAsia="Times New Roman" w:hAnsi="Calibri" w:cs="Calibri"/>
                <w:color w:val="1F497D"/>
                <w:rtl/>
              </w:rPr>
            </w:pPr>
            <w:r w:rsidRPr="005A6982">
              <w:rPr>
                <w:rFonts w:ascii="Calibri" w:eastAsia="Times New Roman" w:hAnsi="Calibri" w:cs="Calibri"/>
                <w:color w:val="1F497D" w:themeColor="text2"/>
                <w:rtl/>
              </w:rPr>
              <w:t>החזאים הפרטיים</w:t>
            </w:r>
            <w:r w:rsidRPr="005A6982">
              <w:rPr>
                <w:rFonts w:ascii="Calibri" w:eastAsia="Times New Roman" w:hAnsi="Calibri" w:cs="Calibri"/>
                <w:color w:val="1F497D" w:themeColor="text2"/>
                <w:vertAlign w:val="superscript"/>
              </w:rPr>
              <w:t>3</w:t>
            </w:r>
            <w:r w:rsidRPr="005A6982">
              <w:rPr>
                <w:rFonts w:ascii="Calibri" w:hAnsi="Calibri" w:cs="Calibri"/>
              </w:rPr>
              <w:br/>
            </w:r>
            <w:r w:rsidRPr="005A6982">
              <w:rPr>
                <w:rFonts w:ascii="Calibri" w:eastAsia="Times New Roman" w:hAnsi="Calibri" w:cs="Calibri"/>
                <w:color w:val="1F497D" w:themeColor="text2"/>
                <w:rtl/>
              </w:rPr>
              <w:t>(טווח התחזיות)</w:t>
            </w:r>
          </w:p>
        </w:tc>
      </w:tr>
      <w:tr w:rsidR="00117D7A" w:rsidRPr="005A6982" w14:paraId="03D15DBD" w14:textId="77777777" w:rsidTr="6A05EF4E">
        <w:trPr>
          <w:trHeight w:val="300"/>
          <w:jc w:val="center"/>
        </w:trPr>
        <w:tc>
          <w:tcPr>
            <w:tcW w:w="2837" w:type="dxa"/>
            <w:tcBorders>
              <w:top w:val="nil"/>
              <w:left w:val="nil"/>
              <w:bottom w:val="nil"/>
              <w:right w:val="nil"/>
            </w:tcBorders>
            <w:vAlign w:val="center"/>
            <w:hideMark/>
          </w:tcPr>
          <w:p w14:paraId="613F0CF0" w14:textId="77777777" w:rsidR="00117D7A" w:rsidRPr="005A6982" w:rsidRDefault="00117D7A" w:rsidP="004E7CD7">
            <w:pPr>
              <w:bidi/>
              <w:spacing w:after="0" w:line="360" w:lineRule="auto"/>
              <w:rPr>
                <w:rFonts w:ascii="Calibri" w:eastAsia="Times New Roman" w:hAnsi="Calibri" w:cs="Calibri"/>
                <w:rtl/>
              </w:rPr>
            </w:pPr>
            <w:r w:rsidRPr="005A6982">
              <w:rPr>
                <w:rFonts w:ascii="Calibri" w:eastAsia="Times New Roman" w:hAnsi="Calibri" w:cs="Calibri"/>
                <w:rtl/>
              </w:rPr>
              <w:t>האינפלציה</w:t>
            </w:r>
          </w:p>
        </w:tc>
        <w:tc>
          <w:tcPr>
            <w:tcW w:w="2379" w:type="dxa"/>
            <w:tcBorders>
              <w:top w:val="single" w:sz="4" w:space="0" w:color="1F497D" w:themeColor="text2"/>
              <w:left w:val="nil"/>
              <w:bottom w:val="nil"/>
              <w:right w:val="nil"/>
            </w:tcBorders>
            <w:noWrap/>
            <w:vAlign w:val="bottom"/>
            <w:hideMark/>
          </w:tcPr>
          <w:p w14:paraId="4AE04800" w14:textId="77777777" w:rsidR="00117D7A" w:rsidRPr="005A6982" w:rsidRDefault="002D4184" w:rsidP="004E7CD7">
            <w:pPr>
              <w:bidi/>
              <w:spacing w:after="0" w:line="360" w:lineRule="auto"/>
              <w:jc w:val="center"/>
              <w:rPr>
                <w:rFonts w:ascii="Calibri" w:eastAsia="Times New Roman" w:hAnsi="Calibri" w:cs="Calibri"/>
                <w:color w:val="000000"/>
                <w:highlight w:val="yellow"/>
                <w:rtl/>
              </w:rPr>
            </w:pPr>
            <w:r w:rsidRPr="005A6982">
              <w:rPr>
                <w:rFonts w:ascii="Calibri" w:eastAsia="Times New Roman" w:hAnsi="Calibri" w:cs="Calibri"/>
                <w:color w:val="000000" w:themeColor="text1"/>
              </w:rPr>
              <w:t>1.</w:t>
            </w:r>
            <w:r w:rsidR="00941B96" w:rsidRPr="005A6982">
              <w:rPr>
                <w:rFonts w:ascii="Calibri" w:eastAsia="Times New Roman" w:hAnsi="Calibri" w:cs="Calibri"/>
                <w:color w:val="000000" w:themeColor="text1"/>
              </w:rPr>
              <w:t>8</w:t>
            </w:r>
          </w:p>
        </w:tc>
        <w:tc>
          <w:tcPr>
            <w:tcW w:w="2370" w:type="dxa"/>
            <w:tcBorders>
              <w:top w:val="nil"/>
              <w:left w:val="nil"/>
              <w:bottom w:val="nil"/>
              <w:right w:val="nil"/>
            </w:tcBorders>
            <w:noWrap/>
            <w:vAlign w:val="bottom"/>
            <w:hideMark/>
          </w:tcPr>
          <w:p w14:paraId="193708A9" w14:textId="77777777" w:rsidR="00117D7A" w:rsidRPr="005A6982" w:rsidRDefault="001A2323" w:rsidP="004E7CD7">
            <w:pPr>
              <w:bidi/>
              <w:spacing w:after="0" w:line="360" w:lineRule="auto"/>
              <w:jc w:val="center"/>
              <w:rPr>
                <w:rFonts w:ascii="Calibri" w:eastAsia="Times New Roman" w:hAnsi="Calibri" w:cs="Calibri"/>
                <w:color w:val="000000" w:themeColor="text1"/>
                <w:highlight w:val="yellow"/>
                <w:rtl/>
              </w:rPr>
            </w:pPr>
            <w:r w:rsidRPr="005A6982">
              <w:rPr>
                <w:rFonts w:ascii="Calibri" w:eastAsia="Times New Roman" w:hAnsi="Calibri" w:cs="Calibri"/>
                <w:color w:val="000000" w:themeColor="text1"/>
              </w:rPr>
              <w:t>1.</w:t>
            </w:r>
            <w:r w:rsidR="78084BA9" w:rsidRPr="005A6982">
              <w:rPr>
                <w:rFonts w:ascii="Calibri" w:eastAsia="Times New Roman" w:hAnsi="Calibri" w:cs="Calibri"/>
                <w:color w:val="000000" w:themeColor="text1"/>
              </w:rPr>
              <w:t>4</w:t>
            </w:r>
          </w:p>
        </w:tc>
        <w:tc>
          <w:tcPr>
            <w:tcW w:w="2160" w:type="dxa"/>
            <w:tcBorders>
              <w:top w:val="nil"/>
              <w:left w:val="nil"/>
              <w:bottom w:val="nil"/>
              <w:right w:val="nil"/>
            </w:tcBorders>
            <w:noWrap/>
            <w:vAlign w:val="bottom"/>
            <w:hideMark/>
          </w:tcPr>
          <w:p w14:paraId="6F53FB02" w14:textId="77777777" w:rsidR="00117D7A" w:rsidRPr="005A6982" w:rsidRDefault="001A2323" w:rsidP="004E7CD7">
            <w:pPr>
              <w:bidi/>
              <w:spacing w:after="0" w:line="360" w:lineRule="auto"/>
              <w:jc w:val="center"/>
              <w:rPr>
                <w:rFonts w:ascii="Calibri" w:eastAsia="Times New Roman" w:hAnsi="Calibri" w:cs="Calibri"/>
                <w:color w:val="000000" w:themeColor="text1"/>
                <w:rtl/>
              </w:rPr>
            </w:pPr>
            <w:r w:rsidRPr="005A6982">
              <w:rPr>
                <w:rFonts w:ascii="Calibri" w:eastAsia="Times New Roman" w:hAnsi="Calibri" w:cs="Calibri"/>
                <w:color w:val="000000" w:themeColor="text1"/>
              </w:rPr>
              <w:t>1.8</w:t>
            </w:r>
            <w:r w:rsidRPr="005A6982">
              <w:rPr>
                <w:rFonts w:ascii="Calibri" w:eastAsia="Times New Roman" w:hAnsi="Calibri" w:cs="Calibri"/>
                <w:color w:val="000000" w:themeColor="text1"/>
                <w:rtl/>
              </w:rPr>
              <w:t xml:space="preserve"> (</w:t>
            </w:r>
            <w:r w:rsidRPr="005A6982">
              <w:rPr>
                <w:rFonts w:ascii="Calibri" w:eastAsia="Times New Roman" w:hAnsi="Calibri" w:cs="Calibri"/>
                <w:color w:val="000000" w:themeColor="text1"/>
              </w:rPr>
              <w:t>1.</w:t>
            </w:r>
            <w:r w:rsidR="004F2A3C" w:rsidRPr="005A6982">
              <w:rPr>
                <w:rFonts w:ascii="Calibri" w:eastAsia="Times New Roman" w:hAnsi="Calibri" w:cs="Calibri"/>
                <w:color w:val="000000" w:themeColor="text1"/>
              </w:rPr>
              <w:t>3</w:t>
            </w:r>
            <w:r w:rsidRPr="005A6982">
              <w:rPr>
                <w:rFonts w:ascii="Calibri" w:eastAsia="Times New Roman" w:hAnsi="Calibri" w:cs="Calibri"/>
                <w:color w:val="000000" w:themeColor="text1"/>
              </w:rPr>
              <w:t>-2.</w:t>
            </w:r>
            <w:r w:rsidR="2A20F94C" w:rsidRPr="005A6982">
              <w:rPr>
                <w:rFonts w:ascii="Calibri" w:eastAsia="Times New Roman" w:hAnsi="Calibri" w:cs="Calibri"/>
                <w:color w:val="000000" w:themeColor="text1"/>
              </w:rPr>
              <w:t>0</w:t>
            </w:r>
            <w:r w:rsidRPr="005A6982">
              <w:rPr>
                <w:rFonts w:ascii="Calibri" w:eastAsia="Times New Roman" w:hAnsi="Calibri" w:cs="Calibri"/>
                <w:color w:val="000000" w:themeColor="text1"/>
                <w:rtl/>
              </w:rPr>
              <w:t>)</w:t>
            </w:r>
          </w:p>
        </w:tc>
      </w:tr>
      <w:tr w:rsidR="00117D7A" w:rsidRPr="005A6982" w14:paraId="6E17308B" w14:textId="77777777" w:rsidTr="6A05EF4E">
        <w:trPr>
          <w:trHeight w:val="300"/>
          <w:jc w:val="center"/>
        </w:trPr>
        <w:tc>
          <w:tcPr>
            <w:tcW w:w="2837" w:type="dxa"/>
            <w:tcBorders>
              <w:top w:val="nil"/>
              <w:left w:val="nil"/>
              <w:bottom w:val="single" w:sz="4" w:space="0" w:color="1F497D" w:themeColor="text2"/>
              <w:right w:val="nil"/>
            </w:tcBorders>
            <w:vAlign w:val="center"/>
            <w:hideMark/>
          </w:tcPr>
          <w:p w14:paraId="1205BF41" w14:textId="77777777" w:rsidR="00117D7A" w:rsidRPr="005A6982" w:rsidRDefault="00117D7A" w:rsidP="004E7CD7">
            <w:pPr>
              <w:bidi/>
              <w:spacing w:after="0" w:line="360" w:lineRule="auto"/>
              <w:rPr>
                <w:rFonts w:ascii="Calibri" w:eastAsia="Times New Roman" w:hAnsi="Calibri" w:cs="Calibri"/>
                <w:color w:val="000000"/>
                <w:rtl/>
              </w:rPr>
            </w:pPr>
            <w:r w:rsidRPr="005A6982">
              <w:rPr>
                <w:rFonts w:ascii="Calibri" w:eastAsia="Times New Roman" w:hAnsi="Calibri" w:cs="Calibri"/>
                <w:color w:val="000000" w:themeColor="text1"/>
                <w:rtl/>
              </w:rPr>
              <w:t>ריבית בנק ישראל</w:t>
            </w:r>
          </w:p>
        </w:tc>
        <w:tc>
          <w:tcPr>
            <w:tcW w:w="2379" w:type="dxa"/>
            <w:tcBorders>
              <w:top w:val="nil"/>
              <w:left w:val="nil"/>
              <w:bottom w:val="single" w:sz="4" w:space="0" w:color="1F497D" w:themeColor="text2"/>
              <w:right w:val="nil"/>
            </w:tcBorders>
            <w:noWrap/>
            <w:vAlign w:val="bottom"/>
            <w:hideMark/>
          </w:tcPr>
          <w:p w14:paraId="0186DECF" w14:textId="789D9E69" w:rsidR="00117D7A" w:rsidRPr="005A6982" w:rsidRDefault="58C679E2" w:rsidP="004E7CD7">
            <w:pPr>
              <w:bidi/>
              <w:spacing w:after="0" w:line="360" w:lineRule="auto"/>
              <w:jc w:val="center"/>
              <w:rPr>
                <w:rFonts w:ascii="Calibri" w:hAnsi="Calibri" w:cs="Calibri"/>
              </w:rPr>
            </w:pPr>
            <w:r w:rsidRPr="005A6982">
              <w:rPr>
                <w:rFonts w:ascii="Calibri" w:eastAsia="Times New Roman" w:hAnsi="Calibri" w:cs="Calibri"/>
                <w:color w:val="000000" w:themeColor="text1"/>
              </w:rPr>
              <w:t>3.0</w:t>
            </w:r>
          </w:p>
        </w:tc>
        <w:tc>
          <w:tcPr>
            <w:tcW w:w="2370" w:type="dxa"/>
            <w:tcBorders>
              <w:top w:val="nil"/>
              <w:left w:val="nil"/>
              <w:bottom w:val="single" w:sz="4" w:space="0" w:color="1F497D" w:themeColor="text2"/>
              <w:right w:val="nil"/>
            </w:tcBorders>
            <w:noWrap/>
            <w:vAlign w:val="bottom"/>
            <w:hideMark/>
          </w:tcPr>
          <w:p w14:paraId="2E1E5589" w14:textId="77777777" w:rsidR="00117D7A" w:rsidRPr="005A6982" w:rsidRDefault="001A2323" w:rsidP="004E7CD7">
            <w:pPr>
              <w:bidi/>
              <w:spacing w:after="0" w:line="360" w:lineRule="auto"/>
              <w:jc w:val="center"/>
              <w:rPr>
                <w:rFonts w:ascii="Calibri" w:eastAsia="Times New Roman" w:hAnsi="Calibri" w:cs="Calibri"/>
                <w:color w:val="000000" w:themeColor="text1"/>
                <w:highlight w:val="yellow"/>
              </w:rPr>
            </w:pPr>
            <w:r w:rsidRPr="005A6982">
              <w:rPr>
                <w:rFonts w:ascii="Calibri" w:eastAsia="Times New Roman" w:hAnsi="Calibri" w:cs="Calibri"/>
                <w:color w:val="000000" w:themeColor="text1"/>
              </w:rPr>
              <w:t>3.0</w:t>
            </w:r>
          </w:p>
        </w:tc>
        <w:tc>
          <w:tcPr>
            <w:tcW w:w="2160" w:type="dxa"/>
            <w:tcBorders>
              <w:top w:val="nil"/>
              <w:left w:val="nil"/>
              <w:bottom w:val="single" w:sz="4" w:space="0" w:color="1F497D" w:themeColor="text2"/>
              <w:right w:val="nil"/>
            </w:tcBorders>
            <w:noWrap/>
            <w:vAlign w:val="bottom"/>
            <w:hideMark/>
          </w:tcPr>
          <w:p w14:paraId="5CC4344C" w14:textId="77777777" w:rsidR="00117D7A" w:rsidRPr="005A6982" w:rsidRDefault="001A2323" w:rsidP="004E7CD7">
            <w:pPr>
              <w:bidi/>
              <w:spacing w:after="0" w:line="360" w:lineRule="auto"/>
              <w:jc w:val="center"/>
              <w:rPr>
                <w:rFonts w:ascii="Calibri" w:eastAsia="Times New Roman" w:hAnsi="Calibri" w:cs="Calibri"/>
                <w:color w:val="000000" w:themeColor="text1"/>
                <w:highlight w:val="yellow"/>
                <w:rtl/>
              </w:rPr>
            </w:pPr>
            <w:r w:rsidRPr="005A6982">
              <w:rPr>
                <w:rFonts w:ascii="Calibri" w:eastAsia="Times New Roman" w:hAnsi="Calibri" w:cs="Calibri"/>
                <w:color w:val="000000" w:themeColor="text1"/>
              </w:rPr>
              <w:t>3.0</w:t>
            </w:r>
            <w:r w:rsidRPr="005A6982">
              <w:rPr>
                <w:rFonts w:ascii="Calibri" w:eastAsia="Times New Roman" w:hAnsi="Calibri" w:cs="Calibri"/>
                <w:color w:val="000000" w:themeColor="text1"/>
                <w:rtl/>
              </w:rPr>
              <w:t xml:space="preserve"> (</w:t>
            </w:r>
            <w:r w:rsidRPr="005A6982">
              <w:rPr>
                <w:rFonts w:ascii="Calibri" w:eastAsia="Times New Roman" w:hAnsi="Calibri" w:cs="Calibri"/>
                <w:color w:val="000000" w:themeColor="text1"/>
              </w:rPr>
              <w:t>2.75-3.5</w:t>
            </w:r>
            <w:r w:rsidRPr="005A6982">
              <w:rPr>
                <w:rFonts w:ascii="Calibri" w:eastAsia="Times New Roman" w:hAnsi="Calibri" w:cs="Calibri"/>
                <w:color w:val="000000" w:themeColor="text1"/>
                <w:rtl/>
              </w:rPr>
              <w:t>)</w:t>
            </w:r>
          </w:p>
        </w:tc>
      </w:tr>
      <w:tr w:rsidR="00117D7A" w:rsidRPr="005A6982" w14:paraId="59EA8038" w14:textId="77777777" w:rsidTr="6A05EF4E">
        <w:trPr>
          <w:trHeight w:val="285"/>
          <w:jc w:val="center"/>
        </w:trPr>
        <w:tc>
          <w:tcPr>
            <w:tcW w:w="9746" w:type="dxa"/>
            <w:gridSpan w:val="4"/>
            <w:tcBorders>
              <w:top w:val="nil"/>
              <w:left w:val="nil"/>
              <w:bottom w:val="nil"/>
              <w:right w:val="nil"/>
            </w:tcBorders>
            <w:noWrap/>
            <w:vAlign w:val="bottom"/>
          </w:tcPr>
          <w:p w14:paraId="0AAE406E" w14:textId="77777777" w:rsidR="00117D7A" w:rsidRPr="005A6982" w:rsidRDefault="00117D7A" w:rsidP="004E7CD7">
            <w:pPr>
              <w:bidi/>
              <w:spacing w:after="0" w:line="360" w:lineRule="auto"/>
              <w:rPr>
                <w:rFonts w:ascii="Calibri" w:eastAsia="Times New Roman" w:hAnsi="Calibri" w:cs="Calibri"/>
                <w:color w:val="000000"/>
                <w:rtl/>
              </w:rPr>
            </w:pPr>
            <w:r w:rsidRPr="005A6982">
              <w:rPr>
                <w:rFonts w:ascii="Calibri" w:eastAsia="Times New Roman" w:hAnsi="Calibri" w:cs="Calibri"/>
                <w:color w:val="000000" w:themeColor="text1"/>
                <w:vertAlign w:val="superscript"/>
              </w:rPr>
              <w:t>1</w:t>
            </w:r>
            <w:r w:rsidRPr="005A6982">
              <w:rPr>
                <w:rFonts w:ascii="Calibri" w:eastAsia="Times New Roman" w:hAnsi="Calibri" w:cs="Calibri"/>
                <w:color w:val="000000" w:themeColor="text1"/>
                <w:rtl/>
              </w:rPr>
              <w:t xml:space="preserve"> תחזית לאינפלציה בארבעת הרבעונים המסתיימים ברבעון </w:t>
            </w:r>
            <w:r w:rsidR="001A2323" w:rsidRPr="005A6982">
              <w:rPr>
                <w:rFonts w:ascii="Calibri" w:eastAsia="Times New Roman" w:hAnsi="Calibri" w:cs="Calibri"/>
                <w:color w:val="000000" w:themeColor="text1"/>
                <w:rtl/>
              </w:rPr>
              <w:t>השני</w:t>
            </w:r>
            <w:r w:rsidRPr="005A6982">
              <w:rPr>
                <w:rFonts w:ascii="Calibri" w:eastAsia="Times New Roman" w:hAnsi="Calibri" w:cs="Calibri"/>
                <w:color w:val="000000" w:themeColor="text1"/>
                <w:rtl/>
              </w:rPr>
              <w:t xml:space="preserve"> של </w:t>
            </w:r>
            <w:r w:rsidRPr="005A6982">
              <w:rPr>
                <w:rFonts w:ascii="Calibri" w:eastAsia="Times New Roman" w:hAnsi="Calibri" w:cs="Calibri"/>
                <w:color w:val="000000" w:themeColor="text1"/>
              </w:rPr>
              <w:t>2027</w:t>
            </w:r>
            <w:r w:rsidRPr="005A6982">
              <w:rPr>
                <w:rFonts w:ascii="Calibri" w:eastAsia="Times New Roman" w:hAnsi="Calibri" w:cs="Calibri"/>
                <w:color w:val="000000" w:themeColor="text1"/>
                <w:rtl/>
              </w:rPr>
              <w:t xml:space="preserve"> ולריבית הממוצעת ברבעון </w:t>
            </w:r>
            <w:r w:rsidR="001A2323" w:rsidRPr="005A6982">
              <w:rPr>
                <w:rFonts w:ascii="Calibri" w:eastAsia="Times New Roman" w:hAnsi="Calibri" w:cs="Calibri"/>
                <w:color w:val="000000" w:themeColor="text1"/>
                <w:rtl/>
              </w:rPr>
              <w:t>השני</w:t>
            </w:r>
            <w:r w:rsidRPr="005A6982">
              <w:rPr>
                <w:rFonts w:ascii="Calibri" w:eastAsia="Times New Roman" w:hAnsi="Calibri" w:cs="Calibri"/>
                <w:color w:val="000000" w:themeColor="text1"/>
                <w:rtl/>
              </w:rPr>
              <w:t xml:space="preserve"> של </w:t>
            </w:r>
            <w:r w:rsidRPr="005A6982">
              <w:rPr>
                <w:rFonts w:ascii="Calibri" w:eastAsia="Times New Roman" w:hAnsi="Calibri" w:cs="Calibri"/>
                <w:color w:val="000000" w:themeColor="text1"/>
              </w:rPr>
              <w:t>2027</w:t>
            </w:r>
            <w:r w:rsidRPr="005A6982">
              <w:rPr>
                <w:rFonts w:ascii="Calibri" w:eastAsia="Times New Roman" w:hAnsi="Calibri" w:cs="Calibri"/>
                <w:color w:val="000000" w:themeColor="text1"/>
                <w:rtl/>
              </w:rPr>
              <w:t>.</w:t>
            </w:r>
          </w:p>
        </w:tc>
      </w:tr>
      <w:tr w:rsidR="00117D7A" w:rsidRPr="005A6982" w14:paraId="55586352" w14:textId="77777777" w:rsidTr="6A05EF4E">
        <w:trPr>
          <w:trHeight w:val="285"/>
          <w:jc w:val="center"/>
        </w:trPr>
        <w:tc>
          <w:tcPr>
            <w:tcW w:w="9746" w:type="dxa"/>
            <w:gridSpan w:val="4"/>
            <w:tcBorders>
              <w:top w:val="nil"/>
              <w:left w:val="nil"/>
              <w:bottom w:val="nil"/>
              <w:right w:val="nil"/>
            </w:tcBorders>
            <w:noWrap/>
            <w:vAlign w:val="center"/>
            <w:hideMark/>
          </w:tcPr>
          <w:p w14:paraId="1445D065" w14:textId="77777777" w:rsidR="00117D7A" w:rsidRPr="005A6982" w:rsidRDefault="00117D7A" w:rsidP="004E7CD7">
            <w:pPr>
              <w:bidi/>
              <w:spacing w:after="0" w:line="360" w:lineRule="auto"/>
              <w:rPr>
                <w:rFonts w:ascii="Calibri" w:eastAsia="Times New Roman" w:hAnsi="Calibri" w:cs="Calibri"/>
                <w:color w:val="000000"/>
                <w:rtl/>
              </w:rPr>
            </w:pPr>
            <w:proofErr w:type="gramStart"/>
            <w:r w:rsidRPr="005A6982">
              <w:rPr>
                <w:rFonts w:ascii="Calibri" w:eastAsia="Times New Roman" w:hAnsi="Calibri" w:cs="Calibri"/>
                <w:color w:val="000000" w:themeColor="text1"/>
                <w:vertAlign w:val="superscript"/>
              </w:rPr>
              <w:t>2</w:t>
            </w:r>
            <w:r w:rsidRPr="005A6982">
              <w:rPr>
                <w:rFonts w:ascii="Calibri" w:eastAsia="Times New Roman" w:hAnsi="Calibri" w:cs="Calibri"/>
                <w:color w:val="000000" w:themeColor="text1"/>
                <w:rtl/>
              </w:rPr>
              <w:t xml:space="preserve"> נכון</w:t>
            </w:r>
            <w:proofErr w:type="gramEnd"/>
            <w:r w:rsidRPr="005A6982">
              <w:rPr>
                <w:rFonts w:ascii="Calibri" w:eastAsia="Times New Roman" w:hAnsi="Calibri" w:cs="Calibri"/>
                <w:color w:val="000000" w:themeColor="text1"/>
                <w:rtl/>
              </w:rPr>
              <w:t xml:space="preserve"> לנתוני ה-</w:t>
            </w:r>
            <w:r w:rsidR="00B96C73" w:rsidRPr="005A6982">
              <w:rPr>
                <w:rFonts w:ascii="Calibri" w:eastAsia="Times New Roman" w:hAnsi="Calibri" w:cs="Calibri"/>
                <w:color w:val="000000" w:themeColor="text1"/>
              </w:rPr>
              <w:t>03</w:t>
            </w:r>
            <w:r w:rsidRPr="005A6982">
              <w:rPr>
                <w:rFonts w:ascii="Calibri" w:eastAsia="Times New Roman" w:hAnsi="Calibri" w:cs="Calibri"/>
                <w:color w:val="000000" w:themeColor="text1"/>
              </w:rPr>
              <w:t>/</w:t>
            </w:r>
            <w:r w:rsidR="001A2323" w:rsidRPr="005A6982">
              <w:rPr>
                <w:rFonts w:ascii="Calibri" w:eastAsia="Times New Roman" w:hAnsi="Calibri" w:cs="Calibri"/>
                <w:color w:val="000000" w:themeColor="text1"/>
              </w:rPr>
              <w:t>0</w:t>
            </w:r>
            <w:r w:rsidR="7E35778B" w:rsidRPr="005A6982">
              <w:rPr>
                <w:rFonts w:ascii="Calibri" w:eastAsia="Times New Roman" w:hAnsi="Calibri" w:cs="Calibri"/>
                <w:color w:val="000000" w:themeColor="text1"/>
              </w:rPr>
              <w:t>7</w:t>
            </w:r>
            <w:r w:rsidRPr="005A6982">
              <w:rPr>
                <w:rFonts w:ascii="Calibri" w:eastAsia="Times New Roman" w:hAnsi="Calibri" w:cs="Calibri"/>
                <w:color w:val="000000" w:themeColor="text1"/>
              </w:rPr>
              <w:t>/2026</w:t>
            </w:r>
            <w:r w:rsidRPr="005A6982">
              <w:rPr>
                <w:rFonts w:ascii="Calibri" w:eastAsia="Times New Roman" w:hAnsi="Calibri" w:cs="Calibri"/>
                <w:color w:val="000000" w:themeColor="text1"/>
                <w:rtl/>
              </w:rPr>
              <w:t>. ציפיות האינפלציה מנוכות עונתיות ומתייחסות לשנה קדימה והציפיות לריבית מבוססות על ממוצע ציטוטי שוק ה-</w:t>
            </w:r>
            <w:r w:rsidRPr="005A6982">
              <w:rPr>
                <w:rFonts w:ascii="Calibri" w:eastAsia="Times New Roman" w:hAnsi="Calibri" w:cs="Calibri"/>
                <w:color w:val="000000" w:themeColor="text1"/>
              </w:rPr>
              <w:t>SHIR</w:t>
            </w:r>
            <w:r w:rsidRPr="005A6982">
              <w:rPr>
                <w:rFonts w:ascii="Calibri" w:eastAsia="Times New Roman" w:hAnsi="Calibri" w:cs="Calibri"/>
                <w:color w:val="000000" w:themeColor="text1"/>
                <w:rtl/>
              </w:rPr>
              <w:t xml:space="preserve"> ועיבודי בנק ישראל. </w:t>
            </w:r>
          </w:p>
        </w:tc>
      </w:tr>
      <w:tr w:rsidR="00117D7A" w:rsidRPr="005A6982" w14:paraId="4E4BCBCA" w14:textId="77777777" w:rsidTr="6A05EF4E">
        <w:trPr>
          <w:trHeight w:val="285"/>
          <w:jc w:val="center"/>
        </w:trPr>
        <w:tc>
          <w:tcPr>
            <w:tcW w:w="9746" w:type="dxa"/>
            <w:gridSpan w:val="4"/>
            <w:tcBorders>
              <w:top w:val="nil"/>
              <w:left w:val="nil"/>
              <w:bottom w:val="nil"/>
              <w:right w:val="nil"/>
            </w:tcBorders>
            <w:noWrap/>
            <w:vAlign w:val="bottom"/>
            <w:hideMark/>
          </w:tcPr>
          <w:p w14:paraId="3AE71635" w14:textId="77777777" w:rsidR="00117D7A" w:rsidRPr="005A6982" w:rsidRDefault="00117D7A" w:rsidP="004E7CD7">
            <w:pPr>
              <w:bidi/>
              <w:spacing w:after="0" w:line="360" w:lineRule="auto"/>
              <w:rPr>
                <w:rFonts w:ascii="Calibri" w:eastAsia="Times New Roman" w:hAnsi="Calibri" w:cs="Calibri"/>
                <w:color w:val="000000"/>
                <w:rtl/>
              </w:rPr>
            </w:pPr>
            <w:proofErr w:type="gramStart"/>
            <w:r w:rsidRPr="005A6982">
              <w:rPr>
                <w:rFonts w:ascii="Calibri" w:eastAsia="Times New Roman" w:hAnsi="Calibri" w:cs="Calibri"/>
                <w:color w:val="000000" w:themeColor="text1"/>
                <w:vertAlign w:val="superscript"/>
              </w:rPr>
              <w:t>3</w:t>
            </w:r>
            <w:r w:rsidRPr="005A6982">
              <w:rPr>
                <w:rFonts w:ascii="Calibri" w:eastAsia="Times New Roman" w:hAnsi="Calibri" w:cs="Calibri"/>
                <w:color w:val="000000" w:themeColor="text1"/>
                <w:rtl/>
              </w:rPr>
              <w:t xml:space="preserve"> נכון</w:t>
            </w:r>
            <w:proofErr w:type="gramEnd"/>
            <w:r w:rsidRPr="005A6982">
              <w:rPr>
                <w:rFonts w:ascii="Calibri" w:eastAsia="Times New Roman" w:hAnsi="Calibri" w:cs="Calibri"/>
                <w:color w:val="000000" w:themeColor="text1"/>
                <w:rtl/>
              </w:rPr>
              <w:t xml:space="preserve"> לנתוני ה-</w:t>
            </w:r>
            <w:r w:rsidR="00B96C73" w:rsidRPr="005A6982">
              <w:rPr>
                <w:rFonts w:ascii="Calibri" w:eastAsia="Times New Roman" w:hAnsi="Calibri" w:cs="Calibri"/>
                <w:color w:val="000000" w:themeColor="text1"/>
              </w:rPr>
              <w:t>03</w:t>
            </w:r>
            <w:r w:rsidRPr="005A6982">
              <w:rPr>
                <w:rFonts w:ascii="Calibri" w:eastAsia="Times New Roman" w:hAnsi="Calibri" w:cs="Calibri"/>
                <w:color w:val="000000" w:themeColor="text1"/>
              </w:rPr>
              <w:t>/</w:t>
            </w:r>
            <w:r w:rsidR="00941B96" w:rsidRPr="005A6982">
              <w:rPr>
                <w:rFonts w:ascii="Calibri" w:eastAsia="Times New Roman" w:hAnsi="Calibri" w:cs="Calibri"/>
                <w:color w:val="000000" w:themeColor="text1"/>
              </w:rPr>
              <w:t>07</w:t>
            </w:r>
            <w:r w:rsidRPr="005A6982">
              <w:rPr>
                <w:rFonts w:ascii="Calibri" w:eastAsia="Times New Roman" w:hAnsi="Calibri" w:cs="Calibri"/>
                <w:color w:val="000000" w:themeColor="text1"/>
              </w:rPr>
              <w:t>/2026</w:t>
            </w:r>
            <w:r w:rsidRPr="005A6982">
              <w:rPr>
                <w:rFonts w:ascii="Calibri" w:eastAsia="Times New Roman" w:hAnsi="Calibri" w:cs="Calibri"/>
                <w:color w:val="000000" w:themeColor="text1"/>
                <w:rtl/>
              </w:rPr>
              <w:t>. תחזיות החזאים מתייחסות ל-</w:t>
            </w:r>
            <w:r w:rsidRPr="005A6982">
              <w:rPr>
                <w:rFonts w:ascii="Calibri" w:eastAsia="Times New Roman" w:hAnsi="Calibri" w:cs="Calibri"/>
                <w:color w:val="000000" w:themeColor="text1"/>
              </w:rPr>
              <w:t>12</w:t>
            </w:r>
            <w:r w:rsidRPr="005A6982">
              <w:rPr>
                <w:rFonts w:ascii="Calibri" w:eastAsia="Times New Roman" w:hAnsi="Calibri" w:cs="Calibri"/>
                <w:color w:val="000000" w:themeColor="text1"/>
                <w:rtl/>
              </w:rPr>
              <w:t xml:space="preserve"> המדדים הבאים.</w:t>
            </w:r>
          </w:p>
        </w:tc>
      </w:tr>
      <w:tr w:rsidR="00117D7A" w:rsidRPr="005A6982" w14:paraId="459B0CC8" w14:textId="77777777" w:rsidTr="6A05EF4E">
        <w:trPr>
          <w:trHeight w:val="255"/>
          <w:jc w:val="center"/>
        </w:trPr>
        <w:tc>
          <w:tcPr>
            <w:tcW w:w="9746" w:type="dxa"/>
            <w:gridSpan w:val="4"/>
            <w:tcBorders>
              <w:top w:val="nil"/>
              <w:left w:val="nil"/>
              <w:bottom w:val="nil"/>
              <w:right w:val="nil"/>
            </w:tcBorders>
            <w:noWrap/>
            <w:vAlign w:val="center"/>
            <w:hideMark/>
          </w:tcPr>
          <w:p w14:paraId="4CD5EABC" w14:textId="77777777" w:rsidR="00117D7A" w:rsidRPr="005A6982" w:rsidRDefault="00117D7A" w:rsidP="004E7CD7">
            <w:pPr>
              <w:bidi/>
              <w:spacing w:after="0" w:line="360" w:lineRule="auto"/>
              <w:rPr>
                <w:rFonts w:ascii="Calibri" w:eastAsia="Times New Roman" w:hAnsi="Calibri" w:cs="Calibri"/>
                <w:color w:val="000000"/>
                <w:rtl/>
              </w:rPr>
            </w:pPr>
            <w:r w:rsidRPr="005A6982">
              <w:rPr>
                <w:rFonts w:ascii="Calibri" w:eastAsia="Times New Roman" w:hAnsi="Calibri" w:cs="Calibri"/>
                <w:b/>
                <w:bCs/>
                <w:color w:val="000000" w:themeColor="text1"/>
                <w:rtl/>
              </w:rPr>
              <w:t>המקור:</w:t>
            </w:r>
            <w:r w:rsidRPr="005A6982">
              <w:rPr>
                <w:rFonts w:ascii="Calibri" w:eastAsia="Times New Roman" w:hAnsi="Calibri" w:cs="Calibri"/>
                <w:color w:val="000000" w:themeColor="text1"/>
                <w:rtl/>
              </w:rPr>
              <w:t xml:space="preserve"> בנק ישראל.</w:t>
            </w:r>
          </w:p>
        </w:tc>
      </w:tr>
    </w:tbl>
    <w:bookmarkEnd w:id="4"/>
    <w:p w14:paraId="6846305E" w14:textId="77777777" w:rsidR="00117D7A" w:rsidRPr="005A6982" w:rsidRDefault="00117D7A" w:rsidP="004E7CD7">
      <w:pPr>
        <w:pStyle w:val="a"/>
        <w:rPr>
          <w:rFonts w:ascii="Calibri" w:hAnsi="Calibri" w:cs="Calibri"/>
          <w:b/>
          <w:sz w:val="24"/>
        </w:rPr>
      </w:pPr>
      <w:r w:rsidRPr="005A6982">
        <w:rPr>
          <w:rFonts w:ascii="Calibri" w:hAnsi="Calibri" w:cs="Calibri"/>
          <w:b/>
          <w:sz w:val="24"/>
          <w:rtl/>
        </w:rPr>
        <w:t>הסיכונים העיקריים לתחזית</w:t>
      </w:r>
    </w:p>
    <w:p w14:paraId="67BA6C93" w14:textId="77777777" w:rsidR="00E247D0" w:rsidRPr="005A6982" w:rsidRDefault="005967DD" w:rsidP="004E7CD7">
      <w:pPr>
        <w:tabs>
          <w:tab w:val="num" w:pos="720"/>
        </w:tabs>
        <w:bidi/>
        <w:spacing w:line="360" w:lineRule="auto"/>
        <w:ind w:left="8"/>
        <w:jc w:val="both"/>
        <w:rPr>
          <w:rFonts w:ascii="Calibri" w:hAnsi="Calibri" w:cs="Calibri"/>
          <w:rtl/>
        </w:rPr>
      </w:pPr>
      <w:r w:rsidRPr="005A6982">
        <w:rPr>
          <w:rFonts w:ascii="Calibri" w:hAnsi="Calibri" w:cs="Calibri"/>
          <w:rtl/>
        </w:rPr>
        <w:t xml:space="preserve">התחזית מאופיינת באי-וודאות באשר </w:t>
      </w:r>
      <w:r w:rsidR="00F30241" w:rsidRPr="005A6982">
        <w:rPr>
          <w:rFonts w:ascii="Calibri" w:hAnsi="Calibri" w:cs="Calibri"/>
          <w:rtl/>
        </w:rPr>
        <w:t xml:space="preserve">לסביבה הגיאופוליטית, </w:t>
      </w:r>
      <w:r w:rsidR="00E34291" w:rsidRPr="005A6982">
        <w:rPr>
          <w:rFonts w:ascii="Calibri" w:hAnsi="Calibri" w:cs="Calibri"/>
          <w:rtl/>
        </w:rPr>
        <w:t xml:space="preserve">ובפרט ביחס </w:t>
      </w:r>
      <w:r w:rsidRPr="005A6982">
        <w:rPr>
          <w:rFonts w:ascii="Calibri" w:hAnsi="Calibri" w:cs="Calibri"/>
          <w:rtl/>
        </w:rPr>
        <w:t>למשך הלחימה בלבנון</w:t>
      </w:r>
      <w:r w:rsidR="00E34291" w:rsidRPr="005A6982">
        <w:rPr>
          <w:rFonts w:ascii="Calibri" w:hAnsi="Calibri" w:cs="Calibri"/>
          <w:rtl/>
        </w:rPr>
        <w:t>, ל</w:t>
      </w:r>
      <w:r w:rsidRPr="005A6982">
        <w:rPr>
          <w:rFonts w:ascii="Calibri" w:hAnsi="Calibri" w:cs="Calibri"/>
          <w:rtl/>
        </w:rPr>
        <w:t>היקף המילואים הנדרש</w:t>
      </w:r>
      <w:r w:rsidR="00941B96" w:rsidRPr="005A6982">
        <w:rPr>
          <w:rFonts w:ascii="Calibri" w:hAnsi="Calibri" w:cs="Calibri"/>
          <w:rtl/>
        </w:rPr>
        <w:t xml:space="preserve"> ולרמת</w:t>
      </w:r>
      <w:r w:rsidR="00E34291" w:rsidRPr="005A6982">
        <w:rPr>
          <w:rFonts w:ascii="Calibri" w:hAnsi="Calibri" w:cs="Calibri"/>
          <w:rtl/>
        </w:rPr>
        <w:t xml:space="preserve"> </w:t>
      </w:r>
      <w:r w:rsidR="00941B96" w:rsidRPr="005A6982">
        <w:rPr>
          <w:rFonts w:ascii="Calibri" w:hAnsi="Calibri" w:cs="Calibri"/>
          <w:rtl/>
        </w:rPr>
        <w:t>ה</w:t>
      </w:r>
      <w:r w:rsidR="00E34291" w:rsidRPr="005A6982">
        <w:rPr>
          <w:rFonts w:ascii="Calibri" w:hAnsi="Calibri" w:cs="Calibri"/>
          <w:rtl/>
        </w:rPr>
        <w:t xml:space="preserve">סיכונים בעקבות </w:t>
      </w:r>
      <w:r w:rsidRPr="005A6982">
        <w:rPr>
          <w:rFonts w:ascii="Calibri" w:hAnsi="Calibri" w:cs="Calibri"/>
          <w:rtl/>
        </w:rPr>
        <w:t xml:space="preserve">ההסכם בין ארה"ב ואיראן. </w:t>
      </w:r>
      <w:r w:rsidR="0077365E" w:rsidRPr="005A6982">
        <w:rPr>
          <w:rFonts w:ascii="Calibri" w:hAnsi="Calibri" w:cs="Calibri"/>
          <w:rtl/>
        </w:rPr>
        <w:t xml:space="preserve">התלקחות </w:t>
      </w:r>
      <w:r w:rsidR="00E34291" w:rsidRPr="005A6982">
        <w:rPr>
          <w:rFonts w:ascii="Calibri" w:hAnsi="Calibri" w:cs="Calibri"/>
          <w:rtl/>
        </w:rPr>
        <w:t>מחודשת</w:t>
      </w:r>
      <w:r w:rsidR="0077365E" w:rsidRPr="005A6982">
        <w:rPr>
          <w:rFonts w:ascii="Calibri" w:hAnsi="Calibri" w:cs="Calibri"/>
          <w:rtl/>
        </w:rPr>
        <w:t xml:space="preserve"> מול איראן</w:t>
      </w:r>
      <w:r w:rsidR="00C52E6B" w:rsidRPr="005A6982">
        <w:rPr>
          <w:rFonts w:ascii="Calibri" w:hAnsi="Calibri" w:cs="Calibri" w:hint="cs"/>
          <w:rtl/>
        </w:rPr>
        <w:t xml:space="preserve"> או בחזיתות אחרות,</w:t>
      </w:r>
      <w:r w:rsidR="0077365E" w:rsidRPr="005A6982">
        <w:rPr>
          <w:rFonts w:ascii="Calibri" w:hAnsi="Calibri" w:cs="Calibri"/>
          <w:rtl/>
        </w:rPr>
        <w:t xml:space="preserve"> וצורך ממושך בגיוס כוחות מילואים עלולים </w:t>
      </w:r>
      <w:r w:rsidR="00E34291" w:rsidRPr="005A6982">
        <w:rPr>
          <w:rFonts w:ascii="Calibri" w:hAnsi="Calibri" w:cs="Calibri"/>
          <w:rtl/>
        </w:rPr>
        <w:t xml:space="preserve">להחריף את </w:t>
      </w:r>
      <w:r w:rsidR="0077365E" w:rsidRPr="005A6982">
        <w:rPr>
          <w:rFonts w:ascii="Calibri" w:hAnsi="Calibri" w:cs="Calibri"/>
          <w:rtl/>
        </w:rPr>
        <w:t>מגבלות ההיצע</w:t>
      </w:r>
      <w:r w:rsidR="00E34291" w:rsidRPr="005A6982">
        <w:rPr>
          <w:rFonts w:ascii="Calibri" w:hAnsi="Calibri" w:cs="Calibri"/>
          <w:rtl/>
        </w:rPr>
        <w:t xml:space="preserve">, לפגוע </w:t>
      </w:r>
      <w:r w:rsidR="0077365E" w:rsidRPr="005A6982">
        <w:rPr>
          <w:rFonts w:ascii="Calibri" w:hAnsi="Calibri" w:cs="Calibri"/>
          <w:rtl/>
        </w:rPr>
        <w:t xml:space="preserve">בהתאוששות הפעילות הכלכלית, </w:t>
      </w:r>
      <w:r w:rsidR="00E34291" w:rsidRPr="005A6982">
        <w:rPr>
          <w:rFonts w:ascii="Calibri" w:hAnsi="Calibri" w:cs="Calibri"/>
          <w:rtl/>
        </w:rPr>
        <w:t xml:space="preserve">להגדיל את </w:t>
      </w:r>
      <w:r w:rsidR="0077365E" w:rsidRPr="005A6982">
        <w:rPr>
          <w:rFonts w:ascii="Calibri" w:hAnsi="Calibri" w:cs="Calibri"/>
          <w:rtl/>
        </w:rPr>
        <w:t>הוצאות הביטחון ו</w:t>
      </w:r>
      <w:r w:rsidR="00E34291" w:rsidRPr="005A6982">
        <w:rPr>
          <w:rFonts w:ascii="Calibri" w:hAnsi="Calibri" w:cs="Calibri"/>
          <w:rtl/>
        </w:rPr>
        <w:t xml:space="preserve">את </w:t>
      </w:r>
      <w:r w:rsidR="0077365E" w:rsidRPr="005A6982">
        <w:rPr>
          <w:rFonts w:ascii="Calibri" w:hAnsi="Calibri" w:cs="Calibri"/>
          <w:rtl/>
        </w:rPr>
        <w:t>פרמיית הסיכון</w:t>
      </w:r>
      <w:r w:rsidR="00E34291" w:rsidRPr="005A6982">
        <w:rPr>
          <w:rFonts w:ascii="Calibri" w:hAnsi="Calibri" w:cs="Calibri"/>
          <w:rtl/>
        </w:rPr>
        <w:t>,</w:t>
      </w:r>
      <w:r w:rsidR="0077365E" w:rsidRPr="005A6982">
        <w:rPr>
          <w:rFonts w:ascii="Calibri" w:hAnsi="Calibri" w:cs="Calibri"/>
          <w:rtl/>
        </w:rPr>
        <w:t xml:space="preserve"> ול</w:t>
      </w:r>
      <w:r w:rsidR="00E34291" w:rsidRPr="005A6982">
        <w:rPr>
          <w:rFonts w:ascii="Calibri" w:hAnsi="Calibri" w:cs="Calibri"/>
          <w:rtl/>
        </w:rPr>
        <w:t xml:space="preserve">ייצר </w:t>
      </w:r>
      <w:r w:rsidR="0077365E" w:rsidRPr="005A6982">
        <w:rPr>
          <w:rFonts w:ascii="Calibri" w:hAnsi="Calibri" w:cs="Calibri"/>
          <w:rtl/>
        </w:rPr>
        <w:t>לחצים אינפלציוניים שידרשו תוואי ריבית מרסן יותר. מנגד, התפתחות חיובית שתוביל לירידה נוספת בפרמיית הסיכון ו</w:t>
      </w:r>
      <w:r w:rsidR="00E34291" w:rsidRPr="005A6982">
        <w:rPr>
          <w:rFonts w:ascii="Calibri" w:hAnsi="Calibri" w:cs="Calibri"/>
          <w:rtl/>
        </w:rPr>
        <w:t>ל</w:t>
      </w:r>
      <w:r w:rsidR="0077365E" w:rsidRPr="005A6982">
        <w:rPr>
          <w:rFonts w:ascii="Calibri" w:hAnsi="Calibri" w:cs="Calibri"/>
          <w:rtl/>
        </w:rPr>
        <w:t>התחזקות של השקל עשויה לתמוך בהתאוששות מהירה יותר של הפעילות וירידה מהירה יותר של האינפלציה</w:t>
      </w:r>
      <w:r w:rsidR="00C52E6B" w:rsidRPr="005A6982">
        <w:rPr>
          <w:rFonts w:ascii="Calibri" w:hAnsi="Calibri" w:cs="Calibri" w:hint="cs"/>
          <w:rtl/>
        </w:rPr>
        <w:t xml:space="preserve"> לצד</w:t>
      </w:r>
      <w:r w:rsidR="0077365E" w:rsidRPr="005A6982">
        <w:rPr>
          <w:rFonts w:ascii="Calibri" w:hAnsi="Calibri" w:cs="Calibri"/>
          <w:rtl/>
        </w:rPr>
        <w:t xml:space="preserve"> הפחתת ריבית מהירה יותר.</w:t>
      </w:r>
    </w:p>
    <w:p w14:paraId="75E428DA" w14:textId="77777777" w:rsidR="00E247D0" w:rsidRPr="005A6982" w:rsidRDefault="00BC00B2" w:rsidP="004E7CD7">
      <w:pPr>
        <w:tabs>
          <w:tab w:val="num" w:pos="720"/>
        </w:tabs>
        <w:bidi/>
        <w:spacing w:line="360" w:lineRule="auto"/>
        <w:ind w:left="8"/>
        <w:jc w:val="both"/>
        <w:rPr>
          <w:rFonts w:ascii="Calibri" w:hAnsi="Calibri" w:cs="Calibri"/>
          <w:rtl/>
        </w:rPr>
      </w:pPr>
      <w:r w:rsidRPr="005A6982">
        <w:rPr>
          <w:rFonts w:ascii="Calibri" w:hAnsi="Calibri" w:cs="Calibri" w:hint="cs"/>
          <w:rtl/>
        </w:rPr>
        <w:t>התחזית מאופיינת גם באי-וודאות באשר לקצב גידולו של היצוא, בפרט של מגזר ההי-טק: הייסוף שהצטבר במהלך 2025 ובראשית 2026 אמנם מבטא במידה רבה ירידה מבורכת בפרמיית הסיכון של המשק, אך הפגיעה האפשרית ברווחיות החברות המייצאות לנוכח ייסוף זה עלולה למתן במידת מה את פעילותן.</w:t>
      </w:r>
    </w:p>
    <w:p w14:paraId="4D003126" w14:textId="4FEA1E73" w:rsidR="0077365E" w:rsidRPr="005A6982" w:rsidRDefault="00BC00B2" w:rsidP="004E7CD7">
      <w:pPr>
        <w:tabs>
          <w:tab w:val="num" w:pos="720"/>
        </w:tabs>
        <w:bidi/>
        <w:spacing w:line="360" w:lineRule="auto"/>
        <w:ind w:left="8"/>
        <w:jc w:val="both"/>
        <w:rPr>
          <w:rFonts w:ascii="Calibri" w:hAnsi="Calibri" w:cs="Calibri"/>
          <w:rtl/>
        </w:rPr>
      </w:pPr>
      <w:r w:rsidRPr="005A6982">
        <w:rPr>
          <w:rFonts w:ascii="Calibri" w:hAnsi="Calibri" w:cs="Calibri" w:hint="cs"/>
          <w:rtl/>
        </w:rPr>
        <w:t>לבסוף, הסיכו</w:t>
      </w:r>
      <w:r w:rsidR="003204D0" w:rsidRPr="005A6982">
        <w:rPr>
          <w:rFonts w:ascii="Calibri" w:hAnsi="Calibri" w:cs="Calibri" w:hint="cs"/>
          <w:rtl/>
        </w:rPr>
        <w:t>נים</w:t>
      </w:r>
      <w:r w:rsidRPr="005A6982">
        <w:rPr>
          <w:rFonts w:ascii="Calibri" w:hAnsi="Calibri" w:cs="Calibri" w:hint="cs"/>
          <w:rtl/>
        </w:rPr>
        <w:t xml:space="preserve"> לגירעון ולחוב מוטים כלפי מעלה: </w:t>
      </w:r>
      <w:r w:rsidR="006772F8" w:rsidRPr="005A6982">
        <w:rPr>
          <w:rFonts w:ascii="Calibri" w:hAnsi="Calibri" w:cs="Calibri" w:hint="cs"/>
          <w:rtl/>
        </w:rPr>
        <w:t xml:space="preserve">כאמור, </w:t>
      </w:r>
      <w:r w:rsidRPr="005A6982">
        <w:rPr>
          <w:rFonts w:ascii="Calibri" w:hAnsi="Calibri" w:cs="Calibri" w:hint="cs"/>
          <w:rtl/>
        </w:rPr>
        <w:t>מערכת הביטחון דורשת הגדלה משמעותית של תקציבה ב-2026</w:t>
      </w:r>
      <w:r w:rsidR="006772F8" w:rsidRPr="005A6982">
        <w:rPr>
          <w:rFonts w:ascii="Calibri" w:hAnsi="Calibri" w:cs="Calibri" w:hint="cs"/>
          <w:rtl/>
        </w:rPr>
        <w:t xml:space="preserve">. </w:t>
      </w:r>
      <w:r w:rsidR="006772F8" w:rsidRPr="005A6982">
        <w:rPr>
          <w:rFonts w:ascii="Calibri" w:hAnsi="Calibri" w:cs="Calibri" w:hint="eastAsia"/>
          <w:rtl/>
        </w:rPr>
        <w:t>הגדלה</w:t>
      </w:r>
      <w:r w:rsidR="006772F8" w:rsidRPr="005A6982">
        <w:rPr>
          <w:rFonts w:ascii="Calibri" w:hAnsi="Calibri" w:cs="Calibri" w:hint="cs"/>
          <w:rtl/>
        </w:rPr>
        <w:t xml:space="preserve"> </w:t>
      </w:r>
      <w:r w:rsidR="00EE0394" w:rsidRPr="005A6982">
        <w:rPr>
          <w:rFonts w:ascii="Calibri" w:hAnsi="Calibri" w:cs="Calibri" w:hint="cs"/>
          <w:rtl/>
        </w:rPr>
        <w:t>נוספת</w:t>
      </w:r>
      <w:r w:rsidR="00EE0394" w:rsidRPr="005A6982">
        <w:rPr>
          <w:rFonts w:ascii="Calibri" w:hAnsi="Calibri" w:cs="Calibri"/>
          <w:rtl/>
        </w:rPr>
        <w:t xml:space="preserve"> </w:t>
      </w:r>
      <w:r w:rsidR="006772F8" w:rsidRPr="005A6982">
        <w:rPr>
          <w:rFonts w:ascii="Calibri" w:hAnsi="Calibri" w:cs="Calibri" w:hint="eastAsia"/>
          <w:rtl/>
        </w:rPr>
        <w:t>של</w:t>
      </w:r>
      <w:r w:rsidR="006772F8" w:rsidRPr="005A6982">
        <w:rPr>
          <w:rFonts w:ascii="Calibri" w:hAnsi="Calibri" w:cs="Calibri"/>
          <w:rtl/>
        </w:rPr>
        <w:t xml:space="preserve"> תקציב הביטחון השנה </w:t>
      </w:r>
      <w:r w:rsidR="00583386" w:rsidRPr="005A6982">
        <w:rPr>
          <w:rFonts w:ascii="Calibri" w:hAnsi="Calibri" w:cs="Calibri" w:hint="cs"/>
          <w:rtl/>
        </w:rPr>
        <w:t>בכ-25 מיליארדי ₪</w:t>
      </w:r>
      <w:r w:rsidR="00E7087E" w:rsidRPr="005A6982">
        <w:rPr>
          <w:rFonts w:ascii="Calibri" w:hAnsi="Calibri" w:cs="Calibri" w:hint="cs"/>
          <w:rtl/>
        </w:rPr>
        <w:t>,</w:t>
      </w:r>
      <w:r w:rsidR="00583386" w:rsidRPr="005A6982">
        <w:rPr>
          <w:rFonts w:ascii="Calibri" w:hAnsi="Calibri" w:cs="Calibri" w:hint="cs"/>
          <w:rtl/>
        </w:rPr>
        <w:t xml:space="preserve"> </w:t>
      </w:r>
      <w:r w:rsidR="006772F8" w:rsidRPr="005A6982">
        <w:rPr>
          <w:rFonts w:ascii="Calibri" w:hAnsi="Calibri" w:cs="Calibri" w:hint="eastAsia"/>
          <w:rtl/>
        </w:rPr>
        <w:t>ל</w:t>
      </w:r>
      <w:r w:rsidR="006772F8" w:rsidRPr="005A6982">
        <w:rPr>
          <w:rFonts w:ascii="Calibri" w:hAnsi="Calibri" w:cs="Calibri"/>
          <w:rtl/>
        </w:rPr>
        <w:t>-183 מיליארדי ₪</w:t>
      </w:r>
      <w:r w:rsidR="00E7087E" w:rsidRPr="005A6982">
        <w:rPr>
          <w:rFonts w:ascii="Calibri" w:hAnsi="Calibri" w:cs="Calibri" w:hint="cs"/>
          <w:rtl/>
        </w:rPr>
        <w:t>,</w:t>
      </w:r>
      <w:r w:rsidR="006772F8" w:rsidRPr="005A6982">
        <w:rPr>
          <w:rFonts w:ascii="Calibri" w:hAnsi="Calibri" w:cs="Calibri"/>
          <w:rtl/>
        </w:rPr>
        <w:t xml:space="preserve"> תביא לעליה של </w:t>
      </w:r>
      <w:r w:rsidR="006772F8" w:rsidRPr="005A6982">
        <w:rPr>
          <w:rFonts w:ascii="Calibri" w:hAnsi="Calibri" w:cs="Calibri" w:hint="cs"/>
          <w:rtl/>
        </w:rPr>
        <w:t>הג</w:t>
      </w:r>
      <w:r w:rsidR="003204D0" w:rsidRPr="005A6982">
        <w:rPr>
          <w:rFonts w:ascii="Calibri" w:hAnsi="Calibri" w:cs="Calibri" w:hint="cs"/>
          <w:rtl/>
        </w:rPr>
        <w:t>י</w:t>
      </w:r>
      <w:r w:rsidR="006772F8" w:rsidRPr="005A6982">
        <w:rPr>
          <w:rFonts w:ascii="Calibri" w:hAnsi="Calibri" w:cs="Calibri" w:hint="cs"/>
          <w:rtl/>
        </w:rPr>
        <w:t>רעון</w:t>
      </w:r>
      <w:r w:rsidR="006772F8" w:rsidRPr="005A6982">
        <w:rPr>
          <w:rFonts w:ascii="Calibri" w:hAnsi="Calibri" w:cs="Calibri"/>
          <w:rtl/>
        </w:rPr>
        <w:t xml:space="preserve"> והחוב ול</w:t>
      </w:r>
      <w:r w:rsidR="00205D90" w:rsidRPr="005A6982">
        <w:rPr>
          <w:rFonts w:ascii="Calibri" w:hAnsi="Calibri" w:cs="Calibri" w:hint="eastAsia"/>
          <w:rtl/>
        </w:rPr>
        <w:t>עליי</w:t>
      </w:r>
      <w:r w:rsidR="006772F8" w:rsidRPr="005A6982">
        <w:rPr>
          <w:rFonts w:ascii="Calibri" w:hAnsi="Calibri" w:cs="Calibri" w:hint="eastAsia"/>
          <w:rtl/>
        </w:rPr>
        <w:t>ת</w:t>
      </w:r>
      <w:r w:rsidR="006772F8" w:rsidRPr="005A6982">
        <w:rPr>
          <w:rFonts w:ascii="Calibri" w:hAnsi="Calibri" w:cs="Calibri"/>
          <w:rtl/>
        </w:rPr>
        <w:t xml:space="preserve"> האינפלציה </w:t>
      </w:r>
      <w:r w:rsidR="002F72DC" w:rsidRPr="005A6982">
        <w:rPr>
          <w:rFonts w:ascii="Calibri" w:hAnsi="Calibri" w:cs="Calibri" w:hint="eastAsia"/>
          <w:rtl/>
        </w:rPr>
        <w:t>בכ</w:t>
      </w:r>
      <w:r w:rsidR="002F72DC" w:rsidRPr="005A6982">
        <w:rPr>
          <w:rFonts w:ascii="Calibri" w:hAnsi="Calibri" w:cs="Calibri"/>
          <w:rtl/>
        </w:rPr>
        <w:t>-</w:t>
      </w:r>
      <w:r w:rsidR="002F72DC" w:rsidRPr="005A6982">
        <w:rPr>
          <w:rFonts w:ascii="Calibri" w:hAnsi="Calibri" w:cs="Calibri" w:hint="cs"/>
          <w:rtl/>
        </w:rPr>
        <w:t>0.</w:t>
      </w:r>
      <w:r w:rsidR="00E7087E" w:rsidRPr="005A6982">
        <w:rPr>
          <w:rFonts w:ascii="Calibri" w:hAnsi="Calibri" w:cs="Calibri" w:hint="cs"/>
          <w:rtl/>
        </w:rPr>
        <w:t>2</w:t>
      </w:r>
      <w:r w:rsidR="002F72DC" w:rsidRPr="005A6982">
        <w:rPr>
          <w:rFonts w:ascii="Calibri" w:hAnsi="Calibri" w:cs="Calibri" w:hint="cs"/>
          <w:rtl/>
        </w:rPr>
        <w:t>%-0.</w:t>
      </w:r>
      <w:r w:rsidR="00E7087E" w:rsidRPr="005A6982">
        <w:rPr>
          <w:rFonts w:ascii="Calibri" w:hAnsi="Calibri" w:cs="Calibri" w:hint="cs"/>
          <w:rtl/>
        </w:rPr>
        <w:t>5</w:t>
      </w:r>
      <w:r w:rsidR="002F72DC" w:rsidRPr="005A6982">
        <w:rPr>
          <w:rFonts w:ascii="Calibri" w:hAnsi="Calibri" w:cs="Calibri"/>
          <w:rtl/>
        </w:rPr>
        <w:t xml:space="preserve">% </w:t>
      </w:r>
      <w:r w:rsidR="006772F8" w:rsidRPr="005A6982">
        <w:rPr>
          <w:rFonts w:ascii="Calibri" w:hAnsi="Calibri" w:cs="Calibri" w:hint="eastAsia"/>
          <w:rtl/>
        </w:rPr>
        <w:t>ביחס</w:t>
      </w:r>
      <w:r w:rsidR="006772F8" w:rsidRPr="005A6982">
        <w:rPr>
          <w:rFonts w:ascii="Calibri" w:hAnsi="Calibri" w:cs="Calibri"/>
          <w:rtl/>
        </w:rPr>
        <w:t xml:space="preserve"> </w:t>
      </w:r>
      <w:r w:rsidR="006772F8" w:rsidRPr="005A6982">
        <w:rPr>
          <w:rFonts w:ascii="Calibri" w:hAnsi="Calibri" w:cs="Calibri" w:hint="eastAsia"/>
          <w:rtl/>
        </w:rPr>
        <w:t>לתרחיש</w:t>
      </w:r>
      <w:r w:rsidR="006772F8" w:rsidRPr="005A6982">
        <w:rPr>
          <w:rFonts w:ascii="Calibri" w:hAnsi="Calibri" w:cs="Calibri"/>
          <w:rtl/>
        </w:rPr>
        <w:t xml:space="preserve"> </w:t>
      </w:r>
      <w:r w:rsidR="006772F8" w:rsidRPr="005A6982">
        <w:rPr>
          <w:rFonts w:ascii="Calibri" w:hAnsi="Calibri" w:cs="Calibri" w:hint="eastAsia"/>
          <w:rtl/>
        </w:rPr>
        <w:t>הבסיס</w:t>
      </w:r>
      <w:r w:rsidR="00665FBA" w:rsidRPr="005A6982">
        <w:rPr>
          <w:rFonts w:ascii="Calibri" w:hAnsi="Calibri" w:cs="Calibri" w:hint="cs"/>
          <w:rtl/>
        </w:rPr>
        <w:t xml:space="preserve">, </w:t>
      </w:r>
      <w:r w:rsidR="00E7087E" w:rsidRPr="005A6982">
        <w:rPr>
          <w:rFonts w:ascii="Calibri" w:hAnsi="Calibri" w:cs="Calibri" w:hint="cs"/>
          <w:rtl/>
        </w:rPr>
        <w:t>בהתאם ל</w:t>
      </w:r>
      <w:r w:rsidR="00665FBA" w:rsidRPr="005A6982">
        <w:rPr>
          <w:rFonts w:ascii="Calibri" w:hAnsi="Calibri" w:cs="Calibri" w:hint="cs"/>
          <w:rtl/>
        </w:rPr>
        <w:t>הרכב ההוצאה והשפעתו על מגבלת ההיצע במשק</w:t>
      </w:r>
      <w:r w:rsidR="006772F8" w:rsidRPr="005A6982">
        <w:rPr>
          <w:rFonts w:ascii="Calibri" w:hAnsi="Calibri" w:cs="Calibri"/>
          <w:rtl/>
        </w:rPr>
        <w:t>.</w:t>
      </w:r>
      <w:r w:rsidR="006772F8" w:rsidRPr="005A6982">
        <w:rPr>
          <w:rFonts w:ascii="Calibri" w:hAnsi="Calibri" w:cs="Calibri" w:hint="cs"/>
          <w:rtl/>
        </w:rPr>
        <w:t xml:space="preserve"> </w:t>
      </w:r>
      <w:r w:rsidRPr="005A6982">
        <w:rPr>
          <w:rFonts w:ascii="Calibri" w:hAnsi="Calibri" w:cs="Calibri" w:hint="cs"/>
          <w:rtl/>
        </w:rPr>
        <w:t>חוסר הוודאות באשר לתקציב הביטחון בשנת 2027 גדול אף יותר, בהיעדר סיכומים על התקציב הרב-שנתי של מערכת הביטחון ובהינתן לוח הזמנים המאוחר של תקציב 2027 לאור הבחירות לכנסת.</w:t>
      </w:r>
      <w:r w:rsidRPr="005A6982">
        <w:rPr>
          <w:rFonts w:ascii="Calibri" w:hAnsi="Calibri" w:cs="Calibri"/>
          <w:rtl/>
        </w:rPr>
        <w:t xml:space="preserve"> </w:t>
      </w:r>
      <w:r w:rsidRPr="005A6982">
        <w:rPr>
          <w:rFonts w:ascii="Calibri" w:hAnsi="Calibri" w:cs="Calibri" w:hint="cs"/>
          <w:rtl/>
        </w:rPr>
        <w:t>מדיניות מרחיבה שתביא לתוואי עולה של יחס החוב לתוצר עלולה להשפיע לרעה על פרמיית הסיכון, ולהעלות את האינפלציה והריבית.</w:t>
      </w:r>
    </w:p>
    <w:p w14:paraId="1B6A65AF" w14:textId="77777777" w:rsidR="00117D7A" w:rsidRPr="005A6982" w:rsidRDefault="00117D7A" w:rsidP="004E7CD7">
      <w:pPr>
        <w:tabs>
          <w:tab w:val="num" w:pos="720"/>
        </w:tabs>
        <w:bidi/>
        <w:spacing w:line="360" w:lineRule="auto"/>
        <w:ind w:left="8"/>
        <w:jc w:val="both"/>
        <w:rPr>
          <w:rFonts w:ascii="Calibri" w:hAnsi="Calibri" w:cs="Calibri"/>
          <w:rtl/>
        </w:rPr>
      </w:pPr>
    </w:p>
    <w:p w14:paraId="5BCBAD1C" w14:textId="77777777" w:rsidR="00117D7A" w:rsidRPr="005A6982" w:rsidRDefault="00117D7A" w:rsidP="004E7CD7">
      <w:pPr>
        <w:tabs>
          <w:tab w:val="num" w:pos="720"/>
        </w:tabs>
        <w:bidi/>
        <w:spacing w:line="360" w:lineRule="auto"/>
        <w:ind w:left="8"/>
        <w:jc w:val="both"/>
        <w:rPr>
          <w:rFonts w:ascii="Calibri" w:hAnsi="Calibri" w:cs="Calibri"/>
          <w:rtl/>
        </w:rPr>
      </w:pPr>
    </w:p>
    <w:p w14:paraId="2FBCF067" w14:textId="77777777" w:rsidR="003E7478" w:rsidRPr="005A6982" w:rsidRDefault="003E7478" w:rsidP="00117D7A">
      <w:pPr>
        <w:bidi/>
        <w:rPr>
          <w:rFonts w:ascii="Calibri" w:hAnsi="Calibri" w:cs="Calibri"/>
        </w:rPr>
      </w:pPr>
    </w:p>
    <w:sectPr w:rsidR="003E7478" w:rsidRPr="005A6982" w:rsidSect="00CC2499">
      <w:headerReference w:type="default" r:id="rId8"/>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7AAF" w14:textId="77777777" w:rsidR="004B28FD" w:rsidRDefault="004B28FD" w:rsidP="00E04682">
      <w:pPr>
        <w:spacing w:after="0" w:line="240" w:lineRule="auto"/>
      </w:pPr>
      <w:r>
        <w:separator/>
      </w:r>
    </w:p>
  </w:endnote>
  <w:endnote w:type="continuationSeparator" w:id="0">
    <w:p w14:paraId="09F68032" w14:textId="77777777" w:rsidR="004B28FD" w:rsidRDefault="004B28FD" w:rsidP="00E04682">
      <w:pPr>
        <w:spacing w:after="0" w:line="240" w:lineRule="auto"/>
      </w:pPr>
      <w:r>
        <w:continuationSeparator/>
      </w:r>
    </w:p>
  </w:endnote>
  <w:endnote w:type="continuationNotice" w:id="1">
    <w:p w14:paraId="4152A0A9" w14:textId="77777777" w:rsidR="004B28FD" w:rsidRDefault="004B2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651B" w14:textId="77777777" w:rsidR="00E04682" w:rsidRDefault="00F25BB5" w:rsidP="00F20046">
    <w:pPr>
      <w:pStyle w:val="a8"/>
      <w:rPr>
        <w:rtl/>
      </w:rPr>
    </w:pPr>
    <w:r>
      <w:rPr>
        <w:noProof/>
      </w:rPr>
      <mc:AlternateContent>
        <mc:Choice Requires="wps">
          <w:drawing>
            <wp:anchor distT="0" distB="0" distL="114300" distR="114300" simplePos="0" relativeHeight="251665408" behindDoc="0" locked="0" layoutInCell="1" allowOverlap="1" wp14:anchorId="485AF112" wp14:editId="63DF1268">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14:paraId="6B7E040F" w14:textId="77777777"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EC3D1"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14:anchorId="7FD21BEF" wp14:editId="3A869F34">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14:anchorId="59965FA3" wp14:editId="78DFD092">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14:anchorId="3D516182" wp14:editId="7616846D">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14:anchorId="58E33F62" wp14:editId="2103811F">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1E7D5908" wp14:editId="49CD486B">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1CB2ADA5" w14:textId="77777777"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8E6F7"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636019C5" wp14:editId="78C97FCB">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0AD22974" w14:textId="77777777"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0B0B2"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14:anchorId="653877CB" wp14:editId="42589A10">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28F90246" w14:textId="77777777"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A4B01"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14:anchorId="5C1B2031" wp14:editId="17AEE37A">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EC2CE"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23B9F" w14:textId="77777777" w:rsidR="004B28FD" w:rsidRDefault="004B28FD" w:rsidP="00E04682">
      <w:pPr>
        <w:spacing w:after="0" w:line="240" w:lineRule="auto"/>
      </w:pPr>
      <w:r>
        <w:separator/>
      </w:r>
    </w:p>
  </w:footnote>
  <w:footnote w:type="continuationSeparator" w:id="0">
    <w:p w14:paraId="6FCB50E5" w14:textId="77777777" w:rsidR="004B28FD" w:rsidRDefault="004B28FD" w:rsidP="00E04682">
      <w:pPr>
        <w:spacing w:after="0" w:line="240" w:lineRule="auto"/>
      </w:pPr>
      <w:r>
        <w:continuationSeparator/>
      </w:r>
    </w:p>
  </w:footnote>
  <w:footnote w:type="continuationNotice" w:id="1">
    <w:p w14:paraId="10ED5E10" w14:textId="77777777" w:rsidR="004B28FD" w:rsidRDefault="004B28FD">
      <w:pPr>
        <w:spacing w:after="0" w:line="240" w:lineRule="auto"/>
      </w:pPr>
    </w:p>
  </w:footnote>
  <w:footnote w:id="2">
    <w:p w14:paraId="2B597379" w14:textId="77777777" w:rsidR="00117D7A" w:rsidRPr="00CD54EA" w:rsidRDefault="00117D7A" w:rsidP="001F7856">
      <w:pPr>
        <w:pStyle w:val="af1"/>
        <w:spacing w:before="60" w:after="120"/>
        <w:ind w:left="17"/>
        <w:rPr>
          <w:sz w:val="18"/>
          <w:szCs w:val="18"/>
          <w:rtl/>
        </w:rPr>
      </w:pPr>
      <w:r w:rsidRPr="00CD54EA">
        <w:rPr>
          <w:rStyle w:val="af3"/>
        </w:rPr>
        <w:footnoteRef/>
      </w:r>
      <w:r w:rsidR="228F5FEB" w:rsidRPr="00CD54EA">
        <w:t xml:space="preserve"> </w:t>
      </w:r>
      <w:r w:rsidR="228F5FEB" w:rsidRPr="00CD54EA">
        <w:rPr>
          <w:rtl/>
        </w:rPr>
        <w:t>התחזית הוצגה לוועדה המוניטרית ב-05/07/2026, לקראת החלטת הריבית שהתקבלה ב-06/07/2026</w:t>
      </w:r>
      <w:r w:rsidR="228F5FEB" w:rsidRPr="00CD54E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F6F61" w14:textId="77777777" w:rsidR="00710F31" w:rsidRDefault="00710F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5680"/>
    <w:rsid w:val="0000680E"/>
    <w:rsid w:val="00012503"/>
    <w:rsid w:val="00031A9D"/>
    <w:rsid w:val="00040A7F"/>
    <w:rsid w:val="00045C65"/>
    <w:rsid w:val="00055CC5"/>
    <w:rsid w:val="000602E7"/>
    <w:rsid w:val="00065B9B"/>
    <w:rsid w:val="000727FD"/>
    <w:rsid w:val="00073F91"/>
    <w:rsid w:val="00084B5A"/>
    <w:rsid w:val="000857B7"/>
    <w:rsid w:val="00087BB3"/>
    <w:rsid w:val="00095555"/>
    <w:rsid w:val="00096238"/>
    <w:rsid w:val="000A5329"/>
    <w:rsid w:val="000C1E4D"/>
    <w:rsid w:val="000D2157"/>
    <w:rsid w:val="000D5445"/>
    <w:rsid w:val="000D7560"/>
    <w:rsid w:val="000E7ED2"/>
    <w:rsid w:val="00100012"/>
    <w:rsid w:val="00100B3E"/>
    <w:rsid w:val="00102467"/>
    <w:rsid w:val="001054A6"/>
    <w:rsid w:val="00105BD4"/>
    <w:rsid w:val="00113BC9"/>
    <w:rsid w:val="001143C7"/>
    <w:rsid w:val="00115277"/>
    <w:rsid w:val="00115FEF"/>
    <w:rsid w:val="00117D7A"/>
    <w:rsid w:val="001226CA"/>
    <w:rsid w:val="001237F9"/>
    <w:rsid w:val="00127DAC"/>
    <w:rsid w:val="00151A07"/>
    <w:rsid w:val="00156135"/>
    <w:rsid w:val="00162DCC"/>
    <w:rsid w:val="00166DBC"/>
    <w:rsid w:val="001705B9"/>
    <w:rsid w:val="00170DDB"/>
    <w:rsid w:val="00175475"/>
    <w:rsid w:val="00184E4C"/>
    <w:rsid w:val="001874DC"/>
    <w:rsid w:val="0019079B"/>
    <w:rsid w:val="00196785"/>
    <w:rsid w:val="001A1B42"/>
    <w:rsid w:val="001A2323"/>
    <w:rsid w:val="001A2670"/>
    <w:rsid w:val="001A53CE"/>
    <w:rsid w:val="001B05C6"/>
    <w:rsid w:val="001B28C8"/>
    <w:rsid w:val="001B5E43"/>
    <w:rsid w:val="001C194B"/>
    <w:rsid w:val="001C7D79"/>
    <w:rsid w:val="001D5E62"/>
    <w:rsid w:val="001E0275"/>
    <w:rsid w:val="001E2886"/>
    <w:rsid w:val="001E46DB"/>
    <w:rsid w:val="001F2BE7"/>
    <w:rsid w:val="001F7856"/>
    <w:rsid w:val="00205D90"/>
    <w:rsid w:val="00223D37"/>
    <w:rsid w:val="00225BDF"/>
    <w:rsid w:val="002413C7"/>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1B72"/>
    <w:rsid w:val="002C2288"/>
    <w:rsid w:val="002C754F"/>
    <w:rsid w:val="002D4184"/>
    <w:rsid w:val="002D7AA8"/>
    <w:rsid w:val="002E330F"/>
    <w:rsid w:val="002E5F96"/>
    <w:rsid w:val="002F5939"/>
    <w:rsid w:val="002F62A1"/>
    <w:rsid w:val="002F72DC"/>
    <w:rsid w:val="00301F96"/>
    <w:rsid w:val="003144E6"/>
    <w:rsid w:val="00315D7C"/>
    <w:rsid w:val="00316C9F"/>
    <w:rsid w:val="00316E38"/>
    <w:rsid w:val="0031701E"/>
    <w:rsid w:val="003204D0"/>
    <w:rsid w:val="0032792A"/>
    <w:rsid w:val="003353C9"/>
    <w:rsid w:val="00341083"/>
    <w:rsid w:val="00352E3C"/>
    <w:rsid w:val="003552BD"/>
    <w:rsid w:val="0036030B"/>
    <w:rsid w:val="003641E2"/>
    <w:rsid w:val="00370E6F"/>
    <w:rsid w:val="0037101B"/>
    <w:rsid w:val="003730B8"/>
    <w:rsid w:val="00375149"/>
    <w:rsid w:val="003A1561"/>
    <w:rsid w:val="003A7A19"/>
    <w:rsid w:val="003C2632"/>
    <w:rsid w:val="003C2931"/>
    <w:rsid w:val="003E47C5"/>
    <w:rsid w:val="003E7478"/>
    <w:rsid w:val="003F01E4"/>
    <w:rsid w:val="003F57B2"/>
    <w:rsid w:val="00407D90"/>
    <w:rsid w:val="00431BB6"/>
    <w:rsid w:val="00437250"/>
    <w:rsid w:val="00440E7F"/>
    <w:rsid w:val="004537A7"/>
    <w:rsid w:val="004561A3"/>
    <w:rsid w:val="00460DDF"/>
    <w:rsid w:val="00461C90"/>
    <w:rsid w:val="00471092"/>
    <w:rsid w:val="00490E5F"/>
    <w:rsid w:val="004A120F"/>
    <w:rsid w:val="004A32D7"/>
    <w:rsid w:val="004A6295"/>
    <w:rsid w:val="004B28FD"/>
    <w:rsid w:val="004C6182"/>
    <w:rsid w:val="004C7925"/>
    <w:rsid w:val="004E7444"/>
    <w:rsid w:val="004E7CD7"/>
    <w:rsid w:val="004F26A1"/>
    <w:rsid w:val="004F2A3C"/>
    <w:rsid w:val="004F5E3C"/>
    <w:rsid w:val="00567B1A"/>
    <w:rsid w:val="00571971"/>
    <w:rsid w:val="0057422C"/>
    <w:rsid w:val="00575141"/>
    <w:rsid w:val="00583386"/>
    <w:rsid w:val="00592C5B"/>
    <w:rsid w:val="005965F1"/>
    <w:rsid w:val="005967DD"/>
    <w:rsid w:val="0059782C"/>
    <w:rsid w:val="005A52A2"/>
    <w:rsid w:val="005A6982"/>
    <w:rsid w:val="005C5BF9"/>
    <w:rsid w:val="005D5F2B"/>
    <w:rsid w:val="005E28F6"/>
    <w:rsid w:val="005E7FCB"/>
    <w:rsid w:val="0061394D"/>
    <w:rsid w:val="00614024"/>
    <w:rsid w:val="00624F65"/>
    <w:rsid w:val="00632CD2"/>
    <w:rsid w:val="006344CC"/>
    <w:rsid w:val="0063559D"/>
    <w:rsid w:val="0063690B"/>
    <w:rsid w:val="00640309"/>
    <w:rsid w:val="00660075"/>
    <w:rsid w:val="00660F46"/>
    <w:rsid w:val="006638C4"/>
    <w:rsid w:val="00665FBA"/>
    <w:rsid w:val="006772F8"/>
    <w:rsid w:val="006811C3"/>
    <w:rsid w:val="006907D5"/>
    <w:rsid w:val="0069557C"/>
    <w:rsid w:val="006C3C36"/>
    <w:rsid w:val="006C5099"/>
    <w:rsid w:val="006E092B"/>
    <w:rsid w:val="006E6A2C"/>
    <w:rsid w:val="006F0964"/>
    <w:rsid w:val="006F18BC"/>
    <w:rsid w:val="006F447F"/>
    <w:rsid w:val="00701240"/>
    <w:rsid w:val="00710F31"/>
    <w:rsid w:val="007153CE"/>
    <w:rsid w:val="00715D7F"/>
    <w:rsid w:val="00716C90"/>
    <w:rsid w:val="007172E4"/>
    <w:rsid w:val="00737090"/>
    <w:rsid w:val="00767FD1"/>
    <w:rsid w:val="0077365E"/>
    <w:rsid w:val="00780795"/>
    <w:rsid w:val="00780CA5"/>
    <w:rsid w:val="00783F55"/>
    <w:rsid w:val="00786F1B"/>
    <w:rsid w:val="007916D5"/>
    <w:rsid w:val="0079406F"/>
    <w:rsid w:val="00797111"/>
    <w:rsid w:val="007A0330"/>
    <w:rsid w:val="007A25C0"/>
    <w:rsid w:val="007A2A08"/>
    <w:rsid w:val="007B2299"/>
    <w:rsid w:val="007B2E35"/>
    <w:rsid w:val="007B64D4"/>
    <w:rsid w:val="007C40B7"/>
    <w:rsid w:val="007C41CE"/>
    <w:rsid w:val="007D028E"/>
    <w:rsid w:val="007E3A6A"/>
    <w:rsid w:val="007E3CCC"/>
    <w:rsid w:val="007F0B25"/>
    <w:rsid w:val="007F6C81"/>
    <w:rsid w:val="00803D2A"/>
    <w:rsid w:val="008058DF"/>
    <w:rsid w:val="00810049"/>
    <w:rsid w:val="008137A5"/>
    <w:rsid w:val="00832597"/>
    <w:rsid w:val="008371BA"/>
    <w:rsid w:val="00844664"/>
    <w:rsid w:val="008466F0"/>
    <w:rsid w:val="008473FB"/>
    <w:rsid w:val="00850CC4"/>
    <w:rsid w:val="00855577"/>
    <w:rsid w:val="00880FB2"/>
    <w:rsid w:val="00886388"/>
    <w:rsid w:val="008B3199"/>
    <w:rsid w:val="008C47FB"/>
    <w:rsid w:val="008C4A46"/>
    <w:rsid w:val="008C706D"/>
    <w:rsid w:val="008D5488"/>
    <w:rsid w:val="008E2484"/>
    <w:rsid w:val="008F0B52"/>
    <w:rsid w:val="008F617A"/>
    <w:rsid w:val="00914AC1"/>
    <w:rsid w:val="00915FDF"/>
    <w:rsid w:val="00921F03"/>
    <w:rsid w:val="00941B96"/>
    <w:rsid w:val="009529B5"/>
    <w:rsid w:val="0095375C"/>
    <w:rsid w:val="00965C79"/>
    <w:rsid w:val="00972198"/>
    <w:rsid w:val="00984702"/>
    <w:rsid w:val="00984B1A"/>
    <w:rsid w:val="009851B0"/>
    <w:rsid w:val="00987EF3"/>
    <w:rsid w:val="00996DA6"/>
    <w:rsid w:val="009971B8"/>
    <w:rsid w:val="009A089E"/>
    <w:rsid w:val="009A50FF"/>
    <w:rsid w:val="009B0FA7"/>
    <w:rsid w:val="009B2E19"/>
    <w:rsid w:val="009B63D0"/>
    <w:rsid w:val="009C6D0D"/>
    <w:rsid w:val="009D760B"/>
    <w:rsid w:val="009E2FD2"/>
    <w:rsid w:val="00A076E6"/>
    <w:rsid w:val="00A13844"/>
    <w:rsid w:val="00A1714B"/>
    <w:rsid w:val="00A21A1A"/>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156A"/>
    <w:rsid w:val="00B13490"/>
    <w:rsid w:val="00B161CC"/>
    <w:rsid w:val="00B35876"/>
    <w:rsid w:val="00B55A05"/>
    <w:rsid w:val="00B569FD"/>
    <w:rsid w:val="00B63A33"/>
    <w:rsid w:val="00B677DC"/>
    <w:rsid w:val="00B70E6F"/>
    <w:rsid w:val="00B80DC6"/>
    <w:rsid w:val="00B81717"/>
    <w:rsid w:val="00B91BF0"/>
    <w:rsid w:val="00B93C01"/>
    <w:rsid w:val="00B955C2"/>
    <w:rsid w:val="00B96C73"/>
    <w:rsid w:val="00BA0282"/>
    <w:rsid w:val="00BB6985"/>
    <w:rsid w:val="00BC00B2"/>
    <w:rsid w:val="00BC4D55"/>
    <w:rsid w:val="00BD0783"/>
    <w:rsid w:val="00BD17EF"/>
    <w:rsid w:val="00BD7743"/>
    <w:rsid w:val="00BE0217"/>
    <w:rsid w:val="00BE729B"/>
    <w:rsid w:val="00BF4F97"/>
    <w:rsid w:val="00BF5589"/>
    <w:rsid w:val="00BF7A65"/>
    <w:rsid w:val="00C0095C"/>
    <w:rsid w:val="00C02512"/>
    <w:rsid w:val="00C10172"/>
    <w:rsid w:val="00C25C86"/>
    <w:rsid w:val="00C35614"/>
    <w:rsid w:val="00C36D00"/>
    <w:rsid w:val="00C42A4B"/>
    <w:rsid w:val="00C463C1"/>
    <w:rsid w:val="00C46931"/>
    <w:rsid w:val="00C47A89"/>
    <w:rsid w:val="00C52C92"/>
    <w:rsid w:val="00C52E6B"/>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D54EA"/>
    <w:rsid w:val="00CE2F8B"/>
    <w:rsid w:val="00CF1FC8"/>
    <w:rsid w:val="00D004D1"/>
    <w:rsid w:val="00D02324"/>
    <w:rsid w:val="00D06884"/>
    <w:rsid w:val="00D15579"/>
    <w:rsid w:val="00D36180"/>
    <w:rsid w:val="00D45541"/>
    <w:rsid w:val="00D53BFE"/>
    <w:rsid w:val="00D73D49"/>
    <w:rsid w:val="00D747A1"/>
    <w:rsid w:val="00D76E55"/>
    <w:rsid w:val="00D85F94"/>
    <w:rsid w:val="00D878DF"/>
    <w:rsid w:val="00DB09F3"/>
    <w:rsid w:val="00DC23E1"/>
    <w:rsid w:val="00DC641D"/>
    <w:rsid w:val="00DC727C"/>
    <w:rsid w:val="00DD2E1F"/>
    <w:rsid w:val="00DD6EAB"/>
    <w:rsid w:val="00DE140A"/>
    <w:rsid w:val="00DF4B57"/>
    <w:rsid w:val="00E0031E"/>
    <w:rsid w:val="00E04682"/>
    <w:rsid w:val="00E20D4C"/>
    <w:rsid w:val="00E22BAA"/>
    <w:rsid w:val="00E247D0"/>
    <w:rsid w:val="00E34291"/>
    <w:rsid w:val="00E44A34"/>
    <w:rsid w:val="00E52D98"/>
    <w:rsid w:val="00E52DAA"/>
    <w:rsid w:val="00E566ED"/>
    <w:rsid w:val="00E70421"/>
    <w:rsid w:val="00E7087E"/>
    <w:rsid w:val="00E728E5"/>
    <w:rsid w:val="00E731F0"/>
    <w:rsid w:val="00E80E0F"/>
    <w:rsid w:val="00E84228"/>
    <w:rsid w:val="00E92061"/>
    <w:rsid w:val="00E921ED"/>
    <w:rsid w:val="00EC51AC"/>
    <w:rsid w:val="00ED67BE"/>
    <w:rsid w:val="00EE0394"/>
    <w:rsid w:val="00EE07B1"/>
    <w:rsid w:val="00EE525B"/>
    <w:rsid w:val="00EF41BE"/>
    <w:rsid w:val="00F0228F"/>
    <w:rsid w:val="00F11065"/>
    <w:rsid w:val="00F12311"/>
    <w:rsid w:val="00F1584E"/>
    <w:rsid w:val="00F20046"/>
    <w:rsid w:val="00F25BB5"/>
    <w:rsid w:val="00F30241"/>
    <w:rsid w:val="00F40307"/>
    <w:rsid w:val="00F467E7"/>
    <w:rsid w:val="00F567E9"/>
    <w:rsid w:val="00F571F9"/>
    <w:rsid w:val="00F655AC"/>
    <w:rsid w:val="00F8256F"/>
    <w:rsid w:val="00F95970"/>
    <w:rsid w:val="00FB1B10"/>
    <w:rsid w:val="00FB278F"/>
    <w:rsid w:val="00FB3D7B"/>
    <w:rsid w:val="00FB6F6A"/>
    <w:rsid w:val="00FC67CB"/>
    <w:rsid w:val="00FD61EB"/>
    <w:rsid w:val="00FE0E5D"/>
    <w:rsid w:val="00FE245D"/>
    <w:rsid w:val="00FE3344"/>
    <w:rsid w:val="00FE77A7"/>
    <w:rsid w:val="00FF51E9"/>
    <w:rsid w:val="01069D57"/>
    <w:rsid w:val="02BD768C"/>
    <w:rsid w:val="033A705C"/>
    <w:rsid w:val="03C7A343"/>
    <w:rsid w:val="03FBC159"/>
    <w:rsid w:val="04263177"/>
    <w:rsid w:val="04E1A9E3"/>
    <w:rsid w:val="08F6727F"/>
    <w:rsid w:val="0983460A"/>
    <w:rsid w:val="0A750F14"/>
    <w:rsid w:val="0B115CB8"/>
    <w:rsid w:val="0C25FF4C"/>
    <w:rsid w:val="0C813D28"/>
    <w:rsid w:val="0C92DB11"/>
    <w:rsid w:val="0C9AC14A"/>
    <w:rsid w:val="0E2430EB"/>
    <w:rsid w:val="1278023D"/>
    <w:rsid w:val="13AC6756"/>
    <w:rsid w:val="140E58E9"/>
    <w:rsid w:val="15C75196"/>
    <w:rsid w:val="1620B68D"/>
    <w:rsid w:val="1884C935"/>
    <w:rsid w:val="198998D7"/>
    <w:rsid w:val="19F3C772"/>
    <w:rsid w:val="1B725C82"/>
    <w:rsid w:val="1BE3A678"/>
    <w:rsid w:val="1D00BF28"/>
    <w:rsid w:val="1DE307BA"/>
    <w:rsid w:val="1FAB2778"/>
    <w:rsid w:val="21AF613A"/>
    <w:rsid w:val="2258D49B"/>
    <w:rsid w:val="227463A6"/>
    <w:rsid w:val="228F5FEB"/>
    <w:rsid w:val="22F42B6E"/>
    <w:rsid w:val="23A9439C"/>
    <w:rsid w:val="2434F2A4"/>
    <w:rsid w:val="26595D9E"/>
    <w:rsid w:val="28532DE2"/>
    <w:rsid w:val="289A8076"/>
    <w:rsid w:val="29E5505A"/>
    <w:rsid w:val="2A20F94C"/>
    <w:rsid w:val="2B57D061"/>
    <w:rsid w:val="2B63EC29"/>
    <w:rsid w:val="2BA5C470"/>
    <w:rsid w:val="2D57EC65"/>
    <w:rsid w:val="2E08AA29"/>
    <w:rsid w:val="2FFC227D"/>
    <w:rsid w:val="310D3C0C"/>
    <w:rsid w:val="31442121"/>
    <w:rsid w:val="327C60C3"/>
    <w:rsid w:val="3289A657"/>
    <w:rsid w:val="32C6BDF0"/>
    <w:rsid w:val="3352831F"/>
    <w:rsid w:val="3392F440"/>
    <w:rsid w:val="35857A8C"/>
    <w:rsid w:val="35A341E7"/>
    <w:rsid w:val="37D5A4CC"/>
    <w:rsid w:val="3868EAF1"/>
    <w:rsid w:val="3B1BDF46"/>
    <w:rsid w:val="3D278004"/>
    <w:rsid w:val="3D5E45AD"/>
    <w:rsid w:val="3D8B89EB"/>
    <w:rsid w:val="3DF72D48"/>
    <w:rsid w:val="3EB05030"/>
    <w:rsid w:val="3F97DF32"/>
    <w:rsid w:val="4031EF39"/>
    <w:rsid w:val="41895602"/>
    <w:rsid w:val="41D1D787"/>
    <w:rsid w:val="42D80321"/>
    <w:rsid w:val="439293F6"/>
    <w:rsid w:val="443A5211"/>
    <w:rsid w:val="44F29EBD"/>
    <w:rsid w:val="45121FC8"/>
    <w:rsid w:val="45E876DE"/>
    <w:rsid w:val="47EB8D9E"/>
    <w:rsid w:val="47F1E99F"/>
    <w:rsid w:val="481E4459"/>
    <w:rsid w:val="48C2A626"/>
    <w:rsid w:val="4930952F"/>
    <w:rsid w:val="49414638"/>
    <w:rsid w:val="49DBFCAB"/>
    <w:rsid w:val="520791F2"/>
    <w:rsid w:val="52312FFB"/>
    <w:rsid w:val="555F5FB5"/>
    <w:rsid w:val="55F0241E"/>
    <w:rsid w:val="56BF3562"/>
    <w:rsid w:val="58C679E2"/>
    <w:rsid w:val="5BC8EAF9"/>
    <w:rsid w:val="5BDDE588"/>
    <w:rsid w:val="5BE1D547"/>
    <w:rsid w:val="5BF40590"/>
    <w:rsid w:val="5C548F7F"/>
    <w:rsid w:val="5C639072"/>
    <w:rsid w:val="5EA617E1"/>
    <w:rsid w:val="5F45FF22"/>
    <w:rsid w:val="5FBA7653"/>
    <w:rsid w:val="609FCEAF"/>
    <w:rsid w:val="614595A6"/>
    <w:rsid w:val="63ACA18F"/>
    <w:rsid w:val="651F05D9"/>
    <w:rsid w:val="6A05EF4E"/>
    <w:rsid w:val="6B9DF434"/>
    <w:rsid w:val="6C46FA98"/>
    <w:rsid w:val="6D493A35"/>
    <w:rsid w:val="6E193FBD"/>
    <w:rsid w:val="7108C8BE"/>
    <w:rsid w:val="716E0DEB"/>
    <w:rsid w:val="7229FDE7"/>
    <w:rsid w:val="728AC6FC"/>
    <w:rsid w:val="73853B3B"/>
    <w:rsid w:val="73A8DEEC"/>
    <w:rsid w:val="74EAD887"/>
    <w:rsid w:val="768638B6"/>
    <w:rsid w:val="78084BA9"/>
    <w:rsid w:val="78500AF2"/>
    <w:rsid w:val="7A6FB0EC"/>
    <w:rsid w:val="7DCE2054"/>
    <w:rsid w:val="7DF57E7E"/>
    <w:rsid w:val="7E35778B"/>
    <w:rsid w:val="7E6C40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321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1A9D"/>
    <w:pPr>
      <w:spacing w:after="160" w:line="259" w:lineRule="auto"/>
    </w:pPr>
    <w:rPr>
      <w:rFonts w:ascii="David" w:eastAsia="David" w:hAnsi="David" w:cs="David"/>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unhideWhenUsed/>
    <w:rsid w:val="00575141"/>
    <w:rPr>
      <w:color w:val="0000FF"/>
      <w:u w:val="single"/>
    </w:rPr>
  </w:style>
  <w:style w:type="paragraph" w:styleId="a4">
    <w:name w:val="Balloon Text"/>
    <w:basedOn w:val="a0"/>
    <w:link w:val="a5"/>
    <w:uiPriority w:val="99"/>
    <w:semiHidden/>
    <w:unhideWhenUsed/>
    <w:rsid w:val="007B64D4"/>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7B64D4"/>
    <w:rPr>
      <w:rFonts w:ascii="Tahoma" w:hAnsi="Tahoma" w:cs="Tahoma"/>
      <w:sz w:val="18"/>
      <w:szCs w:val="18"/>
    </w:rPr>
  </w:style>
  <w:style w:type="paragraph" w:styleId="a6">
    <w:name w:val="header"/>
    <w:basedOn w:val="a0"/>
    <w:link w:val="a7"/>
    <w:uiPriority w:val="99"/>
    <w:unhideWhenUsed/>
    <w:rsid w:val="00E04682"/>
    <w:pPr>
      <w:tabs>
        <w:tab w:val="center" w:pos="4153"/>
        <w:tab w:val="right" w:pos="8306"/>
      </w:tabs>
      <w:spacing w:after="0" w:line="240" w:lineRule="auto"/>
    </w:pPr>
  </w:style>
  <w:style w:type="character" w:customStyle="1" w:styleId="a7">
    <w:name w:val="כותרת עליונה תו"/>
    <w:basedOn w:val="a1"/>
    <w:link w:val="a6"/>
    <w:uiPriority w:val="99"/>
    <w:rsid w:val="00E04682"/>
  </w:style>
  <w:style w:type="paragraph" w:styleId="a8">
    <w:name w:val="footer"/>
    <w:basedOn w:val="a0"/>
    <w:link w:val="a9"/>
    <w:uiPriority w:val="99"/>
    <w:unhideWhenUsed/>
    <w:rsid w:val="00E04682"/>
    <w:pPr>
      <w:tabs>
        <w:tab w:val="center" w:pos="4153"/>
        <w:tab w:val="right" w:pos="8306"/>
      </w:tabs>
      <w:spacing w:after="0" w:line="240" w:lineRule="auto"/>
    </w:pPr>
  </w:style>
  <w:style w:type="character" w:customStyle="1" w:styleId="a9">
    <w:name w:val="כותרת תחתונה תו"/>
    <w:basedOn w:val="a1"/>
    <w:link w:val="a8"/>
    <w:uiPriority w:val="99"/>
    <w:rsid w:val="00E04682"/>
  </w:style>
  <w:style w:type="paragraph" w:styleId="aa">
    <w:name w:val="List Paragraph"/>
    <w:aliases w:val="פיסקת רשימה12,פיסקת רשימה121,פיסקת רשימה2,פיסקת רשימה11"/>
    <w:basedOn w:val="a0"/>
    <w:link w:val="ab"/>
    <w:uiPriority w:val="34"/>
    <w:qFormat/>
    <w:rsid w:val="00CD2A65"/>
    <w:pPr>
      <w:ind w:left="720"/>
      <w:contextualSpacing/>
    </w:pPr>
  </w:style>
  <w:style w:type="character" w:styleId="ac">
    <w:name w:val="annotation reference"/>
    <w:basedOn w:val="a1"/>
    <w:uiPriority w:val="99"/>
    <w:semiHidden/>
    <w:unhideWhenUsed/>
    <w:rsid w:val="004F26A1"/>
    <w:rPr>
      <w:sz w:val="16"/>
      <w:szCs w:val="16"/>
    </w:rPr>
  </w:style>
  <w:style w:type="paragraph" w:styleId="ad">
    <w:name w:val="annotation text"/>
    <w:basedOn w:val="a0"/>
    <w:link w:val="ae"/>
    <w:uiPriority w:val="99"/>
    <w:semiHidden/>
    <w:unhideWhenUsed/>
    <w:rsid w:val="004F26A1"/>
    <w:pPr>
      <w:spacing w:line="240" w:lineRule="auto"/>
    </w:pPr>
    <w:rPr>
      <w:sz w:val="20"/>
      <w:szCs w:val="20"/>
    </w:rPr>
  </w:style>
  <w:style w:type="character" w:customStyle="1" w:styleId="ae">
    <w:name w:val="טקסט הערה תו"/>
    <w:basedOn w:val="a1"/>
    <w:link w:val="ad"/>
    <w:uiPriority w:val="99"/>
    <w:semiHidden/>
    <w:rsid w:val="004F26A1"/>
    <w:rPr>
      <w:sz w:val="20"/>
      <w:szCs w:val="20"/>
    </w:rPr>
  </w:style>
  <w:style w:type="paragraph" w:styleId="af">
    <w:name w:val="annotation subject"/>
    <w:basedOn w:val="ad"/>
    <w:next w:val="ad"/>
    <w:link w:val="af0"/>
    <w:uiPriority w:val="99"/>
    <w:semiHidden/>
    <w:unhideWhenUsed/>
    <w:rsid w:val="004F26A1"/>
    <w:rPr>
      <w:b/>
      <w:bCs/>
    </w:rPr>
  </w:style>
  <w:style w:type="character" w:customStyle="1" w:styleId="af0">
    <w:name w:val="נושא הערה תו"/>
    <w:basedOn w:val="ae"/>
    <w:link w:val="af"/>
    <w:uiPriority w:val="99"/>
    <w:semiHidden/>
    <w:rsid w:val="004F26A1"/>
    <w:rPr>
      <w:b/>
      <w:bCs/>
      <w:sz w:val="20"/>
      <w:szCs w:val="20"/>
    </w:rPr>
  </w:style>
  <w:style w:type="character" w:styleId="FollowedHyperlink">
    <w:name w:val="FollowedHyperlink"/>
    <w:basedOn w:val="a1"/>
    <w:uiPriority w:val="99"/>
    <w:semiHidden/>
    <w:unhideWhenUsed/>
    <w:rsid w:val="00B569FD"/>
    <w:rPr>
      <w:color w:val="800080" w:themeColor="followedHyperlink"/>
      <w:u w:val="single"/>
    </w:rPr>
  </w:style>
  <w:style w:type="character" w:customStyle="1" w:styleId="ab">
    <w:name w:val="פיסקת רשימה תו"/>
    <w:aliases w:val="פיסקת רשימה12 תו,פיסקת רשימה121 תו,פיסקת רשימה2 תו,פיסקת רשימה11 תו"/>
    <w:basedOn w:val="a1"/>
    <w:link w:val="aa"/>
    <w:uiPriority w:val="34"/>
    <w:rsid w:val="00031A9D"/>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117D7A"/>
    <w:pPr>
      <w:bidi/>
      <w:spacing w:after="0" w:line="240" w:lineRule="auto"/>
    </w:pPr>
    <w:rPr>
      <w:rFonts w:ascii="Calibri" w:eastAsiaTheme="minorHAnsi" w:hAnsi="Calibri" w:cs="Calibri"/>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117D7A"/>
    <w:rPr>
      <w:rFonts w:ascii="Calibri" w:hAnsi="Calibri" w:cs="Calibri"/>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117D7A"/>
    <w:rPr>
      <w:vertAlign w:val="superscript"/>
    </w:rPr>
  </w:style>
  <w:style w:type="paragraph" w:styleId="NormalWeb">
    <w:name w:val="Normal (Web)"/>
    <w:basedOn w:val="a0"/>
    <w:uiPriority w:val="99"/>
    <w:unhideWhenUsed/>
    <w:rsid w:val="00117D7A"/>
    <w:pPr>
      <w:spacing w:before="100" w:beforeAutospacing="1" w:after="100" w:afterAutospacing="1" w:line="240" w:lineRule="auto"/>
    </w:pPr>
    <w:rPr>
      <w:rFonts w:ascii="Times New Roman" w:eastAsia="Times New Roman" w:hAnsi="Times New Roman" w:cs="Times New Roman"/>
    </w:rPr>
  </w:style>
  <w:style w:type="paragraph" w:customStyle="1" w:styleId="af4">
    <w:name w:val="כותרת ראשית"/>
    <w:basedOn w:val="a0"/>
    <w:next w:val="a0"/>
    <w:link w:val="af5"/>
    <w:qFormat/>
    <w:rsid w:val="00117D7A"/>
    <w:pPr>
      <w:bidi/>
      <w:spacing w:before="120" w:after="240" w:line="360" w:lineRule="auto"/>
      <w:ind w:left="23"/>
      <w:contextualSpacing/>
      <w:jc w:val="center"/>
      <w:outlineLvl w:val="0"/>
    </w:pPr>
    <w:rPr>
      <w:rFonts w:eastAsiaTheme="minorHAnsi"/>
      <w:b/>
      <w:bCs/>
      <w:spacing w:val="5"/>
      <w:kern w:val="28"/>
      <w:sz w:val="28"/>
      <w:szCs w:val="28"/>
    </w:rPr>
  </w:style>
  <w:style w:type="paragraph" w:customStyle="1" w:styleId="a">
    <w:name w:val="כותרת משנה ממוספרת"/>
    <w:basedOn w:val="a0"/>
    <w:next w:val="a0"/>
    <w:link w:val="af6"/>
    <w:qFormat/>
    <w:rsid w:val="00117D7A"/>
    <w:pPr>
      <w:keepNext/>
      <w:numPr>
        <w:numId w:val="7"/>
      </w:numPr>
      <w:bidi/>
      <w:spacing w:before="240" w:after="120" w:line="360" w:lineRule="auto"/>
      <w:contextualSpacing/>
      <w:jc w:val="both"/>
    </w:pPr>
    <w:rPr>
      <w:rFonts w:asciiTheme="minorHAnsi" w:eastAsiaTheme="minorEastAsia" w:hAnsiTheme="minorHAnsi" w:cstheme="minorHAnsi"/>
      <w:bCs/>
      <w:sz w:val="28"/>
    </w:rPr>
  </w:style>
  <w:style w:type="character" w:customStyle="1" w:styleId="af5">
    <w:name w:val="כותרת ראשית תו"/>
    <w:basedOn w:val="a1"/>
    <w:link w:val="af4"/>
    <w:rsid w:val="00117D7A"/>
    <w:rPr>
      <w:rFonts w:ascii="David" w:hAnsi="David" w:cs="David"/>
      <w:b/>
      <w:bCs/>
      <w:spacing w:val="5"/>
      <w:kern w:val="28"/>
      <w:sz w:val="28"/>
      <w:szCs w:val="28"/>
    </w:rPr>
  </w:style>
  <w:style w:type="paragraph" w:customStyle="1" w:styleId="1">
    <w:name w:val="כותרת משנה רמה 1"/>
    <w:basedOn w:val="a0"/>
    <w:next w:val="a0"/>
    <w:link w:val="10"/>
    <w:qFormat/>
    <w:rsid w:val="00117D7A"/>
    <w:pPr>
      <w:keepNext/>
      <w:bidi/>
      <w:spacing w:before="240" w:after="120" w:line="360" w:lineRule="auto"/>
      <w:ind w:left="23"/>
      <w:contextualSpacing/>
      <w:jc w:val="both"/>
      <w:outlineLvl w:val="0"/>
    </w:pPr>
    <w:rPr>
      <w:rFonts w:eastAsia="Calibri"/>
      <w:b/>
      <w:bCs/>
    </w:rPr>
  </w:style>
  <w:style w:type="character" w:customStyle="1" w:styleId="af6">
    <w:name w:val="כותרת משנה ממוספרת תו"/>
    <w:basedOn w:val="a1"/>
    <w:link w:val="a"/>
    <w:rsid w:val="00117D7A"/>
    <w:rPr>
      <w:rFonts w:eastAsiaTheme="minorEastAsia" w:cstheme="minorHAnsi"/>
      <w:bCs/>
      <w:sz w:val="28"/>
      <w:szCs w:val="24"/>
    </w:rPr>
  </w:style>
  <w:style w:type="character" w:customStyle="1" w:styleId="10">
    <w:name w:val="כותרת משנה רמה 1 תו"/>
    <w:basedOn w:val="a1"/>
    <w:link w:val="1"/>
    <w:rsid w:val="00117D7A"/>
    <w:rPr>
      <w:rFonts w:ascii="David" w:eastAsia="Calibri" w:hAnsi="David" w:cs="David"/>
      <w:b/>
      <w:bCs/>
      <w:sz w:val="24"/>
      <w:szCs w:val="24"/>
    </w:rPr>
  </w:style>
  <w:style w:type="paragraph" w:styleId="af7">
    <w:name w:val="Revision"/>
    <w:hidden/>
    <w:uiPriority w:val="99"/>
    <w:semiHidden/>
    <w:rsid w:val="00E247D0"/>
    <w:pPr>
      <w:spacing w:after="0" w:line="240" w:lineRule="auto"/>
    </w:pPr>
    <w:rPr>
      <w:rFonts w:ascii="David" w:eastAsia="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619">
      <w:bodyDiv w:val="1"/>
      <w:marLeft w:val="0"/>
      <w:marRight w:val="0"/>
      <w:marTop w:val="0"/>
      <w:marBottom w:val="0"/>
      <w:divBdr>
        <w:top w:val="none" w:sz="0" w:space="0" w:color="auto"/>
        <w:left w:val="none" w:sz="0" w:space="0" w:color="auto"/>
        <w:bottom w:val="none" w:sz="0" w:space="0" w:color="auto"/>
        <w:right w:val="none" w:sz="0" w:space="0" w:color="auto"/>
      </w:divBdr>
    </w:div>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8474</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2026-07-06T10:53:00Z</dcterms:created>
  <dcterms:modified xsi:type="dcterms:W3CDTF">2026-07-06T12:32:00Z</dcterms:modified>
</cp:coreProperties>
</file>