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18DA23AE" w:rsidR="007617BD" w:rsidRDefault="00494EE3" w:rsidP="00494EE3">
      <w:pPr>
        <w:pStyle w:val="regpar"/>
        <w:jc w:val="right"/>
      </w:pPr>
      <w:r w:rsidRPr="00494EE3">
        <w:t>March</w:t>
      </w:r>
      <w:r>
        <w:t xml:space="preserve"> </w:t>
      </w:r>
      <w:r w:rsidR="007E6D32">
        <w:t>1</w:t>
      </w:r>
      <w:r>
        <w:rPr>
          <w:rFonts w:hint="cs"/>
          <w:rtl/>
        </w:rPr>
        <w:t>3</w:t>
      </w:r>
      <w:r w:rsidR="007E6D32">
        <w:t>, 2024</w:t>
      </w:r>
    </w:p>
    <w:p w14:paraId="22D7AE78" w14:textId="3BEA9B84" w:rsidR="00F23C43" w:rsidRDefault="00F23C43" w:rsidP="00F23C43">
      <w:pPr>
        <w:pStyle w:val="regpar"/>
      </w:pPr>
    </w:p>
    <w:p w14:paraId="1049974B" w14:textId="723DCE0B" w:rsidR="007613CB" w:rsidRPr="007613CB" w:rsidRDefault="007613CB" w:rsidP="007613CB">
      <w:pPr>
        <w:jc w:val="center"/>
        <w:rPr>
          <w:b/>
          <w:bCs/>
          <w:sz w:val="26"/>
          <w:szCs w:val="26"/>
        </w:rPr>
      </w:pPr>
      <w:r w:rsidRPr="007613CB">
        <w:rPr>
          <w:b/>
          <w:bCs/>
          <w:sz w:val="26"/>
          <w:szCs w:val="26"/>
        </w:rPr>
        <w:t>Analysis from the forthcoming Bank of Israel Annual Report:</w:t>
      </w:r>
    </w:p>
    <w:p w14:paraId="55D6B9B5" w14:textId="7D1E0024" w:rsidR="007613CB" w:rsidRPr="007613CB" w:rsidRDefault="007613CB" w:rsidP="007613CB">
      <w:pPr>
        <w:jc w:val="center"/>
        <w:rPr>
          <w:b/>
          <w:bCs/>
          <w:sz w:val="26"/>
          <w:szCs w:val="26"/>
        </w:rPr>
      </w:pPr>
      <w:r w:rsidRPr="007613CB">
        <w:rPr>
          <w:b/>
          <w:bCs/>
          <w:sz w:val="26"/>
          <w:szCs w:val="26"/>
        </w:rPr>
        <w:t>Israeli households’ attention to inflation and its impact on their expectations</w:t>
      </w:r>
      <w:bookmarkStart w:id="0" w:name="_GoBack"/>
      <w:bookmarkEnd w:id="0"/>
      <w:r w:rsidRPr="007613CB">
        <w:rPr>
          <w:rStyle w:val="a6"/>
          <w:b/>
          <w:bCs/>
          <w:sz w:val="26"/>
          <w:szCs w:val="26"/>
        </w:rPr>
        <w:footnoteReference w:id="1"/>
      </w:r>
    </w:p>
    <w:p w14:paraId="299F39D5" w14:textId="77777777" w:rsidR="007613CB" w:rsidRDefault="007613CB" w:rsidP="007613CB"/>
    <w:p w14:paraId="5C7A7B7E" w14:textId="77777777" w:rsidR="007613CB" w:rsidRPr="007613CB" w:rsidRDefault="007613CB" w:rsidP="007613CB">
      <w:pPr>
        <w:pStyle w:val="af2"/>
        <w:numPr>
          <w:ilvl w:val="0"/>
          <w:numId w:val="19"/>
        </w:numPr>
        <w:spacing w:line="240" w:lineRule="auto"/>
        <w:rPr>
          <w:b/>
          <w:bCs/>
        </w:rPr>
      </w:pPr>
      <w:r w:rsidRPr="007613CB">
        <w:rPr>
          <w:b/>
          <w:bCs/>
        </w:rPr>
        <w:t>One of the consequences of high and prolonged inflation is an increase in attention to price changes, which leads to greater weight being given to inflation when making decisions.</w:t>
      </w:r>
    </w:p>
    <w:p w14:paraId="61E065D1" w14:textId="77777777" w:rsidR="007613CB" w:rsidRPr="007613CB" w:rsidRDefault="007613CB" w:rsidP="007613CB">
      <w:pPr>
        <w:pStyle w:val="af2"/>
        <w:numPr>
          <w:ilvl w:val="0"/>
          <w:numId w:val="19"/>
        </w:numPr>
        <w:spacing w:line="240" w:lineRule="auto"/>
        <w:rPr>
          <w:b/>
          <w:bCs/>
        </w:rPr>
      </w:pPr>
      <w:r w:rsidRPr="007613CB">
        <w:rPr>
          <w:b/>
          <w:bCs/>
        </w:rPr>
        <w:t>We find some evidence that since annual inflation exceeded the upper bound of the target range, households’ have been paying increased attention to inflation, and a link between prices changes during the month and households’ inflation expectations has started to take root.</w:t>
      </w:r>
    </w:p>
    <w:p w14:paraId="78AEE2FB" w14:textId="77777777" w:rsidR="007613CB" w:rsidRDefault="007613CB" w:rsidP="007613CB"/>
    <w:p w14:paraId="6846B224" w14:textId="5B298C74" w:rsidR="007613CB" w:rsidRPr="007613CB" w:rsidRDefault="007613CB" w:rsidP="007613CB">
      <w:pPr>
        <w:pStyle w:val="af2"/>
        <w:numPr>
          <w:ilvl w:val="0"/>
          <w:numId w:val="20"/>
        </w:numPr>
        <w:spacing w:line="240" w:lineRule="auto"/>
        <w:rPr>
          <w:b/>
          <w:bCs/>
        </w:rPr>
      </w:pPr>
      <w:r w:rsidRPr="007613CB">
        <w:rPr>
          <w:b/>
          <w:bCs/>
        </w:rPr>
        <w:t>Introduction</w:t>
      </w:r>
    </w:p>
    <w:p w14:paraId="7B2CEBC3" w14:textId="77777777" w:rsidR="007613CB" w:rsidRDefault="007613CB" w:rsidP="007613CB"/>
    <w:p w14:paraId="055D8C22" w14:textId="77777777" w:rsidR="007613CB" w:rsidRDefault="007613CB" w:rsidP="007613CB">
      <w:r>
        <w:t>One of the consequences of high and prolonged inflation is an increase in attention—households’ and firms’ awareness and internalization of prices changes.</w:t>
      </w:r>
      <w:r>
        <w:rPr>
          <w:rStyle w:val="a6"/>
        </w:rPr>
        <w:footnoteReference w:id="2"/>
      </w:r>
      <w:r>
        <w:t xml:space="preserve">  The term “attention to inflation” in the economic sense relates to a situation in which individuals in the economy keep close track of information on inflation and expected inflation.  We can assume that as the high-inflation period continues, the likelihood of an increase in households’ attention to inflation will be greater.</w:t>
      </w:r>
      <w:r>
        <w:rPr>
          <w:rStyle w:val="a6"/>
        </w:rPr>
        <w:footnoteReference w:id="3"/>
      </w:r>
      <w:r>
        <w:t xml:space="preserve">  We can also assume that when attention crosses a certain threshold, inflation will be taken into consideration when making decisions, and that as a result, price increases—even if they are of a temporary nature—will lead to the persistence of inflationary processes.</w:t>
      </w:r>
    </w:p>
    <w:p w14:paraId="70D5A43A" w14:textId="77777777" w:rsidR="007613CB" w:rsidRDefault="007613CB" w:rsidP="007613CB"/>
    <w:p w14:paraId="4F0A47E5" w14:textId="77777777" w:rsidR="007613CB" w:rsidRDefault="007613CB" w:rsidP="007613CB">
      <w:r>
        <w:t>This box examines whether the Israeli public’s attention to inflation has increased in the past two years, during which annual inflation exceeded the upper bound of the inflation target.</w:t>
      </w:r>
      <w:r>
        <w:rPr>
          <w:rStyle w:val="a6"/>
        </w:rPr>
        <w:footnoteReference w:id="4"/>
      </w:r>
      <w:r>
        <w:t xml:space="preserve">  In particular, we examine whether there is a link between the publication of monthly price changes and households’ one-year expectations.</w:t>
      </w:r>
    </w:p>
    <w:p w14:paraId="5874FBB9" w14:textId="77777777" w:rsidR="007613CB" w:rsidRDefault="007613CB" w:rsidP="007613CB"/>
    <w:p w14:paraId="1AE9D8C0" w14:textId="1D6AFE22" w:rsidR="007613CB" w:rsidRPr="007613CB" w:rsidRDefault="007613CB" w:rsidP="007613CB">
      <w:pPr>
        <w:pStyle w:val="af2"/>
        <w:numPr>
          <w:ilvl w:val="0"/>
          <w:numId w:val="20"/>
        </w:numPr>
        <w:spacing w:line="240" w:lineRule="auto"/>
        <w:rPr>
          <w:b/>
          <w:bCs/>
        </w:rPr>
      </w:pPr>
      <w:r w:rsidRPr="007613CB">
        <w:rPr>
          <w:b/>
          <w:bCs/>
        </w:rPr>
        <w:t>Review of the literature and motivation</w:t>
      </w:r>
    </w:p>
    <w:p w14:paraId="182D10D9" w14:textId="77777777" w:rsidR="007613CB" w:rsidRDefault="007613CB" w:rsidP="007613CB"/>
    <w:p w14:paraId="13EC192B" w14:textId="77777777" w:rsidR="007613CB" w:rsidRDefault="007613CB" w:rsidP="007613CB">
      <w:r>
        <w:lastRenderedPageBreak/>
        <w:t>The empirical economic literature finds that in countries with a long history of low and stable inflation, businesses and households generally show inattention to the inflation rate and to monetary policy (Candia et al., 2021).  In particular, in many cases, they are not aware of what the annual inflation rate is, what the inflation target is, or what the central bank interest rate is.  One of the main explanations for the inattention is monetary policy’s success in maintaining low and stable inflation, which makes it unnecessary to keep track of it.  According to theoretical models of rational attention (Sims (2010), Mackowiak and Wiederhold (2009), and Sims (2010)), when inflation is low, it is optimal not to devote attention to price changes in the economy, due to the costs involved in tracking, gathering, and monitoring the information compared with the small benefit that would generate.  In contrast, when inflation increases beyond a certain threshold, it pays to monitor it.</w:t>
      </w:r>
    </w:p>
    <w:p w14:paraId="638E5345" w14:textId="77777777" w:rsidR="007613CB" w:rsidRDefault="007613CB" w:rsidP="007613CB"/>
    <w:p w14:paraId="661D774C" w14:textId="77777777" w:rsidR="007613CB" w:rsidRDefault="007613CB" w:rsidP="007613CB">
      <w:r>
        <w:t>In a situation in which households show a high level of attention to inflation, the dynamic of price developments may change in a variety of ways.  For instance, wage demands by employees and price demands by landlords may become more sensitive to price changes.  Among other things, the use of indexation mechanisms—which revise prices in accordance with inflation during the previous period—may become more widespread to protect against inflation.  Such developments may led to the entrenchment of inflation.</w:t>
      </w:r>
      <w:r>
        <w:rPr>
          <w:rStyle w:val="a6"/>
        </w:rPr>
        <w:footnoteReference w:id="5"/>
      </w:r>
    </w:p>
    <w:p w14:paraId="13769AC5" w14:textId="77777777" w:rsidR="007613CB" w:rsidRDefault="007613CB" w:rsidP="007613CB"/>
    <w:p w14:paraId="481C2A38" w14:textId="77777777" w:rsidR="007613CB" w:rsidRDefault="007613CB" w:rsidP="007613CB">
      <w:r>
        <w:t>A number of studies have found evidence of a link between the inflation rate and the extent of public attention.  Weber et al. (2023) found that in a survey of households (CES) by the European Central Bank (ECB) conducted in January 2023, about 60 percent of households reported that they monitor inflation more than in the past.  Evidence was found that the increase in inflation in recent years led to an increase in attention.</w:t>
      </w:r>
      <w:r>
        <w:rPr>
          <w:rStyle w:val="a6"/>
        </w:rPr>
        <w:footnoteReference w:id="6"/>
      </w:r>
      <w:r>
        <w:t xml:space="preserve">  Korenok et al. (2023) take a different approach, and examine the correlation between the level of inflation and the Google Trends index, which measures relative popularity over time, of the term “inflation” and of tweets on the X social network (formerly Twitter).  They find that in most countries, there is a threshold inflation rate above which there is a positive correlation between inflation and Internet searches, and below which there is either no correlation or it is weaker.  In other words, they find support for the hypothesis that households do not show attention to inflation when it is low, but do show attention once inflation crosses a certain threshold.  In most countries, that threshold ranges from 2 to 4 percent.</w:t>
      </w:r>
    </w:p>
    <w:p w14:paraId="7B8C7816" w14:textId="77777777" w:rsidR="007613CB" w:rsidRDefault="007613CB" w:rsidP="007613CB"/>
    <w:p w14:paraId="56E7EAB6" w14:textId="77777777" w:rsidR="007613CB" w:rsidRDefault="007613CB" w:rsidP="007613CB">
      <w:r>
        <w:t>In accordance with the findings of Korenok et al. (2023), we examined the connection in Israel between annual inflation and the popularity of Internet searches (Google Trends), and obtained similar findings: When inflation is below 3 percent, the upper bound of the inflation target range, the link between the indices is weak or near-zero (Figure 1), and when inflation exceeds the upper bound of the target range, the link is positive and strong.</w:t>
      </w:r>
      <w:r>
        <w:rPr>
          <w:rStyle w:val="a6"/>
        </w:rPr>
        <w:footnoteReference w:id="7"/>
      </w:r>
    </w:p>
    <w:p w14:paraId="1A2438BD" w14:textId="77777777" w:rsidR="007613CB" w:rsidRDefault="007613CB" w:rsidP="007613CB"/>
    <w:p w14:paraId="1BADD600" w14:textId="41FBA3B7" w:rsidR="007613CB" w:rsidRPr="007613CB" w:rsidRDefault="007613CB" w:rsidP="003C1CCB">
      <w:pPr>
        <w:pStyle w:val="af2"/>
        <w:numPr>
          <w:ilvl w:val="0"/>
          <w:numId w:val="20"/>
        </w:numPr>
        <w:spacing w:line="240" w:lineRule="auto"/>
        <w:rPr>
          <w:b/>
          <w:bCs/>
        </w:rPr>
      </w:pPr>
      <w:r w:rsidRPr="007613CB">
        <w:rPr>
          <w:b/>
          <w:bCs/>
        </w:rPr>
        <w:t>The development of prices over the month, and households’ one-year expectations</w:t>
      </w:r>
    </w:p>
    <w:p w14:paraId="6DC486C2" w14:textId="77777777" w:rsidR="007613CB" w:rsidRDefault="007613CB" w:rsidP="007613CB">
      <w:pPr>
        <w:pStyle w:val="af2"/>
        <w:spacing w:line="240" w:lineRule="auto"/>
      </w:pPr>
    </w:p>
    <w:p w14:paraId="76F78B19" w14:textId="77777777" w:rsidR="007613CB" w:rsidRDefault="007613CB" w:rsidP="007613CB">
      <w:r>
        <w:t xml:space="preserve">This section examines whether the increase in attention to inflation in Israel reached the level at which the link between the development of prices during the month (change in the monthly </w:t>
      </w:r>
      <w:r>
        <w:lastRenderedPageBreak/>
        <w:t>CPI) or the publication of the CPI and households’ one-year inflation expectations became entrenched.  In order to answer this question, we use itemized data from the Central Bureau of Statistics Consumer Confidence Survey for the period from January 2012 to September 2023.  The survey is conducted on a representative sample of Israeli residents over the age of 21.</w:t>
      </w:r>
      <w:r>
        <w:rPr>
          <w:rStyle w:val="a6"/>
        </w:rPr>
        <w:footnoteReference w:id="8"/>
      </w:r>
      <w:r>
        <w:t xml:space="preserve">  The survey was merged with data from the Population Registry and the Social Survey in order to obtain a broader picture of respondents.  Our focus in the Consumer Confidence Survey is on the quantitative question of inflation expectations.</w:t>
      </w:r>
      <w:r>
        <w:rPr>
          <w:rStyle w:val="a6"/>
        </w:rPr>
        <w:footnoteReference w:id="9"/>
      </w:r>
    </w:p>
    <w:p w14:paraId="11A03AC4" w14:textId="77777777" w:rsidR="007613CB" w:rsidRDefault="007613CB" w:rsidP="007613CB"/>
    <w:p w14:paraId="4AFB2E45" w14:textId="77777777" w:rsidR="007613CB" w:rsidRDefault="007613CB" w:rsidP="007613CB">
      <w:r>
        <w:t>The Consumer Confidence Survey is a monthly survey, and responses to it are received throughout the month.  The responses on various days throughout the month are therefore based on different information.  Individuals who answered the survey later in the month had more access to information on the development of prices in that month—as they experience them—and on the CPI reading for the previous month than individuals who answered earlier in the month.  If individuals’ attention to prices changes is low, significant differences between individuals who answered at the beginning of the month and those who answered near its end are not expected.  In contrast, if attention is high, we expect to find differences between respondent groups in keeping with price developments during the period in which responses are given and with new information that was included in the CPI of the previous month.  This is because respondent groups in the later part of the month had access to information that was not available to the earlier respondent groups.</w:t>
      </w:r>
    </w:p>
    <w:p w14:paraId="212AE855" w14:textId="77777777" w:rsidR="007613CB" w:rsidRDefault="007613CB" w:rsidP="007613CB"/>
    <w:p w14:paraId="061FC180" w14:textId="77777777" w:rsidR="007613CB" w:rsidRDefault="007613CB" w:rsidP="007613CB">
      <w:r>
        <w:t>For the purpose of the analysis, we break down the change in the actual CPI each month into two components.  The component through which we describe the potential additional information available to respondents in the later part of the month is the difference between the official CPI for that month, as published on the 15</w:t>
      </w:r>
      <w:r w:rsidRPr="00841A68">
        <w:rPr>
          <w:vertAlign w:val="superscript"/>
        </w:rPr>
        <w:t>th</w:t>
      </w:r>
      <w:r>
        <w:t xml:space="preserve"> of the following month, and the forecasts of that reading that were known in the middle of the current month.</w:t>
      </w:r>
      <w:r>
        <w:rPr>
          <w:rStyle w:val="a6"/>
        </w:rPr>
        <w:footnoteReference w:id="10"/>
      </w:r>
      <w:r>
        <w:t xml:space="preserve">  This component is an estimate of the prices changes that took place in the second half of the month</w:t>
      </w:r>
      <w:r>
        <w:rPr>
          <w:rStyle w:val="a6"/>
        </w:rPr>
        <w:footnoteReference w:id="11"/>
      </w:r>
      <w:r>
        <w:t xml:space="preserve"> and were not known to the respondents at the beginning of the month.</w:t>
      </w:r>
      <w:r>
        <w:rPr>
          <w:rStyle w:val="a6"/>
        </w:rPr>
        <w:footnoteReference w:id="12"/>
      </w:r>
      <w:r>
        <w:t xml:space="preserve">  In addition, in order to identify the effect of the previous month’s CPI, we use the difference between the change in the published CPI for the previous month and the average of the forecasters’ projections before publication of the CPI.  If individuals in the economy are attentive to price changes, the components describing the potential additional information are expected to influence the expectations of respondents in the later group, but not those of the earlier group.  We estimate the following equation:</w:t>
      </w:r>
    </w:p>
    <w:p w14:paraId="0B4EFCF5" w14:textId="77777777" w:rsidR="007613CB" w:rsidRDefault="007613CB" w:rsidP="007613CB"/>
    <w:p w14:paraId="704AF1FB" w14:textId="77777777" w:rsidR="007613CB" w:rsidRPr="00C32E47" w:rsidRDefault="005A3812" w:rsidP="007613CB">
      <w:pPr>
        <w:rPr>
          <w:rFonts w:eastAsiaTheme="minorEastAsia"/>
          <w:color w:val="000000" w:themeColor="text1"/>
          <w:szCs w:val="26"/>
        </w:rPr>
      </w:pPr>
      <m:oMathPara>
        <m:oMath>
          <m:d>
            <m:dPr>
              <m:ctrlPr>
                <w:rPr>
                  <w:rFonts w:ascii="Cambria Math" w:hAnsi="Cambria Math" w:cs="FrankRuehl"/>
                  <w:i/>
                  <w:color w:val="000000" w:themeColor="text1"/>
                  <w:szCs w:val="26"/>
                </w:rPr>
              </m:ctrlPr>
            </m:dPr>
            <m:e>
              <m:r>
                <w:rPr>
                  <w:rFonts w:ascii="Cambria Math" w:hAnsi="Cambria Math" w:cs="FrankRuehl"/>
                  <w:color w:val="000000" w:themeColor="text1"/>
                  <w:szCs w:val="26"/>
                </w:rPr>
                <m:t>1</m:t>
              </m:r>
            </m:e>
          </m:d>
          <m:r>
            <w:rPr>
              <w:rFonts w:ascii="Cambria Math" w:hAnsi="Cambria Math" w:cs="FrankRuehl"/>
              <w:color w:val="000000" w:themeColor="text1"/>
              <w:szCs w:val="26"/>
            </w:rPr>
            <m:t xml:space="preserve"> </m:t>
          </m:r>
          <m:sSubSup>
            <m:sSubSupPr>
              <m:ctrlPr>
                <w:rPr>
                  <w:rFonts w:ascii="Cambria Math" w:hAnsi="Cambria Math" w:cs="FrankRuehl"/>
                  <w:color w:val="000000" w:themeColor="text1"/>
                  <w:szCs w:val="26"/>
                </w:rPr>
              </m:ctrlPr>
            </m:sSubSupPr>
            <m:e>
              <m:r>
                <w:rPr>
                  <w:rFonts w:ascii="Cambria Math" w:hAnsi="Cambria Math" w:cs="FrankRuehl"/>
                  <w:color w:val="000000" w:themeColor="text1"/>
                  <w:szCs w:val="26"/>
                </w:rPr>
                <m:t>π</m:t>
              </m:r>
            </m:e>
            <m:sub>
              <m:r>
                <w:rPr>
                  <w:rFonts w:ascii="Cambria Math" w:hAnsi="Cambria Math" w:cs="FrankRuehl"/>
                  <w:color w:val="000000" w:themeColor="text1"/>
                  <w:szCs w:val="26"/>
                </w:rPr>
                <m:t>i</m:t>
              </m:r>
              <m:r>
                <m:rPr>
                  <m:sty m:val="p"/>
                </m:rPr>
                <w:rPr>
                  <w:rFonts w:ascii="Cambria Math" w:hAnsi="Cambria Math" w:cs="FrankRuehl"/>
                  <w:color w:val="000000" w:themeColor="text1"/>
                  <w:szCs w:val="26"/>
                </w:rPr>
                <m:t>,</m:t>
              </m:r>
              <m:r>
                <w:rPr>
                  <w:rFonts w:ascii="Cambria Math" w:hAnsi="Cambria Math" w:cs="FrankRuehl"/>
                  <w:color w:val="000000" w:themeColor="text1"/>
                  <w:szCs w:val="26"/>
                </w:rPr>
                <m:t>t</m:t>
              </m:r>
            </m:sub>
            <m:sup>
              <m:r>
                <w:rPr>
                  <w:rFonts w:ascii="Cambria Math" w:hAnsi="Cambria Math" w:cs="FrankRuehl"/>
                  <w:color w:val="000000" w:themeColor="text1"/>
                  <w:szCs w:val="26"/>
                </w:rPr>
                <m:t>e</m:t>
              </m:r>
            </m:sup>
          </m:sSubSup>
          <m:r>
            <m:rPr>
              <m:sty m:val="p"/>
            </m:rPr>
            <w:rPr>
              <w:rFonts w:ascii="Cambria Math" w:hAnsi="Cambria Math" w:cs="FrankRuehl"/>
              <w:color w:val="000000" w:themeColor="text1"/>
              <w:szCs w:val="26"/>
            </w:rPr>
            <m:t>=</m:t>
          </m:r>
          <m:sSub>
            <m:sSubPr>
              <m:ctrlPr>
                <w:rPr>
                  <w:rFonts w:ascii="Cambria Math" w:hAnsi="Cambria Math" w:cs="FrankRuehl"/>
                  <w:color w:val="000000" w:themeColor="text1"/>
                  <w:szCs w:val="26"/>
                </w:rPr>
              </m:ctrlPr>
            </m:sSubPr>
            <m:e>
              <m:r>
                <w:rPr>
                  <w:rFonts w:ascii="Cambria Math" w:hAnsi="Cambria Math" w:cs="FrankRuehl"/>
                  <w:color w:val="000000" w:themeColor="text1"/>
                  <w:szCs w:val="26"/>
                </w:rPr>
                <m:t>β</m:t>
              </m:r>
            </m:e>
            <m:sub>
              <m:r>
                <m:rPr>
                  <m:sty m:val="p"/>
                </m:rPr>
                <w:rPr>
                  <w:rFonts w:ascii="Cambria Math" w:hAnsi="Cambria Math" w:cs="FrankRuehl"/>
                  <w:color w:val="000000" w:themeColor="text1"/>
                  <w:szCs w:val="26"/>
                </w:rPr>
                <m:t>0</m:t>
              </m:r>
            </m:sub>
          </m:sSub>
          <m:r>
            <m:rPr>
              <m:sty m:val="p"/>
            </m:rPr>
            <w:rPr>
              <w:rFonts w:ascii="Cambria Math" w:hAnsi="Cambria Math" w:cs="FrankRuehl"/>
              <w:color w:val="000000" w:themeColor="text1"/>
              <w:szCs w:val="26"/>
            </w:rPr>
            <m:t>+</m:t>
          </m:r>
          <m:sSub>
            <m:sSubPr>
              <m:ctrlPr>
                <w:rPr>
                  <w:rFonts w:ascii="Cambria Math" w:hAnsi="Cambria Math" w:cs="FrankRuehl"/>
                  <w:color w:val="000000" w:themeColor="text1"/>
                  <w:szCs w:val="26"/>
                </w:rPr>
              </m:ctrlPr>
            </m:sSubPr>
            <m:e>
              <m:r>
                <w:rPr>
                  <w:rFonts w:ascii="Cambria Math" w:hAnsi="Cambria Math" w:cs="FrankRuehl"/>
                  <w:color w:val="000000" w:themeColor="text1"/>
                  <w:szCs w:val="26"/>
                </w:rPr>
                <m:t>β</m:t>
              </m:r>
            </m:e>
            <m:sub>
              <m:r>
                <m:rPr>
                  <m:sty m:val="p"/>
                </m:rPr>
                <w:rPr>
                  <w:rFonts w:ascii="Cambria Math" w:hAnsi="Cambria Math" w:cs="FrankRuehl"/>
                  <w:color w:val="000000" w:themeColor="text1"/>
                  <w:szCs w:val="26"/>
                </w:rPr>
                <m:t>1</m:t>
              </m:r>
            </m:sub>
          </m:sSub>
          <m:sSubSup>
            <m:sSubSupPr>
              <m:ctrlPr>
                <w:rPr>
                  <w:rFonts w:ascii="Cambria Math" w:hAnsi="Cambria Math" w:cs="FrankRuehl"/>
                  <w:i/>
                  <w:color w:val="000000" w:themeColor="text1"/>
                  <w:szCs w:val="26"/>
                </w:rPr>
              </m:ctrlPr>
            </m:sSubSupPr>
            <m:e>
              <m:r>
                <w:rPr>
                  <w:rFonts w:ascii="Cambria Math" w:hAnsi="Cambria Math" w:cs="FrankRuehl"/>
                  <w:color w:val="000000" w:themeColor="text1"/>
                  <w:szCs w:val="26"/>
                </w:rPr>
                <m:t>T</m:t>
              </m:r>
            </m:e>
            <m:sub>
              <m:r>
                <w:rPr>
                  <w:rFonts w:ascii="Cambria Math" w:hAnsi="Cambria Math" w:cs="FrankRuehl"/>
                  <w:color w:val="000000" w:themeColor="text1"/>
                  <w:szCs w:val="26"/>
                </w:rPr>
                <m:t>i</m:t>
              </m:r>
              <m:r>
                <m:rPr>
                  <m:sty m:val="p"/>
                </m:rPr>
                <w:rPr>
                  <w:rFonts w:ascii="Cambria Math" w:hAnsi="Cambria Math" w:cs="FrankRuehl"/>
                  <w:color w:val="000000" w:themeColor="text1"/>
                  <w:szCs w:val="26"/>
                </w:rPr>
                <m:t>,</m:t>
              </m:r>
              <m:r>
                <w:rPr>
                  <w:rFonts w:ascii="Cambria Math" w:hAnsi="Cambria Math" w:cs="FrankRuehl"/>
                  <w:color w:val="000000" w:themeColor="text1"/>
                  <w:szCs w:val="26"/>
                </w:rPr>
                <m:t>t</m:t>
              </m:r>
              <m:r>
                <m:rPr>
                  <m:sty m:val="p"/>
                </m:rPr>
                <w:rPr>
                  <w:rFonts w:ascii="Cambria Math" w:hAnsi="Cambria Math" w:cs="FrankRuehl"/>
                  <w:color w:val="000000" w:themeColor="text1"/>
                  <w:szCs w:val="26"/>
                </w:rPr>
                <m:t xml:space="preserve"> </m:t>
              </m:r>
              <m:ctrlPr>
                <w:rPr>
                  <w:rFonts w:ascii="Cambria Math" w:hAnsi="Cambria Math" w:cs="FrankRuehl"/>
                  <w:color w:val="000000" w:themeColor="text1"/>
                  <w:szCs w:val="26"/>
                </w:rPr>
              </m:ctrlPr>
            </m:sub>
            <m:sup>
              <m:r>
                <w:rPr>
                  <w:rFonts w:ascii="Cambria Math" w:hAnsi="Cambria Math" w:cs="FrankRuehl"/>
                  <w:color w:val="000000" w:themeColor="text1"/>
                  <w:szCs w:val="26"/>
                </w:rPr>
                <m:t>15</m:t>
              </m:r>
            </m:sup>
          </m:sSubSup>
          <m:r>
            <m:rPr>
              <m:sty m:val="p"/>
            </m:rPr>
            <w:rPr>
              <w:rFonts w:ascii="Cambria Math" w:hAnsi="Cambria Math" w:cs="FrankRuehl"/>
              <w:color w:val="000000" w:themeColor="text1"/>
              <w:szCs w:val="26"/>
            </w:rPr>
            <m:t>+</m:t>
          </m:r>
          <m:sSub>
            <m:sSubPr>
              <m:ctrlPr>
                <w:rPr>
                  <w:rFonts w:ascii="Cambria Math" w:hAnsi="Cambria Math" w:cs="FrankRuehl"/>
                  <w:color w:val="000000" w:themeColor="text1"/>
                  <w:szCs w:val="26"/>
                </w:rPr>
              </m:ctrlPr>
            </m:sSubPr>
            <m:e>
              <m:r>
                <w:rPr>
                  <w:rFonts w:ascii="Cambria Math" w:hAnsi="Cambria Math" w:cs="FrankRuehl"/>
                  <w:color w:val="000000" w:themeColor="text1"/>
                  <w:szCs w:val="26"/>
                </w:rPr>
                <m:t>β</m:t>
              </m:r>
            </m:e>
            <m:sub>
              <m:r>
                <m:rPr>
                  <m:sty m:val="p"/>
                </m:rPr>
                <w:rPr>
                  <w:rFonts w:ascii="Cambria Math" w:hAnsi="Cambria Math" w:cs="FrankRuehl"/>
                  <w:color w:val="000000" w:themeColor="text1"/>
                  <w:szCs w:val="26"/>
                </w:rPr>
                <m:t>2</m:t>
              </m:r>
            </m:sub>
          </m:sSub>
          <m:sSubSup>
            <m:sSubSupPr>
              <m:ctrlPr>
                <w:rPr>
                  <w:rFonts w:ascii="Cambria Math" w:hAnsi="Cambria Math" w:cs="FrankRuehl"/>
                  <w:i/>
                  <w:color w:val="000000" w:themeColor="text1"/>
                  <w:szCs w:val="26"/>
                </w:rPr>
              </m:ctrlPr>
            </m:sSubSupPr>
            <m:e>
              <m:r>
                <w:rPr>
                  <w:rFonts w:ascii="Cambria Math" w:hAnsi="Cambria Math" w:cs="FrankRuehl"/>
                  <w:color w:val="000000" w:themeColor="text1"/>
                  <w:szCs w:val="26"/>
                </w:rPr>
                <m:t>T</m:t>
              </m:r>
            </m:e>
            <m:sub>
              <m:r>
                <w:rPr>
                  <w:rFonts w:ascii="Cambria Math" w:hAnsi="Cambria Math" w:cs="FrankRuehl"/>
                  <w:color w:val="000000" w:themeColor="text1"/>
                  <w:szCs w:val="26"/>
                </w:rPr>
                <m:t>i</m:t>
              </m:r>
              <m:r>
                <m:rPr>
                  <m:sty m:val="p"/>
                </m:rPr>
                <w:rPr>
                  <w:rFonts w:ascii="Cambria Math" w:hAnsi="Cambria Math" w:cs="FrankRuehl"/>
                  <w:color w:val="000000" w:themeColor="text1"/>
                  <w:szCs w:val="26"/>
                </w:rPr>
                <m:t>,</m:t>
              </m:r>
              <m:r>
                <w:rPr>
                  <w:rFonts w:ascii="Cambria Math" w:hAnsi="Cambria Math" w:cs="FrankRuehl"/>
                  <w:color w:val="000000" w:themeColor="text1"/>
                  <w:szCs w:val="26"/>
                </w:rPr>
                <m:t>t</m:t>
              </m:r>
              <m:r>
                <m:rPr>
                  <m:sty m:val="p"/>
                </m:rPr>
                <w:rPr>
                  <w:rFonts w:ascii="Cambria Math" w:hAnsi="Cambria Math" w:cs="FrankRuehl"/>
                  <w:color w:val="000000" w:themeColor="text1"/>
                  <w:szCs w:val="26"/>
                </w:rPr>
                <m:t xml:space="preserve"> </m:t>
              </m:r>
              <m:ctrlPr>
                <w:rPr>
                  <w:rFonts w:ascii="Cambria Math" w:hAnsi="Cambria Math" w:cs="FrankRuehl"/>
                  <w:color w:val="000000" w:themeColor="text1"/>
                  <w:szCs w:val="26"/>
                </w:rPr>
              </m:ctrlPr>
            </m:sub>
            <m:sup>
              <m:r>
                <w:rPr>
                  <w:rFonts w:ascii="Cambria Math" w:hAnsi="Cambria Math" w:cs="FrankRuehl"/>
                  <w:color w:val="000000" w:themeColor="text1"/>
                  <w:szCs w:val="26"/>
                </w:rPr>
                <m:t>c</m:t>
              </m:r>
            </m:sup>
          </m:sSubSup>
          <m:r>
            <m:rPr>
              <m:sty m:val="p"/>
            </m:rPr>
            <w:rPr>
              <w:rFonts w:ascii="Cambria Math" w:hAnsi="Cambria Math" w:cs="FrankRuehl"/>
              <w:color w:val="000000" w:themeColor="text1"/>
              <w:szCs w:val="26"/>
            </w:rPr>
            <m:t>+</m:t>
          </m:r>
          <m:sSubSup>
            <m:sSubSupPr>
              <m:ctrlPr>
                <w:rPr>
                  <w:rFonts w:ascii="Cambria Math" w:hAnsi="Cambria Math" w:cs="FrankRuehl"/>
                  <w:i/>
                  <w:color w:val="000000" w:themeColor="text1"/>
                  <w:szCs w:val="26"/>
                </w:rPr>
              </m:ctrlPr>
            </m:sSubSupPr>
            <m:e>
              <m:r>
                <w:rPr>
                  <w:rFonts w:ascii="Cambria Math" w:hAnsi="Cambria Math" w:cs="FrankRuehl"/>
                  <w:color w:val="000000" w:themeColor="text1"/>
                  <w:szCs w:val="26"/>
                </w:rPr>
                <m:t>β</m:t>
              </m:r>
            </m:e>
            <m:sub>
              <m:r>
                <m:rPr>
                  <m:sty m:val="p"/>
                </m:rPr>
                <w:rPr>
                  <w:rFonts w:ascii="Cambria Math" w:hAnsi="Cambria Math" w:cs="FrankRuehl"/>
                  <w:color w:val="000000" w:themeColor="text1"/>
                  <w:szCs w:val="26"/>
                </w:rPr>
                <m:t>3</m:t>
              </m:r>
              <m:ctrlPr>
                <w:rPr>
                  <w:rFonts w:ascii="Cambria Math" w:hAnsi="Cambria Math" w:cs="FrankRuehl"/>
                  <w:color w:val="000000" w:themeColor="text1"/>
                  <w:szCs w:val="26"/>
                </w:rPr>
              </m:ctrlPr>
            </m:sub>
            <m:sup>
              <m:r>
                <w:rPr>
                  <w:rFonts w:ascii="Cambria Math" w:hAnsi="Cambria Math" w:cs="FrankRuehl"/>
                  <w:color w:val="000000" w:themeColor="text1"/>
                  <w:szCs w:val="26"/>
                </w:rPr>
                <m:t>15</m:t>
              </m:r>
            </m:sup>
          </m:sSubSup>
          <m:sSub>
            <m:sSubPr>
              <m:ctrlPr>
                <w:rPr>
                  <w:rFonts w:ascii="Cambria Math" w:hAnsi="Cambria Math" w:cs="FrankRuehl"/>
                  <w:i/>
                  <w:color w:val="000000" w:themeColor="text1"/>
                  <w:szCs w:val="26"/>
                </w:rPr>
              </m:ctrlPr>
            </m:sSubPr>
            <m:e>
              <m:r>
                <w:rPr>
                  <w:rFonts w:ascii="Cambria Math" w:hAnsi="Cambria Math" w:cs="FrankRuehl"/>
                  <w:color w:val="000000" w:themeColor="text1"/>
                  <w:szCs w:val="26"/>
                </w:rPr>
                <m:t>T</m:t>
              </m:r>
              <m:ctrlPr>
                <w:rPr>
                  <w:rFonts w:ascii="Cambria Math" w:hAnsi="Cambria Math" w:cs="FrankRuehl"/>
                  <w:color w:val="000000" w:themeColor="text1"/>
                  <w:szCs w:val="26"/>
                </w:rPr>
              </m:ctrlPr>
            </m:e>
            <m:sub>
              <m:r>
                <w:rPr>
                  <w:rFonts w:ascii="Cambria Math" w:hAnsi="Cambria Math" w:cs="FrankRuehl"/>
                  <w:color w:val="000000" w:themeColor="text1"/>
                  <w:szCs w:val="26"/>
                </w:rPr>
                <m:t>i</m:t>
              </m:r>
              <m:r>
                <m:rPr>
                  <m:sty m:val="p"/>
                </m:rPr>
                <w:rPr>
                  <w:rFonts w:ascii="Cambria Math" w:hAnsi="Cambria Math" w:cs="FrankRuehl"/>
                  <w:color w:val="000000" w:themeColor="text1"/>
                  <w:szCs w:val="26"/>
                </w:rPr>
                <m:t>,</m:t>
              </m:r>
              <m:r>
                <w:rPr>
                  <w:rFonts w:ascii="Cambria Math" w:hAnsi="Cambria Math" w:cs="FrankRuehl"/>
                  <w:color w:val="000000" w:themeColor="text1"/>
                  <w:szCs w:val="26"/>
                </w:rPr>
                <m:t>t</m:t>
              </m:r>
              <m:r>
                <m:rPr>
                  <m:sty m:val="p"/>
                </m:rPr>
                <w:rPr>
                  <w:rFonts w:ascii="Cambria Math" w:hAnsi="Cambria Math" w:cs="FrankRuehl"/>
                  <w:color w:val="000000" w:themeColor="text1"/>
                  <w:szCs w:val="26"/>
                </w:rPr>
                <m:t xml:space="preserve"> </m:t>
              </m:r>
              <m:ctrlPr>
                <w:rPr>
                  <w:rFonts w:ascii="Cambria Math" w:hAnsi="Cambria Math" w:cs="FrankRuehl"/>
                  <w:color w:val="000000" w:themeColor="text1"/>
                  <w:szCs w:val="26"/>
                </w:rPr>
              </m:ctrlPr>
            </m:sub>
          </m:sSub>
          <m:r>
            <m:rPr>
              <m:sty m:val="p"/>
            </m:rPr>
            <w:rPr>
              <w:rFonts w:ascii="Cambria Math" w:hAnsi="Cambria Math" w:cs="FrankRuehl"/>
              <w:color w:val="000000" w:themeColor="text1"/>
              <w:szCs w:val="26"/>
            </w:rPr>
            <m:t>∙</m:t>
          </m:r>
          <m:r>
            <w:rPr>
              <w:rFonts w:ascii="Cambria Math" w:hAnsi="Cambria Math" w:cs="FrankRuehl"/>
              <w:color w:val="000000" w:themeColor="text1"/>
              <w:szCs w:val="26"/>
            </w:rPr>
            <m:t>LastCPI Unex</m:t>
          </m:r>
          <m:sSub>
            <m:sSubPr>
              <m:ctrlPr>
                <w:rPr>
                  <w:rFonts w:ascii="Cambria Math" w:hAnsi="Cambria Math" w:cs="FrankRuehl"/>
                  <w:i/>
                  <w:color w:val="000000" w:themeColor="text1"/>
                  <w:szCs w:val="26"/>
                </w:rPr>
              </m:ctrlPr>
            </m:sSubPr>
            <m:e>
              <m:r>
                <w:rPr>
                  <w:rFonts w:ascii="Cambria Math" w:hAnsi="Cambria Math" w:cs="FrankRuehl"/>
                  <w:color w:val="000000" w:themeColor="text1"/>
                  <w:szCs w:val="26"/>
                </w:rPr>
                <m:t>p</m:t>
              </m:r>
            </m:e>
            <m:sub>
              <m:r>
                <w:rPr>
                  <w:rFonts w:ascii="Cambria Math" w:hAnsi="Cambria Math" w:cs="FrankRuehl"/>
                  <w:color w:val="000000" w:themeColor="text1"/>
                  <w:szCs w:val="26"/>
                </w:rPr>
                <m:t>t</m:t>
              </m:r>
            </m:sub>
          </m:sSub>
        </m:oMath>
      </m:oMathPara>
    </w:p>
    <w:p w14:paraId="0632261E" w14:textId="77777777" w:rsidR="007613CB" w:rsidRPr="00C32E47" w:rsidRDefault="007613CB" w:rsidP="007613CB">
      <w:pPr>
        <w:rPr>
          <w:rFonts w:eastAsiaTheme="minorEastAsia"/>
          <w:color w:val="000000" w:themeColor="text1"/>
          <w:szCs w:val="26"/>
        </w:rPr>
      </w:pPr>
      <m:oMathPara>
        <m:oMath>
          <m:r>
            <m:rPr>
              <m:sty m:val="p"/>
            </m:rPr>
            <w:rPr>
              <w:rFonts w:ascii="Cambria Math" w:hAnsi="Cambria Math" w:cs="FrankRuehl"/>
              <w:color w:val="000000" w:themeColor="text1"/>
              <w:szCs w:val="26"/>
            </w:rPr>
            <m:t>+</m:t>
          </m:r>
          <m:sSub>
            <m:sSubPr>
              <m:ctrlPr>
                <w:rPr>
                  <w:rFonts w:ascii="Cambria Math" w:hAnsi="Cambria Math" w:cs="FrankRuehl"/>
                  <w:i/>
                  <w:color w:val="000000" w:themeColor="text1"/>
                  <w:szCs w:val="26"/>
                </w:rPr>
              </m:ctrlPr>
            </m:sSubPr>
            <m:e>
              <m:r>
                <w:rPr>
                  <w:rFonts w:ascii="Cambria Math" w:hAnsi="Cambria Math" w:cs="FrankRuehl"/>
                  <w:color w:val="000000" w:themeColor="text1"/>
                  <w:szCs w:val="26"/>
                </w:rPr>
                <m:t>β</m:t>
              </m:r>
            </m:e>
            <m:sub>
              <m:r>
                <m:rPr>
                  <m:sty m:val="p"/>
                </m:rPr>
                <w:rPr>
                  <w:rFonts w:ascii="Cambria Math" w:hAnsi="Cambria Math" w:cs="FrankRuehl"/>
                  <w:color w:val="000000" w:themeColor="text1"/>
                  <w:szCs w:val="26"/>
                </w:rPr>
                <m:t>4</m:t>
              </m:r>
              <m:ctrlPr>
                <w:rPr>
                  <w:rFonts w:ascii="Cambria Math" w:hAnsi="Cambria Math" w:cs="FrankRuehl"/>
                  <w:color w:val="000000" w:themeColor="text1"/>
                  <w:szCs w:val="26"/>
                </w:rPr>
              </m:ctrlPr>
            </m:sub>
          </m:sSub>
          <m:sSubSup>
            <m:sSubSupPr>
              <m:ctrlPr>
                <w:rPr>
                  <w:rFonts w:ascii="Cambria Math" w:hAnsi="Cambria Math" w:cs="FrankRuehl"/>
                  <w:i/>
                  <w:color w:val="000000" w:themeColor="text1"/>
                  <w:szCs w:val="26"/>
                </w:rPr>
              </m:ctrlPr>
            </m:sSubSupPr>
            <m:e>
              <m:r>
                <w:rPr>
                  <w:rFonts w:ascii="Cambria Math" w:hAnsi="Cambria Math" w:cs="FrankRuehl"/>
                  <w:color w:val="000000" w:themeColor="text1"/>
                  <w:szCs w:val="26"/>
                </w:rPr>
                <m:t>T</m:t>
              </m:r>
            </m:e>
            <m:sub>
              <m:r>
                <w:rPr>
                  <w:rFonts w:ascii="Cambria Math" w:hAnsi="Cambria Math" w:cs="FrankRuehl"/>
                  <w:color w:val="000000" w:themeColor="text1"/>
                  <w:szCs w:val="26"/>
                </w:rPr>
                <m:t>i</m:t>
              </m:r>
              <m:r>
                <m:rPr>
                  <m:sty m:val="p"/>
                </m:rPr>
                <w:rPr>
                  <w:rFonts w:ascii="Cambria Math" w:hAnsi="Cambria Math" w:cs="FrankRuehl"/>
                  <w:color w:val="000000" w:themeColor="text1"/>
                  <w:szCs w:val="26"/>
                </w:rPr>
                <m:t>,</m:t>
              </m:r>
              <m:r>
                <w:rPr>
                  <w:rFonts w:ascii="Cambria Math" w:hAnsi="Cambria Math" w:cs="FrankRuehl"/>
                  <w:color w:val="000000" w:themeColor="text1"/>
                  <w:szCs w:val="26"/>
                </w:rPr>
                <m:t>t</m:t>
              </m:r>
              <m:r>
                <m:rPr>
                  <m:sty m:val="p"/>
                </m:rPr>
                <w:rPr>
                  <w:rFonts w:ascii="Cambria Math" w:hAnsi="Cambria Math" w:cs="FrankRuehl"/>
                  <w:color w:val="000000" w:themeColor="text1"/>
                  <w:szCs w:val="26"/>
                </w:rPr>
                <m:t xml:space="preserve"> </m:t>
              </m:r>
              <m:ctrlPr>
                <w:rPr>
                  <w:rFonts w:ascii="Cambria Math" w:hAnsi="Cambria Math" w:cs="FrankRuehl"/>
                  <w:color w:val="000000" w:themeColor="text1"/>
                  <w:szCs w:val="26"/>
                </w:rPr>
              </m:ctrlPr>
            </m:sub>
            <m:sup>
              <m:r>
                <w:rPr>
                  <w:rFonts w:ascii="Cambria Math" w:hAnsi="Cambria Math" w:cs="FrankRuehl"/>
                  <w:color w:val="000000" w:themeColor="text1"/>
                  <w:szCs w:val="26"/>
                </w:rPr>
                <m:t>c</m:t>
              </m:r>
            </m:sup>
          </m:sSubSup>
          <m:r>
            <m:rPr>
              <m:sty m:val="p"/>
            </m:rPr>
            <w:rPr>
              <w:rFonts w:ascii="Cambria Math" w:hAnsi="Cambria Math" w:cs="FrankRuehl"/>
              <w:color w:val="000000" w:themeColor="text1"/>
              <w:szCs w:val="26"/>
            </w:rPr>
            <m:t>∙</m:t>
          </m:r>
          <m:r>
            <w:rPr>
              <w:rFonts w:ascii="Cambria Math" w:hAnsi="Cambria Math" w:cs="FrankRuehl"/>
              <w:color w:val="000000" w:themeColor="text1"/>
              <w:szCs w:val="26"/>
            </w:rPr>
            <m:t>PriceSecondHal</m:t>
          </m:r>
          <m:sSub>
            <m:sSubPr>
              <m:ctrlPr>
                <w:rPr>
                  <w:rFonts w:ascii="Cambria Math" w:hAnsi="Cambria Math" w:cs="FrankRuehl"/>
                  <w:i/>
                  <w:color w:val="000000" w:themeColor="text1"/>
                  <w:szCs w:val="26"/>
                </w:rPr>
              </m:ctrlPr>
            </m:sSubPr>
            <m:e>
              <m:r>
                <w:rPr>
                  <w:rFonts w:ascii="Cambria Math" w:hAnsi="Cambria Math" w:cs="FrankRuehl"/>
                  <w:color w:val="000000" w:themeColor="text1"/>
                  <w:szCs w:val="26"/>
                </w:rPr>
                <m:t>f</m:t>
              </m:r>
            </m:e>
            <m:sub>
              <m:r>
                <w:rPr>
                  <w:rFonts w:ascii="Cambria Math" w:hAnsi="Cambria Math" w:cs="FrankRuehl"/>
                  <w:color w:val="000000" w:themeColor="text1"/>
                  <w:szCs w:val="26"/>
                </w:rPr>
                <m:t>t</m:t>
              </m:r>
            </m:sub>
          </m:sSub>
          <m:r>
            <m:rPr>
              <m:sty m:val="p"/>
            </m:rPr>
            <w:rPr>
              <w:rFonts w:ascii="Cambria Math" w:hAnsi="Cambria Math" w:cs="FrankRuehl"/>
              <w:color w:val="000000" w:themeColor="text1"/>
              <w:szCs w:val="26"/>
            </w:rPr>
            <m:t>+</m:t>
          </m:r>
          <m:sSub>
            <m:sSubPr>
              <m:ctrlPr>
                <w:rPr>
                  <w:rFonts w:ascii="Cambria Math" w:hAnsi="Cambria Math" w:cs="FrankRuehl"/>
                  <w:color w:val="000000" w:themeColor="text1"/>
                  <w:szCs w:val="26"/>
                </w:rPr>
              </m:ctrlPr>
            </m:sSubPr>
            <m:e>
              <m:r>
                <w:rPr>
                  <w:rFonts w:ascii="Cambria Math" w:hAnsi="Cambria Math" w:cs="FrankRuehl"/>
                  <w:color w:val="000000" w:themeColor="text1"/>
                  <w:szCs w:val="26"/>
                </w:rPr>
                <m:t>γ</m:t>
              </m:r>
            </m:e>
            <m:sub>
              <m:r>
                <w:rPr>
                  <w:rFonts w:ascii="Cambria Math" w:hAnsi="Cambria Math" w:cs="FrankRuehl"/>
                  <w:color w:val="000000" w:themeColor="text1"/>
                  <w:szCs w:val="26"/>
                </w:rPr>
                <m:t>t</m:t>
              </m:r>
            </m:sub>
          </m:sSub>
          <m:r>
            <m:rPr>
              <m:sty m:val="p"/>
            </m:rPr>
            <w:rPr>
              <w:rFonts w:ascii="Cambria Math" w:hAnsi="Cambria Math" w:cs="FrankRuehl"/>
              <w:color w:val="000000" w:themeColor="text1"/>
              <w:szCs w:val="26"/>
            </w:rPr>
            <m:t>+</m:t>
          </m:r>
          <m:sSub>
            <m:sSubPr>
              <m:ctrlPr>
                <w:rPr>
                  <w:rFonts w:ascii="Cambria Math" w:hAnsi="Cambria Math" w:cs="FrankRuehl"/>
                  <w:color w:val="000000" w:themeColor="text1"/>
                  <w:szCs w:val="26"/>
                </w:rPr>
              </m:ctrlPr>
            </m:sSubPr>
            <m:e>
              <m:acc>
                <m:accPr>
                  <m:chr m:val="⃗"/>
                  <m:ctrlPr>
                    <w:rPr>
                      <w:rFonts w:ascii="Cambria Math" w:hAnsi="Cambria Math" w:cs="FrankRuehl"/>
                      <w:color w:val="000000" w:themeColor="text1"/>
                      <w:szCs w:val="26"/>
                    </w:rPr>
                  </m:ctrlPr>
                </m:accPr>
                <m:e>
                  <m:r>
                    <m:rPr>
                      <m:sty m:val="p"/>
                    </m:rPr>
                    <w:rPr>
                      <w:rFonts w:ascii="Cambria Math" w:hAnsi="Cambria Math" w:cs="FrankRuehl"/>
                      <w:color w:val="000000" w:themeColor="text1"/>
                      <w:szCs w:val="26"/>
                    </w:rPr>
                    <m:t>X</m:t>
                  </m:r>
                </m:e>
              </m:acc>
            </m:e>
            <m:sub>
              <m:r>
                <m:rPr>
                  <m:sty m:val="p"/>
                </m:rPr>
                <w:rPr>
                  <w:rFonts w:ascii="Cambria Math" w:hAnsi="Cambria Math" w:cs="FrankRuehl"/>
                  <w:color w:val="000000" w:themeColor="text1"/>
                  <w:szCs w:val="26"/>
                </w:rPr>
                <m:t>i</m:t>
              </m:r>
            </m:sub>
          </m:sSub>
          <m:r>
            <m:rPr>
              <m:sty m:val="p"/>
            </m:rPr>
            <w:rPr>
              <w:rFonts w:ascii="Cambria Math" w:hAnsi="Cambria Math" w:cs="FrankRuehl"/>
              <w:color w:val="000000" w:themeColor="text1"/>
              <w:szCs w:val="26"/>
            </w:rPr>
            <m:t>+</m:t>
          </m:r>
          <m:sSub>
            <m:sSubPr>
              <m:ctrlPr>
                <w:rPr>
                  <w:rFonts w:ascii="Cambria Math" w:hAnsi="Cambria Math" w:cs="FrankRuehl"/>
                  <w:color w:val="000000" w:themeColor="text1"/>
                  <w:szCs w:val="26"/>
                </w:rPr>
              </m:ctrlPr>
            </m:sSubPr>
            <m:e>
              <m:r>
                <w:rPr>
                  <w:rFonts w:ascii="Cambria Math" w:hAnsi="Cambria Math" w:cs="FrankRuehl"/>
                  <w:color w:val="000000" w:themeColor="text1"/>
                  <w:szCs w:val="26"/>
                </w:rPr>
                <m:t>ε</m:t>
              </m:r>
            </m:e>
            <m:sub>
              <m:r>
                <w:rPr>
                  <w:rFonts w:ascii="Cambria Math" w:hAnsi="Cambria Math" w:cs="FrankRuehl"/>
                  <w:color w:val="000000" w:themeColor="text1"/>
                  <w:szCs w:val="26"/>
                </w:rPr>
                <m:t>i</m:t>
              </m:r>
              <m:r>
                <m:rPr>
                  <m:sty m:val="p"/>
                </m:rPr>
                <w:rPr>
                  <w:rFonts w:ascii="Cambria Math" w:hAnsi="Cambria Math" w:cs="FrankRuehl"/>
                  <w:color w:val="000000" w:themeColor="text1"/>
                  <w:szCs w:val="26"/>
                </w:rPr>
                <m:t>,</m:t>
              </m:r>
              <m:r>
                <w:rPr>
                  <w:rFonts w:ascii="Cambria Math" w:hAnsi="Cambria Math" w:cs="FrankRuehl"/>
                  <w:color w:val="000000" w:themeColor="text1"/>
                  <w:szCs w:val="26"/>
                </w:rPr>
                <m:t>t</m:t>
              </m:r>
            </m:sub>
          </m:sSub>
        </m:oMath>
      </m:oMathPara>
    </w:p>
    <w:p w14:paraId="4CED1128" w14:textId="77777777" w:rsidR="007613CB" w:rsidRDefault="007613CB" w:rsidP="007613CB">
      <w:pPr>
        <w:rPr>
          <w:rFonts w:eastAsiaTheme="minorEastAsia"/>
          <w:color w:val="000000" w:themeColor="text1"/>
          <w:szCs w:val="26"/>
        </w:rPr>
      </w:pPr>
    </w:p>
    <w:p w14:paraId="3DB81794" w14:textId="77777777" w:rsidR="007613CB" w:rsidRDefault="007613CB" w:rsidP="007613CB">
      <w:pPr>
        <w:rPr>
          <w:rFonts w:eastAsiaTheme="minorEastAsia"/>
        </w:rPr>
      </w:pPr>
      <w:r>
        <w:rPr>
          <w:rFonts w:eastAsiaTheme="minorEastAsia"/>
          <w:color w:val="000000" w:themeColor="text1"/>
          <w:szCs w:val="26"/>
        </w:rPr>
        <w:lastRenderedPageBreak/>
        <w:t xml:space="preserve">where </w:t>
      </w:r>
      <m:oMath>
        <m:sSubSup>
          <m:sSubSupPr>
            <m:ctrlPr>
              <w:rPr>
                <w:rFonts w:ascii="Cambria Math" w:hAnsi="Cambria Math" w:cs="FrankRuehl"/>
              </w:rPr>
            </m:ctrlPr>
          </m:sSubSupPr>
          <m:e>
            <m:r>
              <w:rPr>
                <w:rFonts w:ascii="Cambria Math" w:hAnsi="Cambria Math" w:cs="FrankRuehl"/>
              </w:rPr>
              <m:t>π</m:t>
            </m:r>
          </m:e>
          <m:sub>
            <m:r>
              <w:rPr>
                <w:rFonts w:ascii="Cambria Math" w:hAnsi="Cambria Math" w:cs="FrankRuehl"/>
              </w:rPr>
              <m:t>i</m:t>
            </m:r>
            <m:r>
              <m:rPr>
                <m:sty m:val="p"/>
              </m:rPr>
              <w:rPr>
                <w:rFonts w:ascii="Cambria Math" w:hAnsi="Cambria Math" w:cs="FrankRuehl"/>
              </w:rPr>
              <m:t>,</m:t>
            </m:r>
            <m:r>
              <w:rPr>
                <w:rFonts w:ascii="Cambria Math" w:hAnsi="Cambria Math" w:cs="FrankRuehl"/>
              </w:rPr>
              <m:t>t</m:t>
            </m:r>
          </m:sub>
          <m:sup>
            <m:r>
              <w:rPr>
                <w:rFonts w:ascii="Cambria Math" w:hAnsi="Cambria Math" w:cs="FrankRuehl"/>
              </w:rPr>
              <m:t>e</m:t>
            </m:r>
          </m:sup>
        </m:sSubSup>
      </m:oMath>
      <w:r>
        <w:rPr>
          <w:rFonts w:eastAsiaTheme="minorEastAsia"/>
        </w:rPr>
        <w:t xml:space="preserve"> are one-year inflation expectations of individual </w:t>
      </w:r>
      <m:oMath>
        <m:r>
          <w:rPr>
            <w:rFonts w:ascii="Cambria Math" w:hAnsi="Cambria Math" w:cs="David"/>
          </w:rPr>
          <m:t>i</m:t>
        </m:r>
      </m:oMath>
      <w:r>
        <w:rPr>
          <w:rFonts w:eastAsiaTheme="minorEastAsia"/>
        </w:rPr>
        <w:t xml:space="preserve"> in month </w:t>
      </w:r>
      <m:oMath>
        <m:r>
          <w:rPr>
            <w:rFonts w:ascii="Cambria Math" w:hAnsi="Cambria Math" w:cs="David"/>
          </w:rPr>
          <m:t>t</m:t>
        </m:r>
      </m:oMath>
      <w:r>
        <w:rPr>
          <w:rFonts w:eastAsiaTheme="minorEastAsia"/>
        </w:rPr>
        <w:t>.</w:t>
      </w:r>
      <w:r>
        <w:rPr>
          <w:rStyle w:val="a6"/>
          <w:rFonts w:eastAsiaTheme="minorEastAsia"/>
        </w:rPr>
        <w:footnoteReference w:id="13"/>
      </w:r>
      <w:r>
        <w:rPr>
          <w:rFonts w:eastAsiaTheme="minorEastAsia"/>
        </w:rPr>
        <w:t xml:space="preserve">  </w:t>
      </w:r>
      <m:oMath>
        <m:sSubSup>
          <m:sSubSupPr>
            <m:ctrlPr>
              <w:rPr>
                <w:rFonts w:ascii="Cambria Math" w:hAnsi="Cambria Math" w:cs="FrankRuehl"/>
                <w:i/>
                <w:color w:val="000000" w:themeColor="text1"/>
              </w:rPr>
            </m:ctrlPr>
          </m:sSubSupPr>
          <m:e>
            <m:r>
              <w:rPr>
                <w:rFonts w:ascii="Cambria Math" w:hAnsi="Cambria Math" w:cs="FrankRuehl"/>
                <w:color w:val="000000" w:themeColor="text1"/>
              </w:rPr>
              <m:t>T</m:t>
            </m:r>
          </m:e>
          <m:sub>
            <m:r>
              <w:rPr>
                <w:rFonts w:ascii="Cambria Math" w:hAnsi="Cambria Math" w:cs="FrankRuehl"/>
                <w:color w:val="000000" w:themeColor="text1"/>
              </w:rPr>
              <m:t>i</m:t>
            </m:r>
            <m:r>
              <m:rPr>
                <m:sty m:val="p"/>
              </m:rPr>
              <w:rPr>
                <w:rFonts w:ascii="Cambria Math" w:hAnsi="Cambria Math" w:cs="FrankRuehl"/>
                <w:color w:val="000000" w:themeColor="text1"/>
              </w:rPr>
              <m:t>,</m:t>
            </m:r>
            <m:r>
              <w:rPr>
                <w:rFonts w:ascii="Cambria Math" w:hAnsi="Cambria Math" w:cs="FrankRuehl"/>
                <w:color w:val="000000" w:themeColor="text1"/>
              </w:rPr>
              <m:t>t</m:t>
            </m:r>
            <m:r>
              <m:rPr>
                <m:sty m:val="p"/>
              </m:rPr>
              <w:rPr>
                <w:rFonts w:ascii="Cambria Math" w:hAnsi="Cambria Math" w:cs="FrankRuehl"/>
                <w:color w:val="000000" w:themeColor="text1"/>
              </w:rPr>
              <m:t xml:space="preserve"> </m:t>
            </m:r>
            <m:ctrlPr>
              <w:rPr>
                <w:rFonts w:ascii="Cambria Math" w:hAnsi="Cambria Math" w:cs="FrankRuehl"/>
                <w:color w:val="000000" w:themeColor="text1"/>
              </w:rPr>
            </m:ctrlPr>
          </m:sub>
          <m:sup>
            <m:r>
              <w:rPr>
                <w:rFonts w:ascii="Cambria Math" w:hAnsi="Cambria Math" w:cs="FrankRuehl"/>
                <w:color w:val="000000" w:themeColor="text1"/>
              </w:rPr>
              <m:t>15</m:t>
            </m:r>
          </m:sup>
        </m:sSubSup>
      </m:oMath>
      <w:r>
        <w:rPr>
          <w:rFonts w:eastAsiaTheme="minorEastAsia"/>
          <w:color w:val="000000" w:themeColor="text1"/>
        </w:rPr>
        <w:t xml:space="preserve"> is a dummy variable of the availability of information on the preceding CPI reading, meaning whether the individual belongs to the group that answered in the second half of the month.  </w:t>
      </w:r>
      <m:oMath>
        <m:sSubSup>
          <m:sSubSupPr>
            <m:ctrlPr>
              <w:rPr>
                <w:rFonts w:ascii="Cambria Math" w:hAnsi="Cambria Math" w:cs="FrankRuehl"/>
                <w:i/>
                <w:color w:val="000000" w:themeColor="text1"/>
              </w:rPr>
            </m:ctrlPr>
          </m:sSubSupPr>
          <m:e>
            <m:r>
              <w:rPr>
                <w:rFonts w:ascii="Cambria Math" w:hAnsi="Cambria Math" w:cs="FrankRuehl"/>
                <w:color w:val="000000" w:themeColor="text1"/>
              </w:rPr>
              <m:t>T</m:t>
            </m:r>
          </m:e>
          <m:sub>
            <m:r>
              <w:rPr>
                <w:rFonts w:ascii="Cambria Math" w:hAnsi="Cambria Math" w:cs="FrankRuehl"/>
                <w:color w:val="000000" w:themeColor="text1"/>
              </w:rPr>
              <m:t>i</m:t>
            </m:r>
            <m:r>
              <m:rPr>
                <m:sty m:val="p"/>
              </m:rPr>
              <w:rPr>
                <w:rFonts w:ascii="Cambria Math" w:hAnsi="Cambria Math" w:cs="FrankRuehl"/>
                <w:color w:val="000000" w:themeColor="text1"/>
              </w:rPr>
              <m:t>,</m:t>
            </m:r>
            <m:r>
              <w:rPr>
                <w:rFonts w:ascii="Cambria Math" w:hAnsi="Cambria Math" w:cs="FrankRuehl"/>
                <w:color w:val="000000" w:themeColor="text1"/>
              </w:rPr>
              <m:t>t</m:t>
            </m:r>
            <m:r>
              <m:rPr>
                <m:sty m:val="p"/>
              </m:rPr>
              <w:rPr>
                <w:rFonts w:ascii="Cambria Math" w:hAnsi="Cambria Math" w:cs="FrankRuehl"/>
                <w:color w:val="000000" w:themeColor="text1"/>
              </w:rPr>
              <m:t xml:space="preserve"> </m:t>
            </m:r>
            <m:ctrlPr>
              <w:rPr>
                <w:rFonts w:ascii="Cambria Math" w:hAnsi="Cambria Math" w:cs="FrankRuehl"/>
                <w:color w:val="000000" w:themeColor="text1"/>
              </w:rPr>
            </m:ctrlPr>
          </m:sub>
          <m:sup>
            <m:r>
              <w:rPr>
                <w:rFonts w:ascii="Cambria Math" w:hAnsi="Cambria Math" w:cs="FrankRuehl"/>
                <w:color w:val="000000" w:themeColor="text1"/>
              </w:rPr>
              <m:t>c</m:t>
            </m:r>
          </m:sup>
        </m:sSubSup>
      </m:oMath>
      <w:r>
        <w:rPr>
          <w:rFonts w:eastAsiaTheme="minorEastAsia"/>
          <w:color w:val="000000" w:themeColor="text1"/>
        </w:rPr>
        <w:t xml:space="preserve"> is a continuous variable between 0 and 1 that reflects the rate of information—prices changes in the second half—that is available to the individual.  Those who respond in the first half of the month obtain the value 0, and the value increases linearly the later the individual answers in the second half of the month, to a value of 1 for an individual who answers at the end of the month.  </w:t>
      </w:r>
      <m:oMath>
        <m:r>
          <w:rPr>
            <w:rFonts w:ascii="Cambria Math" w:hAnsi="Cambria Math" w:cs="FrankRuehl"/>
            <w:color w:val="000000" w:themeColor="text1"/>
            <w:szCs w:val="26"/>
          </w:rPr>
          <m:t>LastCP</m:t>
        </m:r>
        <m:sSub>
          <m:sSubPr>
            <m:ctrlPr>
              <w:rPr>
                <w:rFonts w:ascii="Cambria Math" w:hAnsi="Cambria Math" w:cs="FrankRuehl"/>
                <w:i/>
                <w:color w:val="000000" w:themeColor="text1"/>
                <w:szCs w:val="26"/>
              </w:rPr>
            </m:ctrlPr>
          </m:sSubPr>
          <m:e>
            <m:r>
              <w:rPr>
                <w:rFonts w:ascii="Cambria Math" w:hAnsi="Cambria Math" w:cs="FrankRuehl"/>
                <w:color w:val="000000" w:themeColor="text1"/>
                <w:szCs w:val="26"/>
              </w:rPr>
              <m:t>I</m:t>
            </m:r>
          </m:e>
          <m:sub>
            <m:r>
              <w:rPr>
                <w:rFonts w:ascii="Cambria Math" w:hAnsi="Cambria Math" w:cs="FrankRuehl"/>
                <w:color w:val="000000" w:themeColor="text1"/>
                <w:szCs w:val="26"/>
              </w:rPr>
              <m:t>t</m:t>
            </m:r>
          </m:sub>
        </m:sSub>
      </m:oMath>
      <w:r>
        <w:rPr>
          <w:rFonts w:eastAsiaTheme="minorEastAsia"/>
          <w:color w:val="000000" w:themeColor="text1"/>
          <w:szCs w:val="26"/>
        </w:rPr>
        <w:t xml:space="preserve"> and </w:t>
      </w:r>
      <m:oMath>
        <m:r>
          <w:rPr>
            <w:rFonts w:ascii="Cambria Math" w:hAnsi="Cambria Math" w:cs="FrankRuehl"/>
            <w:color w:val="000000" w:themeColor="text1"/>
            <w:szCs w:val="26"/>
          </w:rPr>
          <m:t>PriceSecon</m:t>
        </m:r>
        <m:sSub>
          <m:sSubPr>
            <m:ctrlPr>
              <w:rPr>
                <w:rFonts w:ascii="Cambria Math" w:hAnsi="Cambria Math" w:cs="FrankRuehl"/>
                <w:i/>
                <w:color w:val="000000" w:themeColor="text1"/>
                <w:szCs w:val="26"/>
              </w:rPr>
            </m:ctrlPr>
          </m:sSubPr>
          <m:e>
            <m:r>
              <w:rPr>
                <w:rFonts w:ascii="Cambria Math" w:hAnsi="Cambria Math" w:cs="FrankRuehl"/>
                <w:color w:val="000000" w:themeColor="text1"/>
                <w:szCs w:val="26"/>
              </w:rPr>
              <m:t>d</m:t>
            </m:r>
          </m:e>
          <m:sub>
            <m:r>
              <w:rPr>
                <w:rFonts w:ascii="Cambria Math" w:hAnsi="Cambria Math" w:cs="FrankRuehl"/>
                <w:color w:val="000000" w:themeColor="text1"/>
                <w:szCs w:val="26"/>
              </w:rPr>
              <m:t>t</m:t>
            </m:r>
          </m:sub>
        </m:sSub>
      </m:oMath>
      <w:r>
        <w:rPr>
          <w:rFonts w:eastAsiaTheme="minorEastAsia"/>
          <w:color w:val="000000" w:themeColor="text1"/>
          <w:szCs w:val="26"/>
        </w:rPr>
        <w:t xml:space="preserve"> are estimates of the unexpected change in the CPI for the preceding month and price developments in the </w:t>
      </w:r>
      <w:r w:rsidRPr="0090127B">
        <w:rPr>
          <w:rFonts w:eastAsiaTheme="minorEastAsia" w:cstheme="majorBidi"/>
          <w:color w:val="000000" w:themeColor="text1"/>
          <w:szCs w:val="26"/>
        </w:rPr>
        <w:t xml:space="preserve">second half of the month, respectively.  The regressions include control for fixed effects for month </w:t>
      </w:r>
      <m:oMath>
        <m:sSub>
          <m:sSubPr>
            <m:ctrlPr>
              <w:rPr>
                <w:rFonts w:ascii="Cambria Math" w:hAnsi="Cambria Math" w:cstheme="majorBidi"/>
              </w:rPr>
            </m:ctrlPr>
          </m:sSubPr>
          <m:e>
            <m:r>
              <w:rPr>
                <w:rFonts w:ascii="Cambria Math" w:hAnsi="Cambria Math" w:cstheme="majorBidi"/>
              </w:rPr>
              <m:t>γ</m:t>
            </m:r>
          </m:e>
          <m:sub>
            <m:r>
              <w:rPr>
                <w:rFonts w:ascii="Cambria Math" w:hAnsi="Cambria Math" w:cstheme="majorBidi"/>
              </w:rPr>
              <m:t>t</m:t>
            </m:r>
          </m:sub>
        </m:sSub>
      </m:oMath>
      <w:r w:rsidRPr="0090127B">
        <w:rPr>
          <w:rFonts w:eastAsiaTheme="minorEastAsia" w:cstheme="majorBidi"/>
        </w:rPr>
        <w:t xml:space="preserve">. </w:t>
      </w:r>
      <m:oMath>
        <m:sSub>
          <m:sSubPr>
            <m:ctrlPr>
              <w:rPr>
                <w:rFonts w:ascii="Cambria Math" w:hAnsi="Cambria Math" w:cstheme="majorBidi"/>
                <w:color w:val="000000" w:themeColor="text1"/>
                <w:szCs w:val="26"/>
              </w:rPr>
            </m:ctrlPr>
          </m:sSubPr>
          <m:e>
            <m:acc>
              <m:accPr>
                <m:chr m:val="⃗"/>
                <m:ctrlPr>
                  <w:rPr>
                    <w:rFonts w:ascii="Cambria Math" w:hAnsi="Cambria Math" w:cstheme="majorBidi"/>
                    <w:color w:val="000000" w:themeColor="text1"/>
                    <w:szCs w:val="26"/>
                  </w:rPr>
                </m:ctrlPr>
              </m:accPr>
              <m:e>
                <m:r>
                  <m:rPr>
                    <m:sty m:val="p"/>
                  </m:rPr>
                  <w:rPr>
                    <w:rFonts w:ascii="Cambria Math" w:hAnsi="Cambria Math" w:cstheme="majorBidi"/>
                    <w:color w:val="000000" w:themeColor="text1"/>
                    <w:szCs w:val="26"/>
                  </w:rPr>
                  <m:t>X</m:t>
                </m:r>
              </m:e>
            </m:acc>
          </m:e>
          <m:sub>
            <m:r>
              <m:rPr>
                <m:sty m:val="p"/>
              </m:rPr>
              <w:rPr>
                <w:rFonts w:ascii="Cambria Math" w:hAnsi="Cambria Math" w:cstheme="majorBidi"/>
                <w:color w:val="000000" w:themeColor="text1"/>
                <w:szCs w:val="26"/>
              </w:rPr>
              <m:t>i</m:t>
            </m:r>
          </m:sub>
        </m:sSub>
      </m:oMath>
      <w:r w:rsidRPr="0090127B">
        <w:rPr>
          <w:rFonts w:eastAsiaTheme="minorEastAsia" w:cstheme="majorBidi"/>
          <w:color w:val="000000" w:themeColor="text1"/>
          <w:szCs w:val="26"/>
        </w:rPr>
        <w:t xml:space="preserve"> is a vector of controlled variables (gender, marital status, education, religion, and age).  </w:t>
      </w:r>
      <m:oMath>
        <m:sSub>
          <m:sSubPr>
            <m:ctrlPr>
              <w:rPr>
                <w:rFonts w:ascii="Cambria Math" w:hAnsi="Cambria Math" w:cstheme="majorBidi"/>
              </w:rPr>
            </m:ctrlPr>
          </m:sSubPr>
          <m:e>
            <m:r>
              <w:rPr>
                <w:rFonts w:ascii="Cambria Math" w:hAnsi="Cambria Math" w:cstheme="majorBidi"/>
              </w:rPr>
              <m:t>ε</m:t>
            </m:r>
          </m:e>
          <m:sub>
            <m:r>
              <w:rPr>
                <w:rFonts w:ascii="Cambria Math" w:hAnsi="Cambria Math" w:cstheme="majorBidi"/>
              </w:rPr>
              <m:t>i</m:t>
            </m:r>
            <m:r>
              <m:rPr>
                <m:sty m:val="p"/>
              </m:rPr>
              <w:rPr>
                <w:rFonts w:ascii="Cambria Math" w:hAnsi="Cambria Math" w:cstheme="majorBidi"/>
              </w:rPr>
              <m:t>,</m:t>
            </m:r>
            <m:r>
              <w:rPr>
                <w:rFonts w:ascii="Cambria Math" w:hAnsi="Cambria Math" w:cstheme="majorBidi"/>
              </w:rPr>
              <m:t>t</m:t>
            </m:r>
          </m:sub>
        </m:sSub>
      </m:oMath>
      <w:r w:rsidRPr="0090127B">
        <w:rPr>
          <w:rFonts w:eastAsiaTheme="minorEastAsia" w:cstheme="majorBidi"/>
        </w:rPr>
        <w:t xml:space="preserve"> is </w:t>
      </w:r>
      <w:r w:rsidRPr="004C075A">
        <w:rPr>
          <w:rFonts w:eastAsiaTheme="minorEastAsia" w:cstheme="majorBidi"/>
        </w:rPr>
        <w:t xml:space="preserve">the </w:t>
      </w:r>
      <w:r>
        <w:rPr>
          <w:rFonts w:eastAsiaTheme="minorEastAsia"/>
        </w:rPr>
        <w:t xml:space="preserve">error term.  In order to examine whether the links depend on the inflation rate, we estimate Equation 1 allowing for various effects during the periods in which annual inflation is above 3 percent </w:t>
      </w:r>
      <m:oMath>
        <m:r>
          <w:rPr>
            <w:rFonts w:ascii="Cambria Math" w:eastAsiaTheme="minorEastAsia" w:hAnsi="Cambria Math"/>
          </w:rPr>
          <m:t>(</m:t>
        </m:r>
        <m:r>
          <w:rPr>
            <w:rFonts w:ascii="Cambria Math" w:hAnsi="Cambria Math" w:cs="David"/>
          </w:rPr>
          <m:t>hig</m:t>
        </m:r>
        <m:sSub>
          <m:sSubPr>
            <m:ctrlPr>
              <w:rPr>
                <w:rFonts w:ascii="Cambria Math" w:hAnsi="Cambria Math" w:cs="David"/>
                <w:i/>
              </w:rPr>
            </m:ctrlPr>
          </m:sSubPr>
          <m:e>
            <m:r>
              <w:rPr>
                <w:rFonts w:ascii="Cambria Math" w:hAnsi="Cambria Math" w:cs="David"/>
              </w:rPr>
              <m:t>h</m:t>
            </m:r>
          </m:e>
          <m:sub>
            <m:r>
              <w:rPr>
                <w:rFonts w:ascii="Cambria Math" w:hAnsi="Cambria Math" w:cs="David"/>
              </w:rPr>
              <m:t>t</m:t>
            </m:r>
          </m:sub>
        </m:sSub>
        <m:r>
          <w:rPr>
            <w:rFonts w:ascii="Cambria Math" w:hAnsi="Cambria Math" w:cs="David"/>
          </w:rPr>
          <m:t>)</m:t>
        </m:r>
      </m:oMath>
      <w:r>
        <w:rPr>
          <w:rFonts w:eastAsiaTheme="minorEastAsia"/>
        </w:rPr>
        <w:t xml:space="preserve"> or below 3 percent (</w:t>
      </w:r>
      <m:oMath>
        <m:r>
          <w:rPr>
            <w:rFonts w:ascii="Cambria Math" w:hAnsi="Cambria Math" w:cs="David"/>
          </w:rPr>
          <m:t>lo</m:t>
        </m:r>
        <m:sSub>
          <m:sSubPr>
            <m:ctrlPr>
              <w:rPr>
                <w:rFonts w:ascii="Cambria Math" w:hAnsi="Cambria Math" w:cs="David"/>
                <w:i/>
              </w:rPr>
            </m:ctrlPr>
          </m:sSubPr>
          <m:e>
            <m:r>
              <w:rPr>
                <w:rFonts w:ascii="Cambria Math" w:hAnsi="Cambria Math" w:cs="David"/>
              </w:rPr>
              <m:t>w</m:t>
            </m:r>
          </m:e>
          <m:sub>
            <m:r>
              <w:rPr>
                <w:rFonts w:ascii="Cambria Math" w:hAnsi="Cambria Math" w:cs="David"/>
              </w:rPr>
              <m:t>t</m:t>
            </m:r>
          </m:sub>
        </m:sSub>
      </m:oMath>
      <w:r>
        <w:rPr>
          <w:rFonts w:eastAsiaTheme="minorEastAsia"/>
        </w:rPr>
        <w:t>).</w:t>
      </w:r>
    </w:p>
    <w:tbl>
      <w:tblPr>
        <w:tblpPr w:leftFromText="180" w:rightFromText="180" w:vertAnchor="text" w:horzAnchor="margin" w:tblpY="701"/>
        <w:tblOverlap w:val="never"/>
        <w:tblW w:w="6102" w:type="dxa"/>
        <w:tblLayout w:type="fixed"/>
        <w:tblLook w:val="04A0" w:firstRow="1" w:lastRow="0" w:firstColumn="1" w:lastColumn="0" w:noHBand="0" w:noVBand="1"/>
      </w:tblPr>
      <w:tblGrid>
        <w:gridCol w:w="3402"/>
        <w:gridCol w:w="857"/>
        <w:gridCol w:w="981"/>
        <w:gridCol w:w="856"/>
        <w:gridCol w:w="6"/>
      </w:tblGrid>
      <w:tr w:rsidR="007613CB" w:rsidRPr="00B70A71" w14:paraId="30FF6AE5" w14:textId="77777777" w:rsidTr="00203047">
        <w:trPr>
          <w:gridAfter w:val="1"/>
          <w:wAfter w:w="6" w:type="dxa"/>
          <w:trHeight w:val="255"/>
        </w:trPr>
        <w:tc>
          <w:tcPr>
            <w:tcW w:w="6096" w:type="dxa"/>
            <w:gridSpan w:val="4"/>
            <w:tcBorders>
              <w:top w:val="single" w:sz="4" w:space="0" w:color="auto"/>
              <w:left w:val="single" w:sz="4" w:space="0" w:color="auto"/>
              <w:bottom w:val="nil"/>
              <w:right w:val="single" w:sz="4" w:space="0" w:color="auto"/>
            </w:tcBorders>
            <w:shd w:val="clear" w:color="auto" w:fill="auto"/>
            <w:noWrap/>
          </w:tcPr>
          <w:p w14:paraId="5A6D5FC2" w14:textId="77777777" w:rsidR="007613CB" w:rsidRPr="00156A12" w:rsidRDefault="007613CB" w:rsidP="00203047">
            <w:pPr>
              <w:rPr>
                <w:rFonts w:ascii="Times New Roman" w:hAnsi="Times New Roman"/>
                <w:b/>
                <w:bCs/>
                <w:color w:val="000000"/>
                <w:rtl/>
              </w:rPr>
            </w:pPr>
            <w:r>
              <w:rPr>
                <w:rFonts w:hint="cs"/>
                <w:b/>
                <w:bCs/>
                <w:color w:val="000000"/>
              </w:rPr>
              <w:t>Table 1: Results</w:t>
            </w:r>
          </w:p>
        </w:tc>
      </w:tr>
      <w:tr w:rsidR="007613CB" w:rsidRPr="00B70A71" w14:paraId="5A121383" w14:textId="77777777" w:rsidTr="00203047">
        <w:trPr>
          <w:trHeight w:val="255"/>
        </w:trPr>
        <w:tc>
          <w:tcPr>
            <w:tcW w:w="3402" w:type="dxa"/>
            <w:tcBorders>
              <w:top w:val="single" w:sz="4" w:space="0" w:color="000000"/>
              <w:left w:val="single" w:sz="4" w:space="0" w:color="auto"/>
              <w:bottom w:val="single" w:sz="4" w:space="0" w:color="auto"/>
              <w:right w:val="nil"/>
            </w:tcBorders>
            <w:shd w:val="clear" w:color="auto" w:fill="auto"/>
            <w:noWrap/>
            <w:vAlign w:val="center"/>
            <w:hideMark/>
          </w:tcPr>
          <w:p w14:paraId="51B4AFBA" w14:textId="77777777" w:rsidR="007613CB" w:rsidRPr="00156A12" w:rsidRDefault="007613CB" w:rsidP="00203047">
            <w:pPr>
              <w:rPr>
                <w:rFonts w:cstheme="majorBidi"/>
                <w:sz w:val="22"/>
                <w:szCs w:val="22"/>
              </w:rPr>
            </w:pPr>
          </w:p>
        </w:tc>
        <w:tc>
          <w:tcPr>
            <w:tcW w:w="857" w:type="dxa"/>
            <w:tcBorders>
              <w:top w:val="single" w:sz="4" w:space="0" w:color="000000"/>
              <w:left w:val="nil"/>
              <w:bottom w:val="single" w:sz="4" w:space="0" w:color="auto"/>
              <w:right w:val="nil"/>
            </w:tcBorders>
            <w:shd w:val="clear" w:color="auto" w:fill="auto"/>
            <w:noWrap/>
            <w:vAlign w:val="center"/>
            <w:hideMark/>
          </w:tcPr>
          <w:p w14:paraId="1BC658ED" w14:textId="77777777" w:rsidR="007613CB" w:rsidRPr="00156A12" w:rsidRDefault="007613CB" w:rsidP="00203047">
            <w:pPr>
              <w:rPr>
                <w:rFonts w:cstheme="majorBidi"/>
                <w:sz w:val="22"/>
                <w:szCs w:val="22"/>
              </w:rPr>
            </w:pPr>
            <w:r w:rsidRPr="00156A12">
              <w:rPr>
                <w:rFonts w:cstheme="majorBidi"/>
                <w:sz w:val="22"/>
                <w:szCs w:val="22"/>
              </w:rPr>
              <w:t>(1)</w:t>
            </w:r>
          </w:p>
        </w:tc>
        <w:tc>
          <w:tcPr>
            <w:tcW w:w="981" w:type="dxa"/>
            <w:tcBorders>
              <w:top w:val="single" w:sz="4" w:space="0" w:color="000000"/>
              <w:left w:val="nil"/>
              <w:bottom w:val="single" w:sz="4" w:space="0" w:color="auto"/>
              <w:right w:val="nil"/>
            </w:tcBorders>
            <w:shd w:val="clear" w:color="auto" w:fill="auto"/>
            <w:noWrap/>
            <w:vAlign w:val="center"/>
            <w:hideMark/>
          </w:tcPr>
          <w:p w14:paraId="234E3439" w14:textId="77777777" w:rsidR="007613CB" w:rsidRPr="00156A12" w:rsidRDefault="007613CB" w:rsidP="00203047">
            <w:pPr>
              <w:rPr>
                <w:rFonts w:cstheme="majorBidi"/>
                <w:sz w:val="22"/>
                <w:szCs w:val="22"/>
              </w:rPr>
            </w:pPr>
            <w:r w:rsidRPr="00156A12">
              <w:rPr>
                <w:rFonts w:cstheme="majorBidi"/>
                <w:sz w:val="22"/>
                <w:szCs w:val="22"/>
              </w:rPr>
              <w:t>(2)</w:t>
            </w:r>
          </w:p>
        </w:tc>
        <w:tc>
          <w:tcPr>
            <w:tcW w:w="862" w:type="dxa"/>
            <w:gridSpan w:val="2"/>
            <w:tcBorders>
              <w:top w:val="single" w:sz="4" w:space="0" w:color="000000"/>
              <w:left w:val="nil"/>
              <w:bottom w:val="single" w:sz="4" w:space="0" w:color="auto"/>
              <w:right w:val="single" w:sz="4" w:space="0" w:color="auto"/>
            </w:tcBorders>
            <w:shd w:val="clear" w:color="auto" w:fill="auto"/>
            <w:noWrap/>
            <w:vAlign w:val="center"/>
            <w:hideMark/>
          </w:tcPr>
          <w:p w14:paraId="0A36240F" w14:textId="77777777" w:rsidR="007613CB" w:rsidRPr="00156A12" w:rsidRDefault="007613CB" w:rsidP="00203047">
            <w:pPr>
              <w:rPr>
                <w:rFonts w:cstheme="majorBidi"/>
                <w:sz w:val="22"/>
                <w:szCs w:val="22"/>
              </w:rPr>
            </w:pPr>
            <w:r w:rsidRPr="00156A12">
              <w:rPr>
                <w:rFonts w:cstheme="majorBidi"/>
                <w:sz w:val="22"/>
                <w:szCs w:val="22"/>
              </w:rPr>
              <w:t>(3)</w:t>
            </w:r>
          </w:p>
        </w:tc>
      </w:tr>
      <w:tr w:rsidR="007613CB" w:rsidRPr="00B70A71" w14:paraId="089DEA7C" w14:textId="77777777" w:rsidTr="00203047">
        <w:trPr>
          <w:trHeight w:val="255"/>
        </w:trPr>
        <w:tc>
          <w:tcPr>
            <w:tcW w:w="3402" w:type="dxa"/>
            <w:vMerge w:val="restart"/>
            <w:tcBorders>
              <w:top w:val="single" w:sz="4" w:space="0" w:color="auto"/>
              <w:left w:val="single" w:sz="4" w:space="0" w:color="auto"/>
              <w:right w:val="nil"/>
            </w:tcBorders>
            <w:shd w:val="clear" w:color="auto" w:fill="auto"/>
            <w:noWrap/>
            <w:hideMark/>
          </w:tcPr>
          <w:p w14:paraId="02836E0C" w14:textId="77777777" w:rsidR="007613CB" w:rsidRPr="00156A12" w:rsidRDefault="005A3812" w:rsidP="00203047">
            <w:pPr>
              <w:rPr>
                <w:rFonts w:cstheme="majorBidi"/>
                <w:i/>
                <w:sz w:val="22"/>
                <w:szCs w:val="22"/>
              </w:rPr>
            </w:pPr>
            <m:oMathPara>
              <m:oMathParaPr>
                <m:jc m:val="left"/>
              </m:oMathPara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c</m:t>
                    </m:r>
                  </m:sup>
                </m:sSubSup>
                <m:r>
                  <m:rPr>
                    <m:sty m:val="p"/>
                  </m:rPr>
                  <w:rPr>
                    <w:rFonts w:ascii="Cambria Math" w:hAnsi="Cambria Math" w:cstheme="majorBidi"/>
                    <w:sz w:val="22"/>
                    <w:szCs w:val="22"/>
                  </w:rPr>
                  <m:t>∙</m:t>
                </m:r>
                <m:r>
                  <w:rPr>
                    <w:rFonts w:ascii="Cambria Math" w:hAnsi="Cambria Math" w:cstheme="majorBidi"/>
                    <w:sz w:val="22"/>
                    <w:szCs w:val="22"/>
                  </w:rPr>
                  <m:t>PriceSecond</m:t>
                </m:r>
                <m:r>
                  <m:rPr>
                    <m:sty m:val="p"/>
                  </m:rPr>
                  <w:rPr>
                    <w:rFonts w:ascii="Cambria Math" w:hAnsi="Cambria Math" w:cstheme="majorBidi"/>
                    <w:sz w:val="22"/>
                    <w:szCs w:val="22"/>
                  </w:rPr>
                  <m:t>∙high</m:t>
                </m:r>
              </m:oMath>
            </m:oMathPara>
          </w:p>
          <w:p w14:paraId="07217397" w14:textId="77777777" w:rsidR="007613CB" w:rsidRPr="00156A12" w:rsidRDefault="007613CB" w:rsidP="00203047">
            <w:pPr>
              <w:rPr>
                <w:rFonts w:cstheme="majorBidi"/>
                <w:iCs/>
                <w:sz w:val="22"/>
                <w:szCs w:val="22"/>
                <w:rtl/>
              </w:rPr>
            </w:pPr>
            <w:r w:rsidRPr="00156A12">
              <w:rPr>
                <w:rFonts w:cstheme="majorBidi"/>
                <w:iCs/>
                <w:sz w:val="22"/>
                <w:szCs w:val="22"/>
              </w:rPr>
              <w:t>(effect of price changes – high inflation)</w:t>
            </w:r>
          </w:p>
        </w:tc>
        <w:tc>
          <w:tcPr>
            <w:tcW w:w="857" w:type="dxa"/>
            <w:tcBorders>
              <w:top w:val="single" w:sz="4" w:space="0" w:color="auto"/>
              <w:left w:val="nil"/>
              <w:bottom w:val="nil"/>
              <w:right w:val="nil"/>
            </w:tcBorders>
            <w:shd w:val="clear" w:color="auto" w:fill="auto"/>
            <w:noWrap/>
            <w:hideMark/>
          </w:tcPr>
          <w:p w14:paraId="295C284C" w14:textId="77777777" w:rsidR="007613CB" w:rsidRPr="00156A12" w:rsidRDefault="007613CB" w:rsidP="00203047">
            <w:pPr>
              <w:ind w:right="-96"/>
              <w:rPr>
                <w:rFonts w:cstheme="majorBidi"/>
                <w:sz w:val="22"/>
                <w:szCs w:val="22"/>
              </w:rPr>
            </w:pPr>
            <w:r w:rsidRPr="00156A12">
              <w:rPr>
                <w:rFonts w:cstheme="majorBidi"/>
                <w:sz w:val="22"/>
                <w:szCs w:val="22"/>
              </w:rPr>
              <w:t>5.729***</w:t>
            </w:r>
          </w:p>
        </w:tc>
        <w:tc>
          <w:tcPr>
            <w:tcW w:w="981" w:type="dxa"/>
            <w:tcBorders>
              <w:top w:val="single" w:sz="4" w:space="0" w:color="auto"/>
              <w:left w:val="nil"/>
              <w:bottom w:val="nil"/>
              <w:right w:val="nil"/>
            </w:tcBorders>
            <w:shd w:val="clear" w:color="auto" w:fill="auto"/>
            <w:noWrap/>
            <w:hideMark/>
          </w:tcPr>
          <w:p w14:paraId="4F82BE2C" w14:textId="77777777" w:rsidR="007613CB" w:rsidRPr="00156A12" w:rsidRDefault="007613CB" w:rsidP="00203047">
            <w:pPr>
              <w:rPr>
                <w:rFonts w:cstheme="majorBidi"/>
                <w:sz w:val="22"/>
                <w:szCs w:val="22"/>
              </w:rPr>
            </w:pPr>
            <w:r w:rsidRPr="00156A12">
              <w:rPr>
                <w:rFonts w:cstheme="majorBidi"/>
                <w:sz w:val="22"/>
                <w:szCs w:val="22"/>
              </w:rPr>
              <w:t>5.474**</w:t>
            </w:r>
          </w:p>
        </w:tc>
        <w:tc>
          <w:tcPr>
            <w:tcW w:w="862" w:type="dxa"/>
            <w:gridSpan w:val="2"/>
            <w:tcBorders>
              <w:top w:val="single" w:sz="4" w:space="0" w:color="auto"/>
              <w:left w:val="nil"/>
              <w:bottom w:val="nil"/>
              <w:right w:val="single" w:sz="4" w:space="0" w:color="auto"/>
            </w:tcBorders>
            <w:shd w:val="clear" w:color="auto" w:fill="auto"/>
            <w:noWrap/>
          </w:tcPr>
          <w:p w14:paraId="65C66F04" w14:textId="77777777" w:rsidR="007613CB" w:rsidRPr="00156A12" w:rsidRDefault="007613CB" w:rsidP="00203047">
            <w:pPr>
              <w:rPr>
                <w:rFonts w:cstheme="majorBidi"/>
                <w:sz w:val="22"/>
                <w:szCs w:val="22"/>
              </w:rPr>
            </w:pPr>
          </w:p>
        </w:tc>
      </w:tr>
      <w:tr w:rsidR="007613CB" w:rsidRPr="00B70A71" w14:paraId="1FF5D867" w14:textId="77777777" w:rsidTr="00203047">
        <w:trPr>
          <w:trHeight w:val="255"/>
        </w:trPr>
        <w:tc>
          <w:tcPr>
            <w:tcW w:w="3402" w:type="dxa"/>
            <w:vMerge/>
            <w:tcBorders>
              <w:left w:val="single" w:sz="4" w:space="0" w:color="auto"/>
              <w:bottom w:val="nil"/>
              <w:right w:val="nil"/>
            </w:tcBorders>
            <w:shd w:val="clear" w:color="auto" w:fill="auto"/>
            <w:noWrap/>
            <w:hideMark/>
          </w:tcPr>
          <w:p w14:paraId="2D395E74" w14:textId="77777777" w:rsidR="007613CB" w:rsidRPr="00156A12" w:rsidRDefault="007613CB" w:rsidP="00203047">
            <w:pPr>
              <w:rPr>
                <w:rFonts w:cstheme="majorBidi"/>
                <w:sz w:val="22"/>
                <w:szCs w:val="22"/>
              </w:rPr>
            </w:pPr>
          </w:p>
        </w:tc>
        <w:tc>
          <w:tcPr>
            <w:tcW w:w="857" w:type="dxa"/>
            <w:tcBorders>
              <w:top w:val="nil"/>
              <w:left w:val="nil"/>
              <w:bottom w:val="nil"/>
              <w:right w:val="nil"/>
            </w:tcBorders>
            <w:shd w:val="clear" w:color="auto" w:fill="auto"/>
            <w:noWrap/>
            <w:hideMark/>
          </w:tcPr>
          <w:p w14:paraId="0CE965F4" w14:textId="77777777" w:rsidR="007613CB" w:rsidRPr="00156A12" w:rsidRDefault="007613CB" w:rsidP="00203047">
            <w:pPr>
              <w:ind w:right="-96"/>
              <w:rPr>
                <w:rFonts w:cstheme="majorBidi"/>
                <w:sz w:val="22"/>
                <w:szCs w:val="22"/>
              </w:rPr>
            </w:pPr>
            <w:r w:rsidRPr="00156A12">
              <w:rPr>
                <w:rFonts w:cstheme="majorBidi"/>
                <w:sz w:val="22"/>
                <w:szCs w:val="22"/>
              </w:rPr>
              <w:t>(2.209)</w:t>
            </w:r>
          </w:p>
        </w:tc>
        <w:tc>
          <w:tcPr>
            <w:tcW w:w="981" w:type="dxa"/>
            <w:tcBorders>
              <w:top w:val="nil"/>
              <w:left w:val="nil"/>
              <w:bottom w:val="nil"/>
              <w:right w:val="nil"/>
            </w:tcBorders>
            <w:shd w:val="clear" w:color="auto" w:fill="auto"/>
            <w:noWrap/>
            <w:hideMark/>
          </w:tcPr>
          <w:p w14:paraId="70F90500" w14:textId="77777777" w:rsidR="007613CB" w:rsidRPr="00156A12" w:rsidRDefault="007613CB" w:rsidP="00203047">
            <w:pPr>
              <w:rPr>
                <w:rFonts w:cstheme="majorBidi"/>
                <w:sz w:val="22"/>
                <w:szCs w:val="22"/>
              </w:rPr>
            </w:pPr>
            <w:r w:rsidRPr="00156A12">
              <w:rPr>
                <w:rFonts w:cstheme="majorBidi"/>
                <w:sz w:val="22"/>
                <w:szCs w:val="22"/>
              </w:rPr>
              <w:t>(2.208)</w:t>
            </w:r>
          </w:p>
        </w:tc>
        <w:tc>
          <w:tcPr>
            <w:tcW w:w="862" w:type="dxa"/>
            <w:gridSpan w:val="2"/>
            <w:tcBorders>
              <w:top w:val="nil"/>
              <w:left w:val="nil"/>
              <w:bottom w:val="nil"/>
              <w:right w:val="single" w:sz="4" w:space="0" w:color="auto"/>
            </w:tcBorders>
            <w:shd w:val="clear" w:color="auto" w:fill="auto"/>
            <w:noWrap/>
          </w:tcPr>
          <w:p w14:paraId="1C41B628" w14:textId="77777777" w:rsidR="007613CB" w:rsidRPr="00156A12" w:rsidRDefault="007613CB" w:rsidP="00203047">
            <w:pPr>
              <w:rPr>
                <w:rFonts w:cstheme="majorBidi"/>
                <w:sz w:val="22"/>
                <w:szCs w:val="22"/>
              </w:rPr>
            </w:pPr>
          </w:p>
        </w:tc>
      </w:tr>
      <w:tr w:rsidR="007613CB" w:rsidRPr="00B70A71" w14:paraId="05F6E99D" w14:textId="77777777" w:rsidTr="00203047">
        <w:trPr>
          <w:trHeight w:val="255"/>
        </w:trPr>
        <w:tc>
          <w:tcPr>
            <w:tcW w:w="3402" w:type="dxa"/>
            <w:vMerge w:val="restart"/>
            <w:tcBorders>
              <w:top w:val="nil"/>
              <w:left w:val="single" w:sz="4" w:space="0" w:color="auto"/>
              <w:right w:val="nil"/>
            </w:tcBorders>
            <w:shd w:val="clear" w:color="auto" w:fill="auto"/>
            <w:noWrap/>
            <w:hideMark/>
          </w:tcPr>
          <w:p w14:paraId="357B9FEA" w14:textId="77777777" w:rsidR="007613CB" w:rsidRPr="00156A12" w:rsidRDefault="005A3812" w:rsidP="00203047">
            <w:pPr>
              <w:rPr>
                <w:rFonts w:eastAsiaTheme="minorEastAsia" w:cstheme="majorBidi"/>
                <w:sz w:val="22"/>
                <w:szCs w:val="22"/>
              </w:rPr>
            </w:pPr>
            <m:oMathPara>
              <m:oMathParaPr>
                <m:jc m:val="left"/>
              </m:oMathPara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c</m:t>
                    </m:r>
                  </m:sup>
                </m:sSubSup>
                <m:r>
                  <m:rPr>
                    <m:sty m:val="p"/>
                  </m:rPr>
                  <w:rPr>
                    <w:rFonts w:ascii="Cambria Math" w:hAnsi="Cambria Math" w:cstheme="majorBidi"/>
                    <w:sz w:val="22"/>
                    <w:szCs w:val="22"/>
                  </w:rPr>
                  <m:t>∙</m:t>
                </m:r>
                <m:r>
                  <w:rPr>
                    <w:rFonts w:ascii="Cambria Math" w:hAnsi="Cambria Math" w:cstheme="majorBidi"/>
                    <w:sz w:val="22"/>
                    <w:szCs w:val="22"/>
                  </w:rPr>
                  <m:t>PriceSecond</m:t>
                </m:r>
                <m:r>
                  <m:rPr>
                    <m:sty m:val="p"/>
                  </m:rPr>
                  <w:rPr>
                    <w:rFonts w:ascii="Cambria Math" w:hAnsi="Cambria Math" w:cstheme="majorBidi"/>
                    <w:sz w:val="22"/>
                    <w:szCs w:val="22"/>
                  </w:rPr>
                  <m:t>∙ low</m:t>
                </m:r>
              </m:oMath>
            </m:oMathPara>
          </w:p>
          <w:p w14:paraId="62B2AC32" w14:textId="77777777" w:rsidR="007613CB" w:rsidRPr="00156A12" w:rsidRDefault="007613CB" w:rsidP="00203047">
            <w:pPr>
              <w:ind w:firstLine="26"/>
              <w:rPr>
                <w:rFonts w:eastAsiaTheme="minorEastAsia" w:cstheme="majorBidi"/>
                <w:iCs/>
                <w:sz w:val="22"/>
                <w:szCs w:val="22"/>
              </w:rPr>
            </w:pPr>
            <w:r w:rsidRPr="00156A12">
              <w:rPr>
                <w:rFonts w:cstheme="majorBidi"/>
                <w:iCs/>
                <w:sz w:val="22"/>
                <w:szCs w:val="22"/>
              </w:rPr>
              <w:t>(effect of price changes – low inflation)</w:t>
            </w:r>
          </w:p>
        </w:tc>
        <w:tc>
          <w:tcPr>
            <w:tcW w:w="857" w:type="dxa"/>
            <w:tcBorders>
              <w:top w:val="nil"/>
              <w:left w:val="nil"/>
              <w:bottom w:val="nil"/>
              <w:right w:val="nil"/>
            </w:tcBorders>
            <w:shd w:val="clear" w:color="auto" w:fill="auto"/>
            <w:noWrap/>
            <w:hideMark/>
          </w:tcPr>
          <w:p w14:paraId="7B84F259" w14:textId="77777777" w:rsidR="007613CB" w:rsidRPr="00156A12" w:rsidRDefault="007613CB" w:rsidP="00203047">
            <w:pPr>
              <w:ind w:right="-96"/>
              <w:rPr>
                <w:rFonts w:cstheme="majorBidi"/>
                <w:sz w:val="22"/>
                <w:szCs w:val="22"/>
              </w:rPr>
            </w:pPr>
            <w:r w:rsidRPr="00156A12">
              <w:rPr>
                <w:rFonts w:cstheme="majorBidi"/>
                <w:sz w:val="22"/>
                <w:szCs w:val="22"/>
              </w:rPr>
              <w:t>0.226</w:t>
            </w:r>
          </w:p>
        </w:tc>
        <w:tc>
          <w:tcPr>
            <w:tcW w:w="981" w:type="dxa"/>
            <w:tcBorders>
              <w:top w:val="nil"/>
              <w:left w:val="nil"/>
              <w:bottom w:val="nil"/>
              <w:right w:val="nil"/>
            </w:tcBorders>
            <w:shd w:val="clear" w:color="auto" w:fill="auto"/>
            <w:noWrap/>
            <w:hideMark/>
          </w:tcPr>
          <w:p w14:paraId="365227A9" w14:textId="77777777" w:rsidR="007613CB" w:rsidRPr="00156A12" w:rsidRDefault="007613CB" w:rsidP="00203047">
            <w:pPr>
              <w:rPr>
                <w:rFonts w:cstheme="majorBidi"/>
                <w:sz w:val="22"/>
                <w:szCs w:val="22"/>
              </w:rPr>
            </w:pPr>
            <w:r w:rsidRPr="00156A12">
              <w:rPr>
                <w:rFonts w:cstheme="majorBidi"/>
                <w:sz w:val="22"/>
                <w:szCs w:val="22"/>
              </w:rPr>
              <w:t>0.186</w:t>
            </w:r>
          </w:p>
        </w:tc>
        <w:tc>
          <w:tcPr>
            <w:tcW w:w="862" w:type="dxa"/>
            <w:gridSpan w:val="2"/>
            <w:tcBorders>
              <w:top w:val="nil"/>
              <w:left w:val="nil"/>
              <w:bottom w:val="nil"/>
              <w:right w:val="single" w:sz="4" w:space="0" w:color="auto"/>
            </w:tcBorders>
            <w:shd w:val="clear" w:color="auto" w:fill="auto"/>
            <w:noWrap/>
          </w:tcPr>
          <w:p w14:paraId="08C84475" w14:textId="77777777" w:rsidR="007613CB" w:rsidRPr="00156A12" w:rsidRDefault="007613CB" w:rsidP="00203047">
            <w:pPr>
              <w:rPr>
                <w:rFonts w:cstheme="majorBidi"/>
                <w:sz w:val="22"/>
                <w:szCs w:val="22"/>
              </w:rPr>
            </w:pPr>
          </w:p>
        </w:tc>
      </w:tr>
      <w:tr w:rsidR="007613CB" w:rsidRPr="00B70A71" w14:paraId="08DA3D55" w14:textId="77777777" w:rsidTr="00203047">
        <w:trPr>
          <w:trHeight w:val="255"/>
        </w:trPr>
        <w:tc>
          <w:tcPr>
            <w:tcW w:w="3402" w:type="dxa"/>
            <w:vMerge/>
            <w:tcBorders>
              <w:left w:val="single" w:sz="4" w:space="0" w:color="auto"/>
              <w:bottom w:val="nil"/>
              <w:right w:val="nil"/>
            </w:tcBorders>
            <w:shd w:val="clear" w:color="auto" w:fill="auto"/>
            <w:noWrap/>
            <w:hideMark/>
          </w:tcPr>
          <w:p w14:paraId="6C6CECD9" w14:textId="77777777" w:rsidR="007613CB" w:rsidRPr="00156A12" w:rsidRDefault="007613CB" w:rsidP="00203047">
            <w:pPr>
              <w:rPr>
                <w:rFonts w:cstheme="majorBidi"/>
                <w:sz w:val="22"/>
                <w:szCs w:val="22"/>
              </w:rPr>
            </w:pPr>
          </w:p>
        </w:tc>
        <w:tc>
          <w:tcPr>
            <w:tcW w:w="857" w:type="dxa"/>
            <w:tcBorders>
              <w:top w:val="nil"/>
              <w:left w:val="nil"/>
              <w:bottom w:val="nil"/>
              <w:right w:val="nil"/>
            </w:tcBorders>
            <w:shd w:val="clear" w:color="auto" w:fill="auto"/>
            <w:noWrap/>
            <w:hideMark/>
          </w:tcPr>
          <w:p w14:paraId="29C71F3E" w14:textId="77777777" w:rsidR="007613CB" w:rsidRPr="00156A12" w:rsidRDefault="007613CB" w:rsidP="00203047">
            <w:pPr>
              <w:ind w:right="-96"/>
              <w:rPr>
                <w:rFonts w:cstheme="majorBidi"/>
                <w:sz w:val="22"/>
                <w:szCs w:val="22"/>
              </w:rPr>
            </w:pPr>
            <w:r w:rsidRPr="00156A12">
              <w:rPr>
                <w:rFonts w:cstheme="majorBidi"/>
                <w:sz w:val="22"/>
                <w:szCs w:val="22"/>
              </w:rPr>
              <w:t>(0.832)</w:t>
            </w:r>
          </w:p>
        </w:tc>
        <w:tc>
          <w:tcPr>
            <w:tcW w:w="981" w:type="dxa"/>
            <w:tcBorders>
              <w:top w:val="nil"/>
              <w:left w:val="nil"/>
              <w:bottom w:val="nil"/>
              <w:right w:val="nil"/>
            </w:tcBorders>
            <w:shd w:val="clear" w:color="auto" w:fill="auto"/>
            <w:noWrap/>
            <w:hideMark/>
          </w:tcPr>
          <w:p w14:paraId="57066244" w14:textId="77777777" w:rsidR="007613CB" w:rsidRPr="00156A12" w:rsidRDefault="007613CB" w:rsidP="00203047">
            <w:pPr>
              <w:rPr>
                <w:rFonts w:cstheme="majorBidi"/>
                <w:sz w:val="22"/>
                <w:szCs w:val="22"/>
              </w:rPr>
            </w:pPr>
            <w:r w:rsidRPr="00156A12">
              <w:rPr>
                <w:rFonts w:cstheme="majorBidi"/>
                <w:sz w:val="22"/>
                <w:szCs w:val="22"/>
              </w:rPr>
              <w:t>(0.830)</w:t>
            </w:r>
          </w:p>
        </w:tc>
        <w:tc>
          <w:tcPr>
            <w:tcW w:w="862" w:type="dxa"/>
            <w:gridSpan w:val="2"/>
            <w:tcBorders>
              <w:top w:val="nil"/>
              <w:left w:val="nil"/>
              <w:bottom w:val="nil"/>
              <w:right w:val="single" w:sz="4" w:space="0" w:color="auto"/>
            </w:tcBorders>
            <w:shd w:val="clear" w:color="auto" w:fill="auto"/>
            <w:noWrap/>
          </w:tcPr>
          <w:p w14:paraId="2AF4B541" w14:textId="77777777" w:rsidR="007613CB" w:rsidRPr="00156A12" w:rsidRDefault="007613CB" w:rsidP="00203047">
            <w:pPr>
              <w:rPr>
                <w:rFonts w:cstheme="majorBidi"/>
                <w:sz w:val="22"/>
                <w:szCs w:val="22"/>
              </w:rPr>
            </w:pPr>
          </w:p>
        </w:tc>
      </w:tr>
      <w:tr w:rsidR="007613CB" w:rsidRPr="00B70A71" w14:paraId="49F033A9" w14:textId="77777777" w:rsidTr="00203047">
        <w:trPr>
          <w:trHeight w:val="255"/>
        </w:trPr>
        <w:tc>
          <w:tcPr>
            <w:tcW w:w="3402" w:type="dxa"/>
            <w:vMerge w:val="restart"/>
            <w:tcBorders>
              <w:top w:val="nil"/>
              <w:left w:val="single" w:sz="4" w:space="0" w:color="auto"/>
              <w:right w:val="nil"/>
            </w:tcBorders>
            <w:shd w:val="clear" w:color="auto" w:fill="auto"/>
            <w:noWrap/>
            <w:hideMark/>
          </w:tcPr>
          <w:p w14:paraId="376F9AA1" w14:textId="77777777" w:rsidR="007613CB" w:rsidRPr="00156A12" w:rsidRDefault="005A3812" w:rsidP="00203047">
            <w:pPr>
              <w:rPr>
                <w:rFonts w:eastAsiaTheme="minorEastAsia" w:cstheme="majorBidi"/>
                <w:sz w:val="22"/>
                <w:szCs w:val="22"/>
              </w:rPr>
            </w:pPr>
            <m:oMathPara>
              <m:oMathParaPr>
                <m:jc m:val="left"/>
              </m:oMathPara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15</m:t>
                    </m:r>
                  </m:sup>
                </m:sSubSup>
                <m:r>
                  <m:rPr>
                    <m:sty m:val="p"/>
                  </m:rPr>
                  <w:rPr>
                    <w:rFonts w:ascii="Cambria Math" w:hAnsi="Cambria Math" w:cstheme="majorBidi"/>
                    <w:sz w:val="22"/>
                    <w:szCs w:val="22"/>
                  </w:rPr>
                  <m:t>∙</m:t>
                </m:r>
                <m:r>
                  <w:rPr>
                    <w:rFonts w:ascii="Cambria Math" w:hAnsi="Cambria Math" w:cstheme="majorBidi"/>
                    <w:sz w:val="22"/>
                    <w:szCs w:val="22"/>
                  </w:rPr>
                  <m:t>LastCPI</m:t>
                </m:r>
                <m:r>
                  <m:rPr>
                    <m:sty m:val="p"/>
                  </m:rPr>
                  <w:rPr>
                    <w:rFonts w:ascii="Cambria Math" w:hAnsi="Cambria Math" w:cstheme="majorBidi"/>
                    <w:sz w:val="22"/>
                    <w:szCs w:val="22"/>
                  </w:rPr>
                  <m:t>∙high</m:t>
                </m:r>
              </m:oMath>
            </m:oMathPara>
          </w:p>
          <w:p w14:paraId="4F8BE788" w14:textId="77777777" w:rsidR="007613CB" w:rsidRPr="00156A12" w:rsidRDefault="007613CB" w:rsidP="00203047">
            <w:pPr>
              <w:rPr>
                <w:rFonts w:eastAsiaTheme="minorEastAsia" w:cstheme="majorBidi"/>
                <w:sz w:val="22"/>
                <w:szCs w:val="22"/>
              </w:rPr>
            </w:pPr>
            <w:r w:rsidRPr="00156A12">
              <w:rPr>
                <w:rFonts w:eastAsiaTheme="minorEastAsia" w:cstheme="majorBidi"/>
                <w:sz w:val="22"/>
                <w:szCs w:val="22"/>
              </w:rPr>
              <w:t>(effect of CPI publication – high inflation)</w:t>
            </w:r>
            <w:r w:rsidRPr="00156A12">
              <w:rPr>
                <w:rFonts w:eastAsiaTheme="minorEastAsia" w:cstheme="majorBidi"/>
                <w:sz w:val="22"/>
                <w:szCs w:val="22"/>
                <w:rtl/>
              </w:rPr>
              <w:t xml:space="preserve"> </w:t>
            </w:r>
          </w:p>
        </w:tc>
        <w:tc>
          <w:tcPr>
            <w:tcW w:w="857" w:type="dxa"/>
            <w:tcBorders>
              <w:top w:val="nil"/>
              <w:left w:val="nil"/>
              <w:bottom w:val="nil"/>
              <w:right w:val="nil"/>
            </w:tcBorders>
            <w:shd w:val="clear" w:color="auto" w:fill="auto"/>
            <w:noWrap/>
            <w:hideMark/>
          </w:tcPr>
          <w:p w14:paraId="453E2C77" w14:textId="77777777" w:rsidR="007613CB" w:rsidRPr="00156A12" w:rsidRDefault="007613CB" w:rsidP="00203047">
            <w:pPr>
              <w:ind w:right="-96"/>
              <w:rPr>
                <w:rFonts w:cstheme="majorBidi"/>
                <w:sz w:val="22"/>
                <w:szCs w:val="22"/>
              </w:rPr>
            </w:pPr>
            <w:r w:rsidRPr="00156A12">
              <w:rPr>
                <w:rFonts w:cstheme="majorBidi"/>
                <w:sz w:val="22"/>
                <w:szCs w:val="22"/>
              </w:rPr>
              <w:t>1.402</w:t>
            </w:r>
          </w:p>
        </w:tc>
        <w:tc>
          <w:tcPr>
            <w:tcW w:w="981" w:type="dxa"/>
            <w:tcBorders>
              <w:top w:val="nil"/>
              <w:left w:val="nil"/>
              <w:bottom w:val="nil"/>
              <w:right w:val="nil"/>
            </w:tcBorders>
            <w:shd w:val="clear" w:color="auto" w:fill="auto"/>
            <w:noWrap/>
          </w:tcPr>
          <w:p w14:paraId="7D3CA5D2" w14:textId="77777777" w:rsidR="007613CB" w:rsidRPr="00156A12" w:rsidRDefault="007613CB" w:rsidP="00203047">
            <w:pPr>
              <w:rPr>
                <w:rFonts w:cstheme="majorBidi"/>
                <w:sz w:val="22"/>
                <w:szCs w:val="22"/>
              </w:rPr>
            </w:pPr>
          </w:p>
        </w:tc>
        <w:tc>
          <w:tcPr>
            <w:tcW w:w="862" w:type="dxa"/>
            <w:gridSpan w:val="2"/>
            <w:tcBorders>
              <w:top w:val="nil"/>
              <w:left w:val="nil"/>
              <w:bottom w:val="nil"/>
              <w:right w:val="single" w:sz="4" w:space="0" w:color="auto"/>
            </w:tcBorders>
            <w:shd w:val="clear" w:color="auto" w:fill="auto"/>
            <w:noWrap/>
          </w:tcPr>
          <w:p w14:paraId="1AB26C44" w14:textId="77777777" w:rsidR="007613CB" w:rsidRPr="00156A12" w:rsidRDefault="007613CB" w:rsidP="00203047">
            <w:pPr>
              <w:rPr>
                <w:rFonts w:cstheme="majorBidi"/>
                <w:sz w:val="22"/>
                <w:szCs w:val="22"/>
              </w:rPr>
            </w:pPr>
            <w:r w:rsidRPr="00156A12">
              <w:rPr>
                <w:rFonts w:cstheme="majorBidi"/>
                <w:sz w:val="22"/>
                <w:szCs w:val="22"/>
              </w:rPr>
              <w:t>1.019</w:t>
            </w:r>
          </w:p>
        </w:tc>
      </w:tr>
      <w:tr w:rsidR="007613CB" w:rsidRPr="00B70A71" w14:paraId="3D6B7B44" w14:textId="77777777" w:rsidTr="00203047">
        <w:trPr>
          <w:trHeight w:val="255"/>
        </w:trPr>
        <w:tc>
          <w:tcPr>
            <w:tcW w:w="3402" w:type="dxa"/>
            <w:vMerge/>
            <w:tcBorders>
              <w:left w:val="single" w:sz="4" w:space="0" w:color="auto"/>
              <w:bottom w:val="nil"/>
              <w:right w:val="nil"/>
            </w:tcBorders>
            <w:shd w:val="clear" w:color="auto" w:fill="auto"/>
            <w:noWrap/>
            <w:hideMark/>
          </w:tcPr>
          <w:p w14:paraId="1EFAB4C3" w14:textId="77777777" w:rsidR="007613CB" w:rsidRPr="00156A12" w:rsidRDefault="007613CB" w:rsidP="00203047">
            <w:pPr>
              <w:rPr>
                <w:rFonts w:cstheme="majorBidi"/>
                <w:sz w:val="22"/>
                <w:szCs w:val="22"/>
              </w:rPr>
            </w:pPr>
          </w:p>
        </w:tc>
        <w:tc>
          <w:tcPr>
            <w:tcW w:w="857" w:type="dxa"/>
            <w:tcBorders>
              <w:top w:val="nil"/>
              <w:left w:val="nil"/>
              <w:bottom w:val="nil"/>
              <w:right w:val="nil"/>
            </w:tcBorders>
            <w:shd w:val="clear" w:color="auto" w:fill="auto"/>
            <w:noWrap/>
            <w:hideMark/>
          </w:tcPr>
          <w:p w14:paraId="12F55291" w14:textId="77777777" w:rsidR="007613CB" w:rsidRPr="00156A12" w:rsidRDefault="007613CB" w:rsidP="00203047">
            <w:pPr>
              <w:ind w:right="-96"/>
              <w:rPr>
                <w:rFonts w:cstheme="majorBidi"/>
                <w:sz w:val="22"/>
                <w:szCs w:val="22"/>
              </w:rPr>
            </w:pPr>
            <w:r w:rsidRPr="00156A12">
              <w:rPr>
                <w:rFonts w:cstheme="majorBidi"/>
                <w:sz w:val="22"/>
                <w:szCs w:val="22"/>
              </w:rPr>
              <w:t>(1.279)</w:t>
            </w:r>
          </w:p>
        </w:tc>
        <w:tc>
          <w:tcPr>
            <w:tcW w:w="981" w:type="dxa"/>
            <w:tcBorders>
              <w:top w:val="nil"/>
              <w:left w:val="nil"/>
              <w:bottom w:val="nil"/>
              <w:right w:val="nil"/>
            </w:tcBorders>
            <w:shd w:val="clear" w:color="auto" w:fill="auto"/>
            <w:noWrap/>
          </w:tcPr>
          <w:p w14:paraId="686D4137" w14:textId="77777777" w:rsidR="007613CB" w:rsidRPr="00156A12" w:rsidRDefault="007613CB" w:rsidP="00203047">
            <w:pPr>
              <w:rPr>
                <w:rFonts w:cstheme="majorBidi"/>
                <w:sz w:val="22"/>
                <w:szCs w:val="22"/>
              </w:rPr>
            </w:pPr>
          </w:p>
        </w:tc>
        <w:tc>
          <w:tcPr>
            <w:tcW w:w="862" w:type="dxa"/>
            <w:gridSpan w:val="2"/>
            <w:tcBorders>
              <w:top w:val="nil"/>
              <w:left w:val="nil"/>
              <w:bottom w:val="nil"/>
              <w:right w:val="single" w:sz="4" w:space="0" w:color="auto"/>
            </w:tcBorders>
            <w:shd w:val="clear" w:color="auto" w:fill="auto"/>
            <w:noWrap/>
          </w:tcPr>
          <w:p w14:paraId="426BD231" w14:textId="77777777" w:rsidR="007613CB" w:rsidRPr="00156A12" w:rsidRDefault="007613CB" w:rsidP="00203047">
            <w:pPr>
              <w:rPr>
                <w:rFonts w:cstheme="majorBidi"/>
                <w:sz w:val="22"/>
                <w:szCs w:val="22"/>
              </w:rPr>
            </w:pPr>
            <w:r w:rsidRPr="00156A12">
              <w:rPr>
                <w:rFonts w:cstheme="majorBidi"/>
                <w:sz w:val="22"/>
                <w:szCs w:val="22"/>
              </w:rPr>
              <w:t>(1.280)</w:t>
            </w:r>
          </w:p>
        </w:tc>
      </w:tr>
      <w:tr w:rsidR="007613CB" w:rsidRPr="00B70A71" w14:paraId="04939A7E" w14:textId="77777777" w:rsidTr="00203047">
        <w:trPr>
          <w:trHeight w:val="255"/>
        </w:trPr>
        <w:tc>
          <w:tcPr>
            <w:tcW w:w="3402" w:type="dxa"/>
            <w:vMerge w:val="restart"/>
            <w:tcBorders>
              <w:top w:val="nil"/>
              <w:left w:val="single" w:sz="4" w:space="0" w:color="auto"/>
              <w:right w:val="nil"/>
            </w:tcBorders>
            <w:shd w:val="clear" w:color="auto" w:fill="auto"/>
            <w:noWrap/>
          </w:tcPr>
          <w:p w14:paraId="5F64B4E5" w14:textId="77777777" w:rsidR="007613CB" w:rsidRPr="00156A12" w:rsidRDefault="005A3812" w:rsidP="00203047">
            <w:pPr>
              <w:rPr>
                <w:rFonts w:eastAsia="Calibri" w:cstheme="majorBidi"/>
                <w:sz w:val="22"/>
                <w:szCs w:val="22"/>
              </w:rPr>
            </w:pPr>
            <m:oMathPara>
              <m:oMathParaPr>
                <m:jc m:val="left"/>
              </m:oMathPara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15</m:t>
                    </m:r>
                  </m:sup>
                </m:sSubSup>
                <m:r>
                  <m:rPr>
                    <m:sty m:val="p"/>
                  </m:rPr>
                  <w:rPr>
                    <w:rFonts w:ascii="Cambria Math" w:hAnsi="Cambria Math" w:cstheme="majorBidi"/>
                    <w:sz w:val="22"/>
                    <w:szCs w:val="22"/>
                  </w:rPr>
                  <m:t>∙</m:t>
                </m:r>
                <m:r>
                  <w:rPr>
                    <w:rFonts w:ascii="Cambria Math" w:hAnsi="Cambria Math" w:cstheme="majorBidi"/>
                    <w:sz w:val="22"/>
                    <w:szCs w:val="22"/>
                  </w:rPr>
                  <m:t>LastCPI</m:t>
                </m:r>
                <m:r>
                  <m:rPr>
                    <m:sty m:val="p"/>
                  </m:rPr>
                  <w:rPr>
                    <w:rFonts w:ascii="Cambria Math" w:hAnsi="Cambria Math" w:cstheme="majorBidi"/>
                    <w:sz w:val="22"/>
                    <w:szCs w:val="22"/>
                  </w:rPr>
                  <m:t>∙ low</m:t>
                </m:r>
              </m:oMath>
            </m:oMathPara>
          </w:p>
          <w:p w14:paraId="357CA330" w14:textId="77777777" w:rsidR="007613CB" w:rsidRPr="00156A12" w:rsidRDefault="007613CB" w:rsidP="00203047">
            <w:pPr>
              <w:rPr>
                <w:rFonts w:eastAsia="Calibri" w:cstheme="majorBidi"/>
                <w:iCs/>
                <w:sz w:val="22"/>
                <w:szCs w:val="22"/>
              </w:rPr>
            </w:pPr>
            <w:r w:rsidRPr="00156A12">
              <w:rPr>
                <w:rFonts w:cstheme="majorBidi"/>
                <w:iCs/>
                <w:sz w:val="22"/>
                <w:szCs w:val="22"/>
              </w:rPr>
              <w:t>(effect of CPI publication – low inflation)</w:t>
            </w:r>
          </w:p>
        </w:tc>
        <w:tc>
          <w:tcPr>
            <w:tcW w:w="857" w:type="dxa"/>
            <w:tcBorders>
              <w:top w:val="nil"/>
              <w:left w:val="nil"/>
              <w:bottom w:val="nil"/>
              <w:right w:val="nil"/>
            </w:tcBorders>
            <w:shd w:val="clear" w:color="auto" w:fill="auto"/>
            <w:noWrap/>
          </w:tcPr>
          <w:p w14:paraId="098D34CB" w14:textId="77777777" w:rsidR="007613CB" w:rsidRPr="00156A12" w:rsidRDefault="007613CB" w:rsidP="00203047">
            <w:pPr>
              <w:ind w:right="-96"/>
              <w:rPr>
                <w:rFonts w:cstheme="majorBidi"/>
                <w:sz w:val="22"/>
                <w:szCs w:val="22"/>
              </w:rPr>
            </w:pPr>
            <w:r w:rsidRPr="00156A12">
              <w:rPr>
                <w:rFonts w:cstheme="majorBidi"/>
                <w:sz w:val="22"/>
                <w:szCs w:val="22"/>
              </w:rPr>
              <w:t>0.022</w:t>
            </w:r>
          </w:p>
        </w:tc>
        <w:tc>
          <w:tcPr>
            <w:tcW w:w="981" w:type="dxa"/>
            <w:tcBorders>
              <w:top w:val="nil"/>
              <w:left w:val="nil"/>
              <w:bottom w:val="nil"/>
              <w:right w:val="nil"/>
            </w:tcBorders>
            <w:shd w:val="clear" w:color="auto" w:fill="auto"/>
            <w:noWrap/>
          </w:tcPr>
          <w:p w14:paraId="092F06BF" w14:textId="77777777" w:rsidR="007613CB" w:rsidRPr="00156A12" w:rsidRDefault="007613CB" w:rsidP="00203047">
            <w:pPr>
              <w:rPr>
                <w:rFonts w:cstheme="majorBidi"/>
                <w:sz w:val="22"/>
                <w:szCs w:val="22"/>
              </w:rPr>
            </w:pPr>
          </w:p>
        </w:tc>
        <w:tc>
          <w:tcPr>
            <w:tcW w:w="862" w:type="dxa"/>
            <w:gridSpan w:val="2"/>
            <w:tcBorders>
              <w:top w:val="nil"/>
              <w:left w:val="nil"/>
              <w:bottom w:val="nil"/>
              <w:right w:val="single" w:sz="4" w:space="0" w:color="auto"/>
            </w:tcBorders>
            <w:shd w:val="clear" w:color="auto" w:fill="auto"/>
            <w:noWrap/>
          </w:tcPr>
          <w:p w14:paraId="6C228D4C" w14:textId="77777777" w:rsidR="007613CB" w:rsidRPr="00156A12" w:rsidRDefault="007613CB" w:rsidP="00203047">
            <w:pPr>
              <w:rPr>
                <w:rFonts w:cstheme="majorBidi"/>
                <w:sz w:val="22"/>
                <w:szCs w:val="22"/>
              </w:rPr>
            </w:pPr>
            <w:r w:rsidRPr="00156A12">
              <w:rPr>
                <w:rFonts w:cstheme="majorBidi"/>
                <w:sz w:val="22"/>
                <w:szCs w:val="22"/>
              </w:rPr>
              <w:t>0.016</w:t>
            </w:r>
          </w:p>
        </w:tc>
      </w:tr>
      <w:tr w:rsidR="007613CB" w:rsidRPr="00B70A71" w14:paraId="222AC778" w14:textId="77777777" w:rsidTr="00203047">
        <w:trPr>
          <w:trHeight w:val="255"/>
        </w:trPr>
        <w:tc>
          <w:tcPr>
            <w:tcW w:w="3402" w:type="dxa"/>
            <w:vMerge/>
            <w:tcBorders>
              <w:left w:val="single" w:sz="4" w:space="0" w:color="auto"/>
              <w:bottom w:val="nil"/>
              <w:right w:val="nil"/>
            </w:tcBorders>
            <w:shd w:val="clear" w:color="auto" w:fill="auto"/>
            <w:noWrap/>
          </w:tcPr>
          <w:p w14:paraId="2D9A8D3F" w14:textId="77777777" w:rsidR="007613CB" w:rsidRPr="00156A12" w:rsidRDefault="007613CB" w:rsidP="00203047">
            <w:pPr>
              <w:rPr>
                <w:rFonts w:eastAsia="Calibri" w:cstheme="majorBidi"/>
                <w:sz w:val="22"/>
                <w:szCs w:val="22"/>
              </w:rPr>
            </w:pPr>
          </w:p>
        </w:tc>
        <w:tc>
          <w:tcPr>
            <w:tcW w:w="857" w:type="dxa"/>
            <w:tcBorders>
              <w:top w:val="nil"/>
              <w:left w:val="nil"/>
              <w:bottom w:val="nil"/>
              <w:right w:val="nil"/>
            </w:tcBorders>
            <w:shd w:val="clear" w:color="auto" w:fill="auto"/>
            <w:noWrap/>
          </w:tcPr>
          <w:p w14:paraId="1D296994" w14:textId="77777777" w:rsidR="007613CB" w:rsidRPr="00156A12" w:rsidRDefault="007613CB" w:rsidP="00203047">
            <w:pPr>
              <w:ind w:right="-96"/>
              <w:rPr>
                <w:rFonts w:cstheme="majorBidi"/>
                <w:sz w:val="22"/>
                <w:szCs w:val="22"/>
              </w:rPr>
            </w:pPr>
            <w:r w:rsidRPr="00156A12">
              <w:rPr>
                <w:rFonts w:cstheme="majorBidi"/>
                <w:sz w:val="22"/>
                <w:szCs w:val="22"/>
              </w:rPr>
              <w:t>(0.593)</w:t>
            </w:r>
          </w:p>
        </w:tc>
        <w:tc>
          <w:tcPr>
            <w:tcW w:w="981" w:type="dxa"/>
            <w:tcBorders>
              <w:top w:val="nil"/>
              <w:left w:val="nil"/>
              <w:bottom w:val="nil"/>
              <w:right w:val="nil"/>
            </w:tcBorders>
            <w:shd w:val="clear" w:color="auto" w:fill="auto"/>
            <w:noWrap/>
          </w:tcPr>
          <w:p w14:paraId="58C41560" w14:textId="77777777" w:rsidR="007613CB" w:rsidRPr="00156A12" w:rsidRDefault="007613CB" w:rsidP="00203047">
            <w:pPr>
              <w:rPr>
                <w:rFonts w:cstheme="majorBidi"/>
                <w:sz w:val="22"/>
                <w:szCs w:val="22"/>
              </w:rPr>
            </w:pPr>
          </w:p>
        </w:tc>
        <w:tc>
          <w:tcPr>
            <w:tcW w:w="862" w:type="dxa"/>
            <w:gridSpan w:val="2"/>
            <w:tcBorders>
              <w:top w:val="nil"/>
              <w:left w:val="nil"/>
              <w:bottom w:val="nil"/>
              <w:right w:val="single" w:sz="4" w:space="0" w:color="auto"/>
            </w:tcBorders>
            <w:shd w:val="clear" w:color="auto" w:fill="auto"/>
            <w:noWrap/>
          </w:tcPr>
          <w:p w14:paraId="7574F012" w14:textId="77777777" w:rsidR="007613CB" w:rsidRPr="00156A12" w:rsidRDefault="007613CB" w:rsidP="00203047">
            <w:pPr>
              <w:rPr>
                <w:rFonts w:cstheme="majorBidi"/>
                <w:sz w:val="22"/>
                <w:szCs w:val="22"/>
              </w:rPr>
            </w:pPr>
            <w:r w:rsidRPr="00156A12">
              <w:rPr>
                <w:rFonts w:cstheme="majorBidi"/>
                <w:sz w:val="22"/>
                <w:szCs w:val="22"/>
              </w:rPr>
              <w:t>(0.594)</w:t>
            </w:r>
          </w:p>
        </w:tc>
      </w:tr>
      <w:tr w:rsidR="007613CB" w:rsidRPr="00B70A71" w14:paraId="55D8977C" w14:textId="77777777" w:rsidTr="00203047">
        <w:trPr>
          <w:trHeight w:val="255"/>
        </w:trPr>
        <w:tc>
          <w:tcPr>
            <w:tcW w:w="3402" w:type="dxa"/>
            <w:vMerge w:val="restart"/>
            <w:tcBorders>
              <w:top w:val="nil"/>
              <w:left w:val="single" w:sz="4" w:space="0" w:color="auto"/>
              <w:right w:val="nil"/>
            </w:tcBorders>
            <w:shd w:val="clear" w:color="auto" w:fill="auto"/>
            <w:noWrap/>
            <w:hideMark/>
          </w:tcPr>
          <w:p w14:paraId="5E3313D8" w14:textId="77777777" w:rsidR="007613CB" w:rsidRPr="00156A12" w:rsidRDefault="005A3812" w:rsidP="00203047">
            <w:pPr>
              <w:rPr>
                <w:rFonts w:eastAsiaTheme="minorEastAsia" w:cstheme="majorBidi"/>
                <w:sz w:val="22"/>
                <w:szCs w:val="22"/>
              </w:rPr>
            </w:pPr>
            <m:oMathPara>
              <m:oMathParaPr>
                <m:jc m:val="left"/>
              </m:oMathPara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c</m:t>
                    </m:r>
                  </m:sup>
                </m:sSubSup>
              </m:oMath>
            </m:oMathPara>
          </w:p>
          <w:p w14:paraId="688D29B8" w14:textId="77777777" w:rsidR="007613CB" w:rsidRPr="00156A12" w:rsidRDefault="007613CB" w:rsidP="00203047">
            <w:pPr>
              <w:rPr>
                <w:rFonts w:eastAsiaTheme="minorEastAsia" w:cstheme="majorBidi"/>
                <w:sz w:val="22"/>
                <w:szCs w:val="22"/>
              </w:rPr>
            </w:pPr>
            <w:r w:rsidRPr="00156A12">
              <w:rPr>
                <w:rFonts w:eastAsiaTheme="minorEastAsia" w:cstheme="majorBidi"/>
                <w:sz w:val="22"/>
                <w:szCs w:val="22"/>
              </w:rPr>
              <w:t>(Rate of available information on prices)</w:t>
            </w:r>
          </w:p>
        </w:tc>
        <w:tc>
          <w:tcPr>
            <w:tcW w:w="857" w:type="dxa"/>
            <w:tcBorders>
              <w:top w:val="nil"/>
              <w:left w:val="nil"/>
              <w:bottom w:val="nil"/>
              <w:right w:val="nil"/>
            </w:tcBorders>
            <w:shd w:val="clear" w:color="auto" w:fill="auto"/>
            <w:noWrap/>
            <w:hideMark/>
          </w:tcPr>
          <w:p w14:paraId="0A867966" w14:textId="77777777" w:rsidR="007613CB" w:rsidRPr="00156A12" w:rsidRDefault="007613CB" w:rsidP="00203047">
            <w:pPr>
              <w:ind w:right="-96"/>
              <w:rPr>
                <w:rFonts w:cstheme="majorBidi"/>
                <w:sz w:val="22"/>
                <w:szCs w:val="22"/>
              </w:rPr>
            </w:pPr>
            <w:r w:rsidRPr="00156A12">
              <w:rPr>
                <w:rFonts w:cstheme="majorBidi"/>
                <w:sz w:val="22"/>
                <w:szCs w:val="22"/>
              </w:rPr>
              <w:t>-0.503*</w:t>
            </w:r>
          </w:p>
        </w:tc>
        <w:tc>
          <w:tcPr>
            <w:tcW w:w="981" w:type="dxa"/>
            <w:tcBorders>
              <w:top w:val="nil"/>
              <w:left w:val="nil"/>
              <w:bottom w:val="nil"/>
              <w:right w:val="nil"/>
            </w:tcBorders>
            <w:shd w:val="clear" w:color="auto" w:fill="auto"/>
            <w:noWrap/>
            <w:hideMark/>
          </w:tcPr>
          <w:p w14:paraId="63EBF3B4" w14:textId="77777777" w:rsidR="007613CB" w:rsidRPr="00156A12" w:rsidRDefault="007613CB" w:rsidP="00203047">
            <w:pPr>
              <w:rPr>
                <w:rFonts w:cstheme="majorBidi"/>
                <w:sz w:val="22"/>
                <w:szCs w:val="22"/>
              </w:rPr>
            </w:pPr>
            <w:r w:rsidRPr="00156A12">
              <w:rPr>
                <w:rFonts w:cstheme="majorBidi"/>
                <w:sz w:val="22"/>
                <w:szCs w:val="22"/>
              </w:rPr>
              <w:t>-0.237</w:t>
            </w:r>
          </w:p>
        </w:tc>
        <w:tc>
          <w:tcPr>
            <w:tcW w:w="862" w:type="dxa"/>
            <w:gridSpan w:val="2"/>
            <w:tcBorders>
              <w:top w:val="nil"/>
              <w:left w:val="nil"/>
              <w:bottom w:val="nil"/>
              <w:right w:val="single" w:sz="4" w:space="0" w:color="auto"/>
            </w:tcBorders>
            <w:shd w:val="clear" w:color="auto" w:fill="auto"/>
            <w:noWrap/>
          </w:tcPr>
          <w:p w14:paraId="6DF11C53" w14:textId="77777777" w:rsidR="007613CB" w:rsidRPr="00156A12" w:rsidRDefault="007613CB" w:rsidP="00203047">
            <w:pPr>
              <w:rPr>
                <w:rFonts w:cstheme="majorBidi"/>
                <w:sz w:val="22"/>
                <w:szCs w:val="22"/>
              </w:rPr>
            </w:pPr>
          </w:p>
        </w:tc>
      </w:tr>
      <w:tr w:rsidR="007613CB" w:rsidRPr="00B70A71" w14:paraId="52690EDA" w14:textId="77777777" w:rsidTr="00203047">
        <w:trPr>
          <w:trHeight w:val="255"/>
        </w:trPr>
        <w:tc>
          <w:tcPr>
            <w:tcW w:w="3402" w:type="dxa"/>
            <w:vMerge/>
            <w:tcBorders>
              <w:left w:val="single" w:sz="4" w:space="0" w:color="auto"/>
              <w:bottom w:val="nil"/>
              <w:right w:val="nil"/>
            </w:tcBorders>
            <w:shd w:val="clear" w:color="auto" w:fill="auto"/>
            <w:noWrap/>
            <w:hideMark/>
          </w:tcPr>
          <w:p w14:paraId="71384949" w14:textId="77777777" w:rsidR="007613CB" w:rsidRPr="00156A12" w:rsidRDefault="007613CB" w:rsidP="00203047">
            <w:pPr>
              <w:rPr>
                <w:rFonts w:cstheme="majorBidi"/>
                <w:sz w:val="22"/>
                <w:szCs w:val="22"/>
              </w:rPr>
            </w:pPr>
          </w:p>
        </w:tc>
        <w:tc>
          <w:tcPr>
            <w:tcW w:w="857" w:type="dxa"/>
            <w:tcBorders>
              <w:top w:val="nil"/>
              <w:left w:val="nil"/>
              <w:bottom w:val="nil"/>
              <w:right w:val="nil"/>
            </w:tcBorders>
            <w:shd w:val="clear" w:color="auto" w:fill="auto"/>
            <w:noWrap/>
            <w:hideMark/>
          </w:tcPr>
          <w:p w14:paraId="17605C2D" w14:textId="77777777" w:rsidR="007613CB" w:rsidRPr="00156A12" w:rsidRDefault="007613CB" w:rsidP="00203047">
            <w:pPr>
              <w:ind w:right="-96"/>
              <w:rPr>
                <w:rFonts w:cstheme="majorBidi"/>
                <w:sz w:val="22"/>
                <w:szCs w:val="22"/>
              </w:rPr>
            </w:pPr>
            <w:r w:rsidRPr="00156A12">
              <w:rPr>
                <w:rFonts w:cstheme="majorBidi"/>
                <w:sz w:val="22"/>
                <w:szCs w:val="22"/>
              </w:rPr>
              <w:t>(0.269)</w:t>
            </w:r>
          </w:p>
        </w:tc>
        <w:tc>
          <w:tcPr>
            <w:tcW w:w="981" w:type="dxa"/>
            <w:tcBorders>
              <w:top w:val="nil"/>
              <w:left w:val="nil"/>
              <w:bottom w:val="nil"/>
              <w:right w:val="nil"/>
            </w:tcBorders>
            <w:shd w:val="clear" w:color="auto" w:fill="auto"/>
            <w:noWrap/>
            <w:hideMark/>
          </w:tcPr>
          <w:p w14:paraId="66BCD820" w14:textId="77777777" w:rsidR="007613CB" w:rsidRPr="00156A12" w:rsidRDefault="007613CB" w:rsidP="00203047">
            <w:pPr>
              <w:rPr>
                <w:rFonts w:cstheme="majorBidi"/>
                <w:sz w:val="22"/>
                <w:szCs w:val="22"/>
              </w:rPr>
            </w:pPr>
            <w:r w:rsidRPr="00156A12">
              <w:rPr>
                <w:rFonts w:cstheme="majorBidi"/>
                <w:sz w:val="22"/>
                <w:szCs w:val="22"/>
              </w:rPr>
              <w:t>(0.163)</w:t>
            </w:r>
          </w:p>
        </w:tc>
        <w:tc>
          <w:tcPr>
            <w:tcW w:w="862" w:type="dxa"/>
            <w:gridSpan w:val="2"/>
            <w:tcBorders>
              <w:top w:val="nil"/>
              <w:left w:val="nil"/>
              <w:bottom w:val="nil"/>
              <w:right w:val="single" w:sz="4" w:space="0" w:color="auto"/>
            </w:tcBorders>
            <w:shd w:val="clear" w:color="auto" w:fill="auto"/>
            <w:noWrap/>
          </w:tcPr>
          <w:p w14:paraId="75BC4326" w14:textId="77777777" w:rsidR="007613CB" w:rsidRPr="00156A12" w:rsidRDefault="007613CB" w:rsidP="00203047">
            <w:pPr>
              <w:rPr>
                <w:rFonts w:cstheme="majorBidi"/>
                <w:sz w:val="22"/>
                <w:szCs w:val="22"/>
              </w:rPr>
            </w:pPr>
          </w:p>
        </w:tc>
      </w:tr>
      <w:tr w:rsidR="007613CB" w:rsidRPr="00B70A71" w14:paraId="0C72A229" w14:textId="77777777" w:rsidTr="00203047">
        <w:trPr>
          <w:trHeight w:val="255"/>
        </w:trPr>
        <w:tc>
          <w:tcPr>
            <w:tcW w:w="3402" w:type="dxa"/>
            <w:vMerge w:val="restart"/>
            <w:tcBorders>
              <w:top w:val="nil"/>
              <w:left w:val="single" w:sz="4" w:space="0" w:color="auto"/>
              <w:right w:val="nil"/>
            </w:tcBorders>
            <w:shd w:val="clear" w:color="auto" w:fill="auto"/>
            <w:noWrap/>
            <w:hideMark/>
          </w:tcPr>
          <w:p w14:paraId="236B9963" w14:textId="77777777" w:rsidR="007613CB" w:rsidRPr="00156A12" w:rsidRDefault="005A3812" w:rsidP="00203047">
            <w:pPr>
              <w:rPr>
                <w:rFonts w:eastAsiaTheme="minorEastAsia" w:cstheme="majorBidi"/>
                <w:sz w:val="22"/>
                <w:szCs w:val="22"/>
              </w:rPr>
            </w:pPr>
            <m:oMathPara>
              <m:oMathParaPr>
                <m:jc m:val="left"/>
              </m:oMathPara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15</m:t>
                    </m:r>
                  </m:sup>
                </m:sSubSup>
              </m:oMath>
            </m:oMathPara>
          </w:p>
          <w:p w14:paraId="71E83CC9" w14:textId="77777777" w:rsidR="007613CB" w:rsidRPr="00156A12" w:rsidRDefault="007613CB" w:rsidP="00203047">
            <w:pPr>
              <w:rPr>
                <w:rFonts w:eastAsiaTheme="minorEastAsia" w:cstheme="majorBidi"/>
                <w:sz w:val="22"/>
                <w:szCs w:val="22"/>
              </w:rPr>
            </w:pPr>
            <w:r w:rsidRPr="00156A12">
              <w:rPr>
                <w:rFonts w:eastAsiaTheme="minorEastAsia" w:cstheme="majorBidi"/>
                <w:sz w:val="22"/>
                <w:szCs w:val="22"/>
              </w:rPr>
              <w:t>(availability of information on previous CPI)</w:t>
            </w:r>
          </w:p>
        </w:tc>
        <w:tc>
          <w:tcPr>
            <w:tcW w:w="857" w:type="dxa"/>
            <w:tcBorders>
              <w:top w:val="nil"/>
              <w:left w:val="nil"/>
              <w:bottom w:val="nil"/>
              <w:right w:val="nil"/>
            </w:tcBorders>
            <w:shd w:val="clear" w:color="auto" w:fill="auto"/>
            <w:noWrap/>
            <w:hideMark/>
          </w:tcPr>
          <w:p w14:paraId="7570D258" w14:textId="77777777" w:rsidR="007613CB" w:rsidRPr="00156A12" w:rsidRDefault="007613CB" w:rsidP="00203047">
            <w:pPr>
              <w:ind w:right="-96"/>
              <w:rPr>
                <w:rFonts w:cstheme="majorBidi"/>
                <w:sz w:val="22"/>
                <w:szCs w:val="22"/>
              </w:rPr>
            </w:pPr>
            <w:r w:rsidRPr="00156A12">
              <w:rPr>
                <w:rFonts w:cstheme="majorBidi"/>
                <w:sz w:val="22"/>
                <w:szCs w:val="22"/>
              </w:rPr>
              <w:t>0.191</w:t>
            </w:r>
          </w:p>
        </w:tc>
        <w:tc>
          <w:tcPr>
            <w:tcW w:w="981" w:type="dxa"/>
            <w:tcBorders>
              <w:top w:val="nil"/>
              <w:left w:val="nil"/>
              <w:bottom w:val="nil"/>
              <w:right w:val="nil"/>
            </w:tcBorders>
            <w:shd w:val="clear" w:color="auto" w:fill="auto"/>
            <w:noWrap/>
            <w:hideMark/>
          </w:tcPr>
          <w:p w14:paraId="04426665" w14:textId="77777777" w:rsidR="007613CB" w:rsidRPr="00156A12" w:rsidRDefault="007613CB" w:rsidP="00203047">
            <w:pPr>
              <w:rPr>
                <w:rFonts w:cstheme="majorBidi"/>
                <w:sz w:val="22"/>
                <w:szCs w:val="22"/>
              </w:rPr>
            </w:pPr>
          </w:p>
        </w:tc>
        <w:tc>
          <w:tcPr>
            <w:tcW w:w="862" w:type="dxa"/>
            <w:gridSpan w:val="2"/>
            <w:tcBorders>
              <w:top w:val="nil"/>
              <w:left w:val="nil"/>
              <w:bottom w:val="nil"/>
              <w:right w:val="single" w:sz="4" w:space="0" w:color="auto"/>
            </w:tcBorders>
            <w:shd w:val="clear" w:color="auto" w:fill="auto"/>
            <w:noWrap/>
          </w:tcPr>
          <w:p w14:paraId="025EDDE1" w14:textId="77777777" w:rsidR="007613CB" w:rsidRPr="00156A12" w:rsidRDefault="007613CB" w:rsidP="00203047">
            <w:pPr>
              <w:rPr>
                <w:rFonts w:cstheme="majorBidi"/>
                <w:sz w:val="22"/>
                <w:szCs w:val="22"/>
              </w:rPr>
            </w:pPr>
            <w:r w:rsidRPr="00156A12">
              <w:rPr>
                <w:rFonts w:cstheme="majorBidi"/>
                <w:sz w:val="22"/>
                <w:szCs w:val="22"/>
              </w:rPr>
              <w:t>-0.022</w:t>
            </w:r>
          </w:p>
        </w:tc>
      </w:tr>
      <w:tr w:rsidR="007613CB" w:rsidRPr="00B70A71" w14:paraId="1DE5BBE6" w14:textId="77777777" w:rsidTr="00203047">
        <w:trPr>
          <w:trHeight w:val="255"/>
        </w:trPr>
        <w:tc>
          <w:tcPr>
            <w:tcW w:w="3402" w:type="dxa"/>
            <w:vMerge/>
            <w:tcBorders>
              <w:left w:val="single" w:sz="4" w:space="0" w:color="auto"/>
              <w:bottom w:val="nil"/>
              <w:right w:val="nil"/>
            </w:tcBorders>
            <w:shd w:val="clear" w:color="auto" w:fill="auto"/>
            <w:noWrap/>
            <w:hideMark/>
          </w:tcPr>
          <w:p w14:paraId="24C3B2D3" w14:textId="77777777" w:rsidR="007613CB" w:rsidRPr="00156A12" w:rsidRDefault="007613CB" w:rsidP="00203047">
            <w:pPr>
              <w:rPr>
                <w:rFonts w:cstheme="majorBidi"/>
                <w:sz w:val="22"/>
                <w:szCs w:val="22"/>
              </w:rPr>
            </w:pPr>
          </w:p>
        </w:tc>
        <w:tc>
          <w:tcPr>
            <w:tcW w:w="857" w:type="dxa"/>
            <w:tcBorders>
              <w:top w:val="nil"/>
              <w:left w:val="nil"/>
              <w:bottom w:val="nil"/>
              <w:right w:val="nil"/>
            </w:tcBorders>
            <w:shd w:val="clear" w:color="auto" w:fill="auto"/>
            <w:noWrap/>
            <w:hideMark/>
          </w:tcPr>
          <w:p w14:paraId="02B00E68" w14:textId="77777777" w:rsidR="007613CB" w:rsidRPr="00156A12" w:rsidRDefault="007613CB" w:rsidP="00203047">
            <w:pPr>
              <w:ind w:right="-96"/>
              <w:rPr>
                <w:rFonts w:cstheme="majorBidi"/>
                <w:sz w:val="22"/>
                <w:szCs w:val="22"/>
              </w:rPr>
            </w:pPr>
            <w:r w:rsidRPr="00156A12">
              <w:rPr>
                <w:rFonts w:cstheme="majorBidi"/>
                <w:sz w:val="22"/>
                <w:szCs w:val="22"/>
              </w:rPr>
              <w:t>(0.152)</w:t>
            </w:r>
          </w:p>
        </w:tc>
        <w:tc>
          <w:tcPr>
            <w:tcW w:w="981" w:type="dxa"/>
            <w:tcBorders>
              <w:top w:val="nil"/>
              <w:left w:val="nil"/>
              <w:bottom w:val="nil"/>
              <w:right w:val="nil"/>
            </w:tcBorders>
            <w:shd w:val="clear" w:color="auto" w:fill="auto"/>
            <w:noWrap/>
            <w:hideMark/>
          </w:tcPr>
          <w:p w14:paraId="37255422" w14:textId="77777777" w:rsidR="007613CB" w:rsidRPr="00156A12" w:rsidRDefault="007613CB" w:rsidP="00203047">
            <w:pPr>
              <w:rPr>
                <w:rFonts w:cstheme="majorBidi"/>
                <w:sz w:val="22"/>
                <w:szCs w:val="22"/>
              </w:rPr>
            </w:pPr>
          </w:p>
        </w:tc>
        <w:tc>
          <w:tcPr>
            <w:tcW w:w="862" w:type="dxa"/>
            <w:gridSpan w:val="2"/>
            <w:tcBorders>
              <w:top w:val="nil"/>
              <w:left w:val="nil"/>
              <w:bottom w:val="nil"/>
              <w:right w:val="single" w:sz="4" w:space="0" w:color="auto"/>
            </w:tcBorders>
            <w:shd w:val="clear" w:color="auto" w:fill="auto"/>
            <w:noWrap/>
          </w:tcPr>
          <w:p w14:paraId="2E195BDB" w14:textId="77777777" w:rsidR="007613CB" w:rsidRPr="00156A12" w:rsidRDefault="007613CB" w:rsidP="00203047">
            <w:pPr>
              <w:rPr>
                <w:rFonts w:cstheme="majorBidi"/>
                <w:sz w:val="22"/>
                <w:szCs w:val="22"/>
              </w:rPr>
            </w:pPr>
            <w:r w:rsidRPr="00156A12">
              <w:rPr>
                <w:rFonts w:cstheme="majorBidi"/>
                <w:sz w:val="22"/>
                <w:szCs w:val="22"/>
              </w:rPr>
              <w:t>(0.093)</w:t>
            </w:r>
          </w:p>
        </w:tc>
      </w:tr>
      <w:tr w:rsidR="007613CB" w:rsidRPr="00B70A71" w14:paraId="7F3DA78F" w14:textId="77777777" w:rsidTr="00203047">
        <w:trPr>
          <w:trHeight w:val="255"/>
        </w:trPr>
        <w:tc>
          <w:tcPr>
            <w:tcW w:w="3402" w:type="dxa"/>
            <w:vMerge w:val="restart"/>
            <w:tcBorders>
              <w:top w:val="nil"/>
              <w:left w:val="single" w:sz="4" w:space="0" w:color="auto"/>
              <w:right w:val="nil"/>
            </w:tcBorders>
            <w:shd w:val="clear" w:color="auto" w:fill="auto"/>
            <w:noWrap/>
            <w:hideMark/>
          </w:tcPr>
          <w:p w14:paraId="11662A25" w14:textId="77777777" w:rsidR="007613CB" w:rsidRPr="00156A12" w:rsidRDefault="005A3812" w:rsidP="00203047">
            <w:pPr>
              <w:rPr>
                <w:rFonts w:eastAsiaTheme="minorEastAsia" w:cstheme="majorBidi"/>
                <w:sz w:val="22"/>
                <w:szCs w:val="22"/>
                <w:rtl/>
              </w:rPr>
            </w:p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c</m:t>
                  </m:r>
                </m:sup>
              </m:sSubSup>
              <m:r>
                <m:rPr>
                  <m:sty m:val="p"/>
                </m:rPr>
                <w:rPr>
                  <w:rFonts w:ascii="Cambria Math" w:hAnsi="Cambria Math" w:cstheme="majorBidi"/>
                  <w:sz w:val="22"/>
                  <w:szCs w:val="22"/>
                </w:rPr>
                <m:t>∙high</m:t>
              </m:r>
            </m:oMath>
            <w:r w:rsidR="007613CB" w:rsidRPr="00156A12">
              <w:rPr>
                <w:rFonts w:eastAsiaTheme="minorEastAsia" w:cstheme="majorBidi"/>
                <w:sz w:val="22"/>
                <w:szCs w:val="22"/>
              </w:rPr>
              <w:t xml:space="preserve"> – (rate of accessible information – high inflation)</w:t>
            </w:r>
          </w:p>
        </w:tc>
        <w:tc>
          <w:tcPr>
            <w:tcW w:w="857" w:type="dxa"/>
            <w:tcBorders>
              <w:top w:val="nil"/>
              <w:left w:val="nil"/>
              <w:bottom w:val="nil"/>
              <w:right w:val="nil"/>
            </w:tcBorders>
            <w:shd w:val="clear" w:color="auto" w:fill="auto"/>
            <w:noWrap/>
            <w:hideMark/>
          </w:tcPr>
          <w:p w14:paraId="176B7AC7" w14:textId="77777777" w:rsidR="007613CB" w:rsidRPr="00156A12" w:rsidRDefault="007613CB" w:rsidP="00203047">
            <w:pPr>
              <w:ind w:right="-96"/>
              <w:rPr>
                <w:rFonts w:cstheme="majorBidi"/>
                <w:sz w:val="22"/>
                <w:szCs w:val="22"/>
              </w:rPr>
            </w:pPr>
            <w:r w:rsidRPr="00156A12">
              <w:rPr>
                <w:rFonts w:cstheme="majorBidi"/>
                <w:sz w:val="22"/>
                <w:szCs w:val="22"/>
              </w:rPr>
              <w:t>0.886</w:t>
            </w:r>
          </w:p>
        </w:tc>
        <w:tc>
          <w:tcPr>
            <w:tcW w:w="981" w:type="dxa"/>
            <w:tcBorders>
              <w:top w:val="nil"/>
              <w:left w:val="nil"/>
              <w:bottom w:val="nil"/>
              <w:right w:val="nil"/>
            </w:tcBorders>
            <w:shd w:val="clear" w:color="auto" w:fill="auto"/>
            <w:noWrap/>
            <w:hideMark/>
          </w:tcPr>
          <w:p w14:paraId="1151D3A7" w14:textId="77777777" w:rsidR="007613CB" w:rsidRPr="00156A12" w:rsidRDefault="007613CB" w:rsidP="00203047">
            <w:pPr>
              <w:rPr>
                <w:rFonts w:cstheme="majorBidi"/>
                <w:sz w:val="22"/>
                <w:szCs w:val="22"/>
              </w:rPr>
            </w:pPr>
            <w:r w:rsidRPr="00156A12">
              <w:rPr>
                <w:rFonts w:cstheme="majorBidi"/>
                <w:sz w:val="22"/>
                <w:szCs w:val="22"/>
              </w:rPr>
              <w:t>0.430</w:t>
            </w:r>
          </w:p>
        </w:tc>
        <w:tc>
          <w:tcPr>
            <w:tcW w:w="862" w:type="dxa"/>
            <w:gridSpan w:val="2"/>
            <w:tcBorders>
              <w:top w:val="nil"/>
              <w:left w:val="nil"/>
              <w:bottom w:val="nil"/>
              <w:right w:val="single" w:sz="4" w:space="0" w:color="auto"/>
            </w:tcBorders>
            <w:shd w:val="clear" w:color="auto" w:fill="auto"/>
            <w:noWrap/>
          </w:tcPr>
          <w:p w14:paraId="0B31595B" w14:textId="77777777" w:rsidR="007613CB" w:rsidRPr="00156A12" w:rsidRDefault="007613CB" w:rsidP="00203047">
            <w:pPr>
              <w:rPr>
                <w:rFonts w:cstheme="majorBidi"/>
                <w:sz w:val="22"/>
                <w:szCs w:val="22"/>
              </w:rPr>
            </w:pPr>
          </w:p>
        </w:tc>
      </w:tr>
      <w:tr w:rsidR="007613CB" w:rsidRPr="00B70A71" w14:paraId="47F13EE3" w14:textId="77777777" w:rsidTr="00203047">
        <w:trPr>
          <w:trHeight w:val="255"/>
        </w:trPr>
        <w:tc>
          <w:tcPr>
            <w:tcW w:w="3402" w:type="dxa"/>
            <w:vMerge/>
            <w:tcBorders>
              <w:left w:val="single" w:sz="4" w:space="0" w:color="auto"/>
              <w:bottom w:val="nil"/>
              <w:right w:val="nil"/>
            </w:tcBorders>
            <w:shd w:val="clear" w:color="auto" w:fill="auto"/>
            <w:noWrap/>
            <w:hideMark/>
          </w:tcPr>
          <w:p w14:paraId="7B521F4B" w14:textId="77777777" w:rsidR="007613CB" w:rsidRPr="00156A12" w:rsidRDefault="007613CB" w:rsidP="00203047">
            <w:pPr>
              <w:rPr>
                <w:rFonts w:cstheme="majorBidi"/>
                <w:sz w:val="22"/>
                <w:szCs w:val="22"/>
              </w:rPr>
            </w:pPr>
          </w:p>
        </w:tc>
        <w:tc>
          <w:tcPr>
            <w:tcW w:w="857" w:type="dxa"/>
            <w:tcBorders>
              <w:top w:val="nil"/>
              <w:left w:val="nil"/>
              <w:bottom w:val="nil"/>
              <w:right w:val="nil"/>
            </w:tcBorders>
            <w:shd w:val="clear" w:color="auto" w:fill="auto"/>
            <w:noWrap/>
            <w:hideMark/>
          </w:tcPr>
          <w:p w14:paraId="18877450" w14:textId="77777777" w:rsidR="007613CB" w:rsidRPr="00156A12" w:rsidRDefault="007613CB" w:rsidP="00203047">
            <w:pPr>
              <w:ind w:right="-96"/>
              <w:rPr>
                <w:rFonts w:cstheme="majorBidi"/>
                <w:sz w:val="22"/>
                <w:szCs w:val="22"/>
              </w:rPr>
            </w:pPr>
            <w:r w:rsidRPr="00156A12">
              <w:rPr>
                <w:rFonts w:cstheme="majorBidi"/>
                <w:sz w:val="22"/>
                <w:szCs w:val="22"/>
              </w:rPr>
              <w:t>(0.752)</w:t>
            </w:r>
          </w:p>
        </w:tc>
        <w:tc>
          <w:tcPr>
            <w:tcW w:w="981" w:type="dxa"/>
            <w:tcBorders>
              <w:top w:val="nil"/>
              <w:left w:val="nil"/>
              <w:bottom w:val="nil"/>
              <w:right w:val="nil"/>
            </w:tcBorders>
            <w:shd w:val="clear" w:color="auto" w:fill="auto"/>
            <w:noWrap/>
            <w:hideMark/>
          </w:tcPr>
          <w:p w14:paraId="1F85E27A" w14:textId="77777777" w:rsidR="007613CB" w:rsidRPr="00156A12" w:rsidRDefault="007613CB" w:rsidP="00203047">
            <w:pPr>
              <w:rPr>
                <w:rFonts w:cstheme="majorBidi"/>
                <w:sz w:val="22"/>
                <w:szCs w:val="22"/>
              </w:rPr>
            </w:pPr>
            <w:r w:rsidRPr="00156A12">
              <w:rPr>
                <w:rFonts w:cstheme="majorBidi"/>
                <w:sz w:val="22"/>
                <w:szCs w:val="22"/>
              </w:rPr>
              <w:t>(0.491)</w:t>
            </w:r>
          </w:p>
        </w:tc>
        <w:tc>
          <w:tcPr>
            <w:tcW w:w="862" w:type="dxa"/>
            <w:gridSpan w:val="2"/>
            <w:tcBorders>
              <w:top w:val="nil"/>
              <w:left w:val="nil"/>
              <w:bottom w:val="nil"/>
              <w:right w:val="single" w:sz="4" w:space="0" w:color="auto"/>
            </w:tcBorders>
            <w:shd w:val="clear" w:color="auto" w:fill="auto"/>
            <w:noWrap/>
          </w:tcPr>
          <w:p w14:paraId="6E4E2BBF" w14:textId="77777777" w:rsidR="007613CB" w:rsidRPr="00156A12" w:rsidRDefault="007613CB" w:rsidP="00203047">
            <w:pPr>
              <w:rPr>
                <w:rFonts w:cstheme="majorBidi"/>
                <w:sz w:val="22"/>
                <w:szCs w:val="22"/>
              </w:rPr>
            </w:pPr>
          </w:p>
        </w:tc>
      </w:tr>
      <w:tr w:rsidR="007613CB" w:rsidRPr="00B70A71" w14:paraId="2B85ADCB" w14:textId="77777777" w:rsidTr="00203047">
        <w:trPr>
          <w:trHeight w:val="255"/>
        </w:trPr>
        <w:tc>
          <w:tcPr>
            <w:tcW w:w="3402" w:type="dxa"/>
            <w:vMerge w:val="restart"/>
            <w:tcBorders>
              <w:top w:val="nil"/>
              <w:left w:val="single" w:sz="4" w:space="0" w:color="auto"/>
              <w:right w:val="nil"/>
            </w:tcBorders>
            <w:shd w:val="clear" w:color="auto" w:fill="auto"/>
            <w:noWrap/>
            <w:hideMark/>
          </w:tcPr>
          <w:p w14:paraId="0D067817" w14:textId="77777777" w:rsidR="007613CB" w:rsidRPr="00156A12" w:rsidRDefault="005A3812" w:rsidP="00203047">
            <w:pPr>
              <w:rPr>
                <w:rFonts w:cstheme="majorBidi"/>
                <w:sz w:val="22"/>
                <w:szCs w:val="22"/>
              </w:rPr>
            </w:pPr>
            <m:oMath>
              <m:sSubSup>
                <m:sSubSupPr>
                  <m:ctrlPr>
                    <w:rPr>
                      <w:rFonts w:ascii="Cambria Math" w:hAnsi="Cambria Math" w:cstheme="majorBidi"/>
                      <w:i/>
                      <w:sz w:val="22"/>
                      <w:szCs w:val="22"/>
                    </w:rPr>
                  </m:ctrlPr>
                </m:sSubSupPr>
                <m:e>
                  <m:r>
                    <w:rPr>
                      <w:rFonts w:ascii="Cambria Math" w:hAnsi="Cambria Math" w:cstheme="majorBidi"/>
                      <w:sz w:val="22"/>
                      <w:szCs w:val="22"/>
                    </w:rPr>
                    <m:t>T</m:t>
                  </m:r>
                </m:e>
                <m:sub>
                  <m:r>
                    <m:rPr>
                      <m:sty m:val="p"/>
                    </m:rPr>
                    <w:rPr>
                      <w:rFonts w:ascii="Cambria Math" w:hAnsi="Cambria Math" w:cstheme="majorBidi"/>
                      <w:sz w:val="22"/>
                      <w:szCs w:val="22"/>
                    </w:rPr>
                    <m:t xml:space="preserve"> </m:t>
                  </m:r>
                  <m:ctrlPr>
                    <w:rPr>
                      <w:rFonts w:ascii="Cambria Math" w:hAnsi="Cambria Math" w:cstheme="majorBidi"/>
                      <w:sz w:val="22"/>
                      <w:szCs w:val="22"/>
                    </w:rPr>
                  </m:ctrlPr>
                </m:sub>
                <m:sup>
                  <m:r>
                    <w:rPr>
                      <w:rFonts w:ascii="Cambria Math" w:hAnsi="Cambria Math" w:cstheme="majorBidi"/>
                      <w:sz w:val="22"/>
                      <w:szCs w:val="22"/>
                    </w:rPr>
                    <m:t>15</m:t>
                  </m:r>
                </m:sup>
              </m:sSubSup>
              <m:r>
                <m:rPr>
                  <m:sty m:val="p"/>
                </m:rPr>
                <w:rPr>
                  <w:rFonts w:ascii="Cambria Math" w:hAnsi="Cambria Math" w:cstheme="majorBidi"/>
                  <w:sz w:val="22"/>
                  <w:szCs w:val="22"/>
                </w:rPr>
                <m:t>∙high</m:t>
              </m:r>
            </m:oMath>
            <w:r w:rsidR="007613CB" w:rsidRPr="00156A12">
              <w:rPr>
                <w:rFonts w:cstheme="majorBidi"/>
                <w:sz w:val="22"/>
                <w:szCs w:val="22"/>
              </w:rPr>
              <w:t xml:space="preserve"> – (availability of information on previous CPI – high inflation)</w:t>
            </w:r>
          </w:p>
        </w:tc>
        <w:tc>
          <w:tcPr>
            <w:tcW w:w="857" w:type="dxa"/>
            <w:tcBorders>
              <w:top w:val="nil"/>
              <w:left w:val="nil"/>
              <w:right w:val="nil"/>
            </w:tcBorders>
            <w:shd w:val="clear" w:color="auto" w:fill="auto"/>
            <w:noWrap/>
            <w:hideMark/>
          </w:tcPr>
          <w:p w14:paraId="4C39B3DE" w14:textId="77777777" w:rsidR="007613CB" w:rsidRPr="00156A12" w:rsidRDefault="007613CB" w:rsidP="00203047">
            <w:pPr>
              <w:ind w:right="-96"/>
              <w:rPr>
                <w:rFonts w:cstheme="majorBidi"/>
                <w:sz w:val="22"/>
                <w:szCs w:val="22"/>
              </w:rPr>
            </w:pPr>
            <w:r w:rsidRPr="00156A12">
              <w:rPr>
                <w:rFonts w:cstheme="majorBidi"/>
                <w:sz w:val="22"/>
                <w:szCs w:val="22"/>
              </w:rPr>
              <w:t>-0.424</w:t>
            </w:r>
          </w:p>
        </w:tc>
        <w:tc>
          <w:tcPr>
            <w:tcW w:w="981" w:type="dxa"/>
            <w:tcBorders>
              <w:top w:val="nil"/>
              <w:left w:val="nil"/>
              <w:right w:val="nil"/>
            </w:tcBorders>
            <w:shd w:val="clear" w:color="auto" w:fill="auto"/>
            <w:noWrap/>
            <w:hideMark/>
          </w:tcPr>
          <w:p w14:paraId="5CB61740" w14:textId="77777777" w:rsidR="007613CB" w:rsidRPr="00156A12" w:rsidRDefault="007613CB" w:rsidP="00203047">
            <w:pPr>
              <w:rPr>
                <w:rFonts w:cstheme="majorBidi"/>
                <w:sz w:val="22"/>
                <w:szCs w:val="22"/>
              </w:rPr>
            </w:pPr>
          </w:p>
        </w:tc>
        <w:tc>
          <w:tcPr>
            <w:tcW w:w="862" w:type="dxa"/>
            <w:gridSpan w:val="2"/>
            <w:tcBorders>
              <w:top w:val="nil"/>
              <w:left w:val="nil"/>
              <w:right w:val="single" w:sz="4" w:space="0" w:color="auto"/>
            </w:tcBorders>
            <w:shd w:val="clear" w:color="auto" w:fill="auto"/>
            <w:noWrap/>
          </w:tcPr>
          <w:p w14:paraId="50A6D6A7" w14:textId="77777777" w:rsidR="007613CB" w:rsidRPr="00156A12" w:rsidRDefault="007613CB" w:rsidP="00203047">
            <w:pPr>
              <w:rPr>
                <w:rFonts w:cstheme="majorBidi"/>
                <w:sz w:val="22"/>
                <w:szCs w:val="22"/>
              </w:rPr>
            </w:pPr>
            <w:r w:rsidRPr="00156A12">
              <w:rPr>
                <w:rFonts w:cstheme="majorBidi"/>
                <w:sz w:val="22"/>
                <w:szCs w:val="22"/>
              </w:rPr>
              <w:t>0.013</w:t>
            </w:r>
          </w:p>
        </w:tc>
      </w:tr>
      <w:tr w:rsidR="007613CB" w:rsidRPr="00B70A71" w14:paraId="38507C59" w14:textId="77777777" w:rsidTr="00203047">
        <w:trPr>
          <w:trHeight w:val="255"/>
        </w:trPr>
        <w:tc>
          <w:tcPr>
            <w:tcW w:w="3402" w:type="dxa"/>
            <w:vMerge/>
            <w:tcBorders>
              <w:left w:val="single" w:sz="4" w:space="0" w:color="auto"/>
              <w:bottom w:val="single" w:sz="4" w:space="0" w:color="auto"/>
              <w:right w:val="nil"/>
            </w:tcBorders>
            <w:shd w:val="clear" w:color="auto" w:fill="auto"/>
            <w:noWrap/>
            <w:hideMark/>
          </w:tcPr>
          <w:p w14:paraId="42691884" w14:textId="77777777" w:rsidR="007613CB" w:rsidRPr="00156A12" w:rsidRDefault="007613CB" w:rsidP="00203047">
            <w:pPr>
              <w:rPr>
                <w:rFonts w:cstheme="majorBidi"/>
                <w:sz w:val="22"/>
                <w:szCs w:val="22"/>
              </w:rPr>
            </w:pPr>
          </w:p>
        </w:tc>
        <w:tc>
          <w:tcPr>
            <w:tcW w:w="857" w:type="dxa"/>
            <w:tcBorders>
              <w:top w:val="nil"/>
              <w:left w:val="nil"/>
              <w:bottom w:val="single" w:sz="4" w:space="0" w:color="auto"/>
              <w:right w:val="nil"/>
            </w:tcBorders>
            <w:shd w:val="clear" w:color="auto" w:fill="auto"/>
            <w:noWrap/>
            <w:hideMark/>
          </w:tcPr>
          <w:p w14:paraId="54DE5CA3" w14:textId="77777777" w:rsidR="007613CB" w:rsidRPr="00156A12" w:rsidRDefault="007613CB" w:rsidP="00203047">
            <w:pPr>
              <w:ind w:right="-96"/>
              <w:rPr>
                <w:rFonts w:cstheme="majorBidi"/>
                <w:sz w:val="22"/>
                <w:szCs w:val="22"/>
              </w:rPr>
            </w:pPr>
            <w:r w:rsidRPr="00156A12">
              <w:rPr>
                <w:rFonts w:cstheme="majorBidi"/>
                <w:sz w:val="22"/>
                <w:szCs w:val="22"/>
              </w:rPr>
              <w:t>(0.433)</w:t>
            </w:r>
          </w:p>
        </w:tc>
        <w:tc>
          <w:tcPr>
            <w:tcW w:w="981" w:type="dxa"/>
            <w:tcBorders>
              <w:top w:val="nil"/>
              <w:left w:val="nil"/>
              <w:bottom w:val="single" w:sz="4" w:space="0" w:color="auto"/>
              <w:right w:val="nil"/>
            </w:tcBorders>
            <w:shd w:val="clear" w:color="auto" w:fill="auto"/>
            <w:noWrap/>
            <w:hideMark/>
          </w:tcPr>
          <w:p w14:paraId="7194CD80" w14:textId="77777777" w:rsidR="007613CB" w:rsidRPr="00156A12" w:rsidRDefault="007613CB" w:rsidP="00203047">
            <w:pPr>
              <w:rPr>
                <w:rFonts w:cstheme="majorBidi"/>
                <w:sz w:val="22"/>
                <w:szCs w:val="22"/>
              </w:rPr>
            </w:pPr>
          </w:p>
        </w:tc>
        <w:tc>
          <w:tcPr>
            <w:tcW w:w="862" w:type="dxa"/>
            <w:gridSpan w:val="2"/>
            <w:tcBorders>
              <w:top w:val="nil"/>
              <w:left w:val="nil"/>
              <w:bottom w:val="single" w:sz="4" w:space="0" w:color="auto"/>
              <w:right w:val="single" w:sz="4" w:space="0" w:color="auto"/>
            </w:tcBorders>
            <w:shd w:val="clear" w:color="auto" w:fill="auto"/>
            <w:noWrap/>
          </w:tcPr>
          <w:p w14:paraId="749CA41A" w14:textId="77777777" w:rsidR="007613CB" w:rsidRPr="00156A12" w:rsidRDefault="007613CB" w:rsidP="00203047">
            <w:pPr>
              <w:rPr>
                <w:rFonts w:cstheme="majorBidi"/>
                <w:sz w:val="22"/>
                <w:szCs w:val="22"/>
              </w:rPr>
            </w:pPr>
            <w:r w:rsidRPr="00156A12">
              <w:rPr>
                <w:rFonts w:cstheme="majorBidi"/>
                <w:sz w:val="22"/>
                <w:szCs w:val="22"/>
              </w:rPr>
              <w:t>(0.285)</w:t>
            </w:r>
          </w:p>
        </w:tc>
      </w:tr>
      <w:tr w:rsidR="007613CB" w:rsidRPr="00B70A71" w14:paraId="267B33FC" w14:textId="77777777" w:rsidTr="00203047">
        <w:trPr>
          <w:trHeight w:val="255"/>
        </w:trPr>
        <w:tc>
          <w:tcPr>
            <w:tcW w:w="3402" w:type="dxa"/>
            <w:tcBorders>
              <w:top w:val="nil"/>
              <w:left w:val="single" w:sz="4" w:space="0" w:color="auto"/>
              <w:bottom w:val="nil"/>
              <w:right w:val="nil"/>
            </w:tcBorders>
            <w:shd w:val="clear" w:color="auto" w:fill="auto"/>
            <w:noWrap/>
            <w:hideMark/>
          </w:tcPr>
          <w:p w14:paraId="02BF2266" w14:textId="77777777" w:rsidR="007613CB" w:rsidRPr="00156A12" w:rsidRDefault="007613CB" w:rsidP="00203047">
            <w:pPr>
              <w:rPr>
                <w:rFonts w:cstheme="majorBidi"/>
                <w:sz w:val="22"/>
                <w:szCs w:val="22"/>
              </w:rPr>
            </w:pPr>
            <w:r w:rsidRPr="00156A12">
              <w:rPr>
                <w:rFonts w:cstheme="majorBidi"/>
                <w:sz w:val="22"/>
                <w:szCs w:val="22"/>
              </w:rPr>
              <w:t>Obs.</w:t>
            </w:r>
          </w:p>
        </w:tc>
        <w:tc>
          <w:tcPr>
            <w:tcW w:w="857" w:type="dxa"/>
            <w:tcBorders>
              <w:top w:val="nil"/>
              <w:left w:val="nil"/>
              <w:bottom w:val="nil"/>
              <w:right w:val="nil"/>
            </w:tcBorders>
            <w:shd w:val="clear" w:color="auto" w:fill="auto"/>
            <w:noWrap/>
            <w:vAlign w:val="bottom"/>
            <w:hideMark/>
          </w:tcPr>
          <w:p w14:paraId="79976224" w14:textId="77777777" w:rsidR="007613CB" w:rsidRPr="00156A12" w:rsidRDefault="007613CB" w:rsidP="00203047">
            <w:pPr>
              <w:ind w:right="-96"/>
              <w:rPr>
                <w:rFonts w:cstheme="majorBidi"/>
                <w:sz w:val="22"/>
                <w:szCs w:val="22"/>
              </w:rPr>
            </w:pPr>
            <w:r w:rsidRPr="00156A12">
              <w:rPr>
                <w:rFonts w:cstheme="majorBidi"/>
                <w:sz w:val="22"/>
                <w:szCs w:val="22"/>
              </w:rPr>
              <w:t>33,371</w:t>
            </w:r>
          </w:p>
        </w:tc>
        <w:tc>
          <w:tcPr>
            <w:tcW w:w="981" w:type="dxa"/>
            <w:tcBorders>
              <w:top w:val="nil"/>
              <w:left w:val="nil"/>
              <w:bottom w:val="nil"/>
              <w:right w:val="nil"/>
            </w:tcBorders>
            <w:shd w:val="clear" w:color="auto" w:fill="auto"/>
            <w:noWrap/>
            <w:vAlign w:val="bottom"/>
            <w:hideMark/>
          </w:tcPr>
          <w:p w14:paraId="3F9CFD09" w14:textId="77777777" w:rsidR="007613CB" w:rsidRPr="00156A12" w:rsidRDefault="007613CB" w:rsidP="00203047">
            <w:pPr>
              <w:rPr>
                <w:rFonts w:cstheme="majorBidi"/>
                <w:sz w:val="22"/>
                <w:szCs w:val="22"/>
              </w:rPr>
            </w:pPr>
            <w:r w:rsidRPr="00156A12">
              <w:rPr>
                <w:rFonts w:cstheme="majorBidi"/>
                <w:sz w:val="22"/>
                <w:szCs w:val="22"/>
              </w:rPr>
              <w:t>33,371</w:t>
            </w:r>
          </w:p>
        </w:tc>
        <w:tc>
          <w:tcPr>
            <w:tcW w:w="862" w:type="dxa"/>
            <w:gridSpan w:val="2"/>
            <w:tcBorders>
              <w:top w:val="nil"/>
              <w:left w:val="nil"/>
              <w:bottom w:val="nil"/>
              <w:right w:val="single" w:sz="4" w:space="0" w:color="auto"/>
            </w:tcBorders>
            <w:shd w:val="clear" w:color="auto" w:fill="auto"/>
            <w:noWrap/>
            <w:vAlign w:val="bottom"/>
            <w:hideMark/>
          </w:tcPr>
          <w:p w14:paraId="04A419B7" w14:textId="77777777" w:rsidR="007613CB" w:rsidRPr="00156A12" w:rsidRDefault="007613CB" w:rsidP="00203047">
            <w:pPr>
              <w:rPr>
                <w:rFonts w:cstheme="majorBidi"/>
                <w:sz w:val="22"/>
                <w:szCs w:val="22"/>
              </w:rPr>
            </w:pPr>
            <w:r w:rsidRPr="00156A12">
              <w:rPr>
                <w:rFonts w:cstheme="majorBidi"/>
                <w:sz w:val="22"/>
                <w:szCs w:val="22"/>
              </w:rPr>
              <w:t>33,371</w:t>
            </w:r>
          </w:p>
        </w:tc>
      </w:tr>
      <w:tr w:rsidR="007613CB" w:rsidRPr="00B70A71" w14:paraId="7EA48209" w14:textId="77777777" w:rsidTr="00203047">
        <w:trPr>
          <w:trHeight w:val="255"/>
        </w:trPr>
        <w:tc>
          <w:tcPr>
            <w:tcW w:w="3402" w:type="dxa"/>
            <w:tcBorders>
              <w:top w:val="nil"/>
              <w:left w:val="single" w:sz="4" w:space="0" w:color="auto"/>
              <w:right w:val="nil"/>
            </w:tcBorders>
            <w:shd w:val="clear" w:color="auto" w:fill="auto"/>
            <w:noWrap/>
            <w:hideMark/>
          </w:tcPr>
          <w:p w14:paraId="5F860E5B" w14:textId="77777777" w:rsidR="007613CB" w:rsidRPr="00156A12" w:rsidRDefault="007613CB" w:rsidP="00203047">
            <w:pPr>
              <w:rPr>
                <w:rFonts w:cstheme="majorBidi"/>
                <w:sz w:val="22"/>
                <w:szCs w:val="22"/>
              </w:rPr>
            </w:pPr>
            <w:r w:rsidRPr="00156A12">
              <w:rPr>
                <w:rFonts w:cstheme="majorBidi"/>
                <w:sz w:val="22"/>
                <w:szCs w:val="22"/>
              </w:rPr>
              <w:t xml:space="preserve">Adj. </w:t>
            </w:r>
            <m:oMath>
              <m:sSup>
                <m:sSupPr>
                  <m:ctrlPr>
                    <w:rPr>
                      <w:rFonts w:ascii="Cambria Math" w:hAnsi="Cambria Math" w:cstheme="majorBidi"/>
                      <w:i/>
                      <w:sz w:val="22"/>
                      <w:szCs w:val="22"/>
                    </w:rPr>
                  </m:ctrlPr>
                </m:sSupPr>
                <m:e>
                  <m:r>
                    <w:rPr>
                      <w:rFonts w:ascii="Cambria Math" w:hAnsi="Cambria Math" w:cstheme="majorBidi"/>
                      <w:sz w:val="22"/>
                      <w:szCs w:val="22"/>
                    </w:rPr>
                    <m:t>R</m:t>
                  </m:r>
                </m:e>
                <m:sup>
                  <m:r>
                    <w:rPr>
                      <w:rFonts w:ascii="Cambria Math" w:hAnsi="Cambria Math" w:cstheme="majorBidi"/>
                      <w:sz w:val="22"/>
                      <w:szCs w:val="22"/>
                    </w:rPr>
                    <m:t>2</m:t>
                  </m:r>
                </m:sup>
              </m:sSup>
            </m:oMath>
          </w:p>
        </w:tc>
        <w:tc>
          <w:tcPr>
            <w:tcW w:w="857" w:type="dxa"/>
            <w:tcBorders>
              <w:top w:val="nil"/>
              <w:left w:val="nil"/>
              <w:right w:val="nil"/>
            </w:tcBorders>
            <w:shd w:val="clear" w:color="auto" w:fill="auto"/>
            <w:noWrap/>
            <w:vAlign w:val="bottom"/>
            <w:hideMark/>
          </w:tcPr>
          <w:p w14:paraId="34E1A1A9" w14:textId="77777777" w:rsidR="007613CB" w:rsidRPr="00156A12" w:rsidRDefault="007613CB" w:rsidP="00203047">
            <w:pPr>
              <w:ind w:right="-96"/>
              <w:rPr>
                <w:rFonts w:cstheme="majorBidi"/>
                <w:sz w:val="22"/>
                <w:szCs w:val="22"/>
              </w:rPr>
            </w:pPr>
            <w:r w:rsidRPr="00156A12">
              <w:rPr>
                <w:rFonts w:cstheme="majorBidi"/>
                <w:sz w:val="22"/>
                <w:szCs w:val="22"/>
              </w:rPr>
              <w:t>0.196</w:t>
            </w:r>
          </w:p>
        </w:tc>
        <w:tc>
          <w:tcPr>
            <w:tcW w:w="981" w:type="dxa"/>
            <w:tcBorders>
              <w:top w:val="nil"/>
              <w:left w:val="nil"/>
              <w:right w:val="nil"/>
            </w:tcBorders>
            <w:shd w:val="clear" w:color="auto" w:fill="auto"/>
            <w:noWrap/>
            <w:vAlign w:val="bottom"/>
            <w:hideMark/>
          </w:tcPr>
          <w:p w14:paraId="4F0399C0" w14:textId="77777777" w:rsidR="007613CB" w:rsidRPr="00156A12" w:rsidRDefault="007613CB" w:rsidP="00203047">
            <w:pPr>
              <w:rPr>
                <w:rFonts w:cstheme="majorBidi"/>
                <w:sz w:val="22"/>
                <w:szCs w:val="22"/>
              </w:rPr>
            </w:pPr>
            <w:r w:rsidRPr="00156A12">
              <w:rPr>
                <w:rFonts w:cstheme="majorBidi"/>
                <w:sz w:val="22"/>
                <w:szCs w:val="22"/>
              </w:rPr>
              <w:t>0.196</w:t>
            </w:r>
          </w:p>
        </w:tc>
        <w:tc>
          <w:tcPr>
            <w:tcW w:w="862" w:type="dxa"/>
            <w:gridSpan w:val="2"/>
            <w:tcBorders>
              <w:top w:val="nil"/>
              <w:left w:val="nil"/>
              <w:right w:val="single" w:sz="4" w:space="0" w:color="auto"/>
            </w:tcBorders>
            <w:shd w:val="clear" w:color="auto" w:fill="auto"/>
            <w:noWrap/>
            <w:vAlign w:val="bottom"/>
            <w:hideMark/>
          </w:tcPr>
          <w:p w14:paraId="582E2DEB" w14:textId="77777777" w:rsidR="007613CB" w:rsidRPr="00156A12" w:rsidRDefault="007613CB" w:rsidP="00203047">
            <w:pPr>
              <w:rPr>
                <w:rFonts w:cstheme="majorBidi"/>
                <w:sz w:val="22"/>
                <w:szCs w:val="22"/>
              </w:rPr>
            </w:pPr>
            <w:r w:rsidRPr="00156A12">
              <w:rPr>
                <w:rFonts w:cstheme="majorBidi"/>
                <w:sz w:val="22"/>
                <w:szCs w:val="22"/>
              </w:rPr>
              <w:t>0.196</w:t>
            </w:r>
          </w:p>
        </w:tc>
      </w:tr>
      <w:tr w:rsidR="007613CB" w:rsidRPr="00B70A71" w14:paraId="2F52CD10" w14:textId="77777777" w:rsidTr="00203047">
        <w:trPr>
          <w:trHeight w:val="255"/>
        </w:trPr>
        <w:tc>
          <w:tcPr>
            <w:tcW w:w="3402" w:type="dxa"/>
            <w:tcBorders>
              <w:top w:val="nil"/>
              <w:left w:val="single" w:sz="4" w:space="0" w:color="auto"/>
              <w:bottom w:val="single" w:sz="4" w:space="0" w:color="auto"/>
              <w:right w:val="nil"/>
            </w:tcBorders>
            <w:shd w:val="clear" w:color="auto" w:fill="auto"/>
            <w:noWrap/>
            <w:hideMark/>
          </w:tcPr>
          <w:p w14:paraId="081D822B" w14:textId="77777777" w:rsidR="007613CB" w:rsidRPr="00156A12" w:rsidRDefault="007613CB" w:rsidP="00203047">
            <w:pPr>
              <w:rPr>
                <w:rFonts w:cstheme="majorBidi"/>
                <w:sz w:val="22"/>
                <w:szCs w:val="22"/>
              </w:rPr>
            </w:pPr>
            <w:r w:rsidRPr="00156A12">
              <w:rPr>
                <w:rFonts w:cstheme="majorBidi"/>
                <w:sz w:val="22"/>
                <w:szCs w:val="22"/>
              </w:rPr>
              <w:t>Controls &amp; Time FE</w:t>
            </w:r>
          </w:p>
        </w:tc>
        <w:tc>
          <w:tcPr>
            <w:tcW w:w="857" w:type="dxa"/>
            <w:tcBorders>
              <w:top w:val="nil"/>
              <w:left w:val="nil"/>
              <w:bottom w:val="single" w:sz="4" w:space="0" w:color="auto"/>
              <w:right w:val="nil"/>
            </w:tcBorders>
            <w:shd w:val="clear" w:color="auto" w:fill="auto"/>
            <w:noWrap/>
            <w:vAlign w:val="bottom"/>
            <w:hideMark/>
          </w:tcPr>
          <w:p w14:paraId="6F175880" w14:textId="77777777" w:rsidR="007613CB" w:rsidRPr="00156A12" w:rsidRDefault="007613CB" w:rsidP="00203047">
            <w:pPr>
              <w:ind w:right="-96"/>
              <w:rPr>
                <w:rFonts w:cstheme="majorBidi"/>
                <w:sz w:val="22"/>
                <w:szCs w:val="22"/>
              </w:rPr>
            </w:pPr>
            <w:r w:rsidRPr="00156A12">
              <w:rPr>
                <w:rFonts w:cstheme="majorBidi"/>
                <w:sz w:val="22"/>
                <w:szCs w:val="22"/>
              </w:rPr>
              <w:t>+</w:t>
            </w:r>
          </w:p>
        </w:tc>
        <w:tc>
          <w:tcPr>
            <w:tcW w:w="981" w:type="dxa"/>
            <w:tcBorders>
              <w:top w:val="nil"/>
              <w:left w:val="nil"/>
              <w:bottom w:val="single" w:sz="4" w:space="0" w:color="auto"/>
              <w:right w:val="nil"/>
            </w:tcBorders>
            <w:shd w:val="clear" w:color="auto" w:fill="auto"/>
            <w:noWrap/>
            <w:vAlign w:val="bottom"/>
            <w:hideMark/>
          </w:tcPr>
          <w:p w14:paraId="6DAB1F22" w14:textId="77777777" w:rsidR="007613CB" w:rsidRPr="00156A12" w:rsidRDefault="007613CB" w:rsidP="00203047">
            <w:pPr>
              <w:rPr>
                <w:rFonts w:cstheme="majorBidi"/>
                <w:sz w:val="22"/>
                <w:szCs w:val="22"/>
              </w:rPr>
            </w:pPr>
            <w:r w:rsidRPr="00156A12">
              <w:rPr>
                <w:rFonts w:cstheme="majorBidi"/>
                <w:sz w:val="22"/>
                <w:szCs w:val="22"/>
              </w:rPr>
              <w:t>+</w:t>
            </w:r>
          </w:p>
        </w:tc>
        <w:tc>
          <w:tcPr>
            <w:tcW w:w="862" w:type="dxa"/>
            <w:gridSpan w:val="2"/>
            <w:tcBorders>
              <w:top w:val="nil"/>
              <w:left w:val="nil"/>
              <w:bottom w:val="single" w:sz="4" w:space="0" w:color="auto"/>
              <w:right w:val="single" w:sz="4" w:space="0" w:color="auto"/>
            </w:tcBorders>
            <w:shd w:val="clear" w:color="auto" w:fill="auto"/>
            <w:noWrap/>
            <w:vAlign w:val="bottom"/>
            <w:hideMark/>
          </w:tcPr>
          <w:p w14:paraId="58D64646" w14:textId="77777777" w:rsidR="007613CB" w:rsidRPr="00156A12" w:rsidRDefault="007613CB" w:rsidP="00203047">
            <w:pPr>
              <w:rPr>
                <w:rFonts w:cstheme="majorBidi"/>
                <w:sz w:val="22"/>
                <w:szCs w:val="22"/>
              </w:rPr>
            </w:pPr>
            <w:r w:rsidRPr="00156A12">
              <w:rPr>
                <w:rFonts w:cstheme="majorBidi"/>
                <w:sz w:val="22"/>
                <w:szCs w:val="22"/>
              </w:rPr>
              <w:t>+</w:t>
            </w:r>
          </w:p>
        </w:tc>
      </w:tr>
      <w:tr w:rsidR="007613CB" w:rsidRPr="00B70A71" w14:paraId="6D8B65AD" w14:textId="77777777" w:rsidTr="00203047">
        <w:trPr>
          <w:gridAfter w:val="1"/>
          <w:wAfter w:w="6" w:type="dxa"/>
          <w:trHeight w:val="25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tcPr>
          <w:p w14:paraId="1691AC4B" w14:textId="77777777" w:rsidR="007613CB" w:rsidRPr="00156A12" w:rsidRDefault="007613CB" w:rsidP="00203047">
            <w:pPr>
              <w:rPr>
                <w:rFonts w:cstheme="majorBidi"/>
                <w:sz w:val="20"/>
                <w:szCs w:val="20"/>
              </w:rPr>
            </w:pPr>
            <w:r w:rsidRPr="00156A12">
              <w:rPr>
                <w:rFonts w:cstheme="majorBidi"/>
                <w:sz w:val="20"/>
                <w:szCs w:val="20"/>
              </w:rPr>
              <w:t>Robust standard errors *** p&lt;0.01, ** p&lt;0.05, * p&lt;0.1</w:t>
            </w:r>
          </w:p>
        </w:tc>
      </w:tr>
    </w:tbl>
    <w:p w14:paraId="17C8930A" w14:textId="77777777" w:rsidR="007613CB" w:rsidRDefault="007613CB" w:rsidP="007613CB">
      <w:pPr>
        <w:rPr>
          <w:rFonts w:eastAsiaTheme="minorEastAsia"/>
        </w:rPr>
      </w:pPr>
    </w:p>
    <w:p w14:paraId="04BD9D69" w14:textId="77777777" w:rsidR="007613CB" w:rsidRDefault="007613CB" w:rsidP="007613CB">
      <w:pPr>
        <w:rPr>
          <w:rFonts w:eastAsiaTheme="minorEastAsia"/>
        </w:rPr>
      </w:pPr>
      <w:r>
        <w:rPr>
          <w:rFonts w:eastAsiaTheme="minorEastAsia"/>
        </w:rPr>
        <w:t>The results we obtained show that when annual inflation is above 3 percent, an unexpected increase in the CPI for the current month, which we assume reflects an increase in prices in the second half of the month, leads to a positive and statistically significant increase in one-year expectations.  A monthly price increase of 0.1 percentage points leads to an increase of about half a percentage point in one-year expectations, meaning that it reflects expectations of further price increases in the coming months (Column 1 in Table 1).  In contrast, the effect of publishing the previous month’s CPI is not significant.</w:t>
      </w:r>
      <w:r>
        <w:rPr>
          <w:rFonts w:eastAsiaTheme="minorEastAsia" w:hint="cs"/>
          <w:rtl/>
        </w:rPr>
        <w:t xml:space="preserve">  </w:t>
      </w:r>
      <w:r>
        <w:rPr>
          <w:rFonts w:eastAsiaTheme="minorEastAsia"/>
        </w:rPr>
        <w:t xml:space="preserve">  The results remain similar when the two effects are examined separately (Columns 2 and 3 in Table 1).</w:t>
      </w:r>
    </w:p>
    <w:p w14:paraId="794C7026" w14:textId="77777777" w:rsidR="007613CB" w:rsidRDefault="007613CB" w:rsidP="007613CB">
      <w:pPr>
        <w:rPr>
          <w:rFonts w:eastAsiaTheme="minorEastAsia"/>
        </w:rPr>
      </w:pPr>
    </w:p>
    <w:p w14:paraId="04776C0D" w14:textId="77777777" w:rsidR="007613CB" w:rsidRDefault="007613CB" w:rsidP="007613CB">
      <w:pPr>
        <w:rPr>
          <w:rFonts w:eastAsiaTheme="minorEastAsia"/>
        </w:rPr>
      </w:pPr>
      <w:r>
        <w:rPr>
          <w:rFonts w:eastAsiaTheme="minorEastAsia"/>
        </w:rPr>
        <w:t xml:space="preserve">In conclusion, the results show that in Israel, individuals are attentive to inflation when it exceeds the upper bound of the target range, similar to the findings in other countries.  We find that in the past two years, during which inflation exceeded the upper bound, the development of prices during the month influenced households’ inflation expectations.  An increase in prices led to an increase in </w:t>
      </w:r>
      <w:r>
        <w:rPr>
          <w:rFonts w:eastAsiaTheme="minorEastAsia"/>
        </w:rPr>
        <w:lastRenderedPageBreak/>
        <w:t>expectations, and vice-versa.  In a situation of low inflation, we did not find such a correlation.  The continuation of these processes may lead to actual inflation being taken into account in economic decisions, due to which price changes—even those of a temporary nature—may lead to feedback and to an acceleration of inflationary processes.</w:t>
      </w:r>
    </w:p>
    <w:p w14:paraId="7478E724" w14:textId="77777777" w:rsidR="007613CB" w:rsidRDefault="007613CB" w:rsidP="007613CB">
      <w:pPr>
        <w:rPr>
          <w:rFonts w:eastAsiaTheme="minorEastAsia"/>
        </w:rPr>
      </w:pPr>
    </w:p>
    <w:p w14:paraId="5D4847AA" w14:textId="77777777" w:rsidR="007613CB" w:rsidRDefault="007613CB" w:rsidP="007613CB">
      <w:pPr>
        <w:rPr>
          <w:rFonts w:eastAsiaTheme="minorEastAsia"/>
        </w:rPr>
      </w:pPr>
    </w:p>
    <w:p w14:paraId="38F21AB4" w14:textId="2AE09324" w:rsidR="007613CB" w:rsidRPr="007613CB" w:rsidRDefault="007613CB" w:rsidP="007613CB">
      <w:pPr>
        <w:rPr>
          <w:rFonts w:eastAsiaTheme="minorEastAsia"/>
          <w:b/>
          <w:bCs/>
        </w:rPr>
      </w:pPr>
      <w:r w:rsidRPr="007613CB">
        <w:rPr>
          <w:rFonts w:eastAsiaTheme="minorEastAsia"/>
          <w:b/>
          <w:bCs/>
        </w:rPr>
        <w:t>References</w:t>
      </w:r>
    </w:p>
    <w:p w14:paraId="3AF72BFB" w14:textId="77777777" w:rsidR="007613CB" w:rsidRDefault="007613CB" w:rsidP="007613CB">
      <w:pPr>
        <w:rPr>
          <w:rFonts w:eastAsiaTheme="minorEastAsia"/>
        </w:rPr>
      </w:pPr>
    </w:p>
    <w:p w14:paraId="375F05B0" w14:textId="77777777" w:rsidR="007613CB" w:rsidRPr="005C5461" w:rsidRDefault="007613CB" w:rsidP="007613CB">
      <w:pPr>
        <w:spacing w:after="120"/>
        <w:ind w:left="284" w:hanging="284"/>
        <w:rPr>
          <w:rFonts w:cstheme="majorBidi"/>
        </w:rPr>
      </w:pPr>
      <w:r w:rsidRPr="005C5461">
        <w:rPr>
          <w:rFonts w:cstheme="majorBidi"/>
        </w:rPr>
        <w:t xml:space="preserve">Bracha, Anat, and Jenny Tang </w:t>
      </w:r>
      <w:r w:rsidRPr="005C5461">
        <w:rPr>
          <w:rFonts w:cstheme="majorBidi"/>
          <w:rtl/>
        </w:rPr>
        <w:t>)</w:t>
      </w:r>
      <w:r w:rsidRPr="005C5461">
        <w:rPr>
          <w:rFonts w:cstheme="majorBidi"/>
        </w:rPr>
        <w:t>2019</w:t>
      </w:r>
      <w:r w:rsidRPr="005C5461">
        <w:rPr>
          <w:rFonts w:cstheme="majorBidi"/>
          <w:rtl/>
        </w:rPr>
        <w:t>(</w:t>
      </w:r>
      <w:r w:rsidRPr="005C5461">
        <w:rPr>
          <w:rFonts w:cstheme="majorBidi"/>
        </w:rPr>
        <w:t>. “Inflation Levels and (In)Attention”, Federal Reserve Bank of Boston Working Paper</w:t>
      </w:r>
      <w:r w:rsidRPr="005C5461">
        <w:rPr>
          <w:rFonts w:cstheme="majorBidi"/>
          <w:i/>
          <w:iCs/>
        </w:rPr>
        <w:t xml:space="preserve"> </w:t>
      </w:r>
      <w:r w:rsidRPr="005C5461">
        <w:rPr>
          <w:rFonts w:cstheme="majorBidi"/>
        </w:rPr>
        <w:t>2019</w:t>
      </w:r>
      <w:r>
        <w:rPr>
          <w:rFonts w:cstheme="majorBidi"/>
        </w:rPr>
        <w:t>–14</w:t>
      </w:r>
      <w:r w:rsidRPr="005C5461">
        <w:rPr>
          <w:rFonts w:cstheme="majorBidi"/>
        </w:rPr>
        <w:t>.</w:t>
      </w:r>
    </w:p>
    <w:p w14:paraId="536A120B" w14:textId="77777777" w:rsidR="007613CB" w:rsidRPr="005C5461" w:rsidRDefault="007613CB" w:rsidP="007613CB">
      <w:pPr>
        <w:spacing w:after="120"/>
        <w:ind w:left="284" w:hanging="284"/>
        <w:rPr>
          <w:rFonts w:cstheme="majorBidi"/>
        </w:rPr>
      </w:pPr>
      <w:r w:rsidRPr="005C5461">
        <w:rPr>
          <w:rFonts w:cstheme="majorBidi"/>
        </w:rPr>
        <w:t>Candia, Bernardo, Olivier Coibion</w:t>
      </w:r>
      <w:r>
        <w:rPr>
          <w:rFonts w:cstheme="majorBidi"/>
        </w:rPr>
        <w:t>,</w:t>
      </w:r>
      <w:r w:rsidRPr="005C5461">
        <w:rPr>
          <w:rFonts w:cstheme="majorBidi"/>
        </w:rPr>
        <w:t xml:space="preserve"> and Yuriy Gorodnichenko (2023). “The </w:t>
      </w:r>
      <w:r>
        <w:rPr>
          <w:rFonts w:cstheme="majorBidi"/>
        </w:rPr>
        <w:t>M</w:t>
      </w:r>
      <w:r w:rsidRPr="005C5461">
        <w:rPr>
          <w:rFonts w:cstheme="majorBidi"/>
        </w:rPr>
        <w:t>acroeconomic</w:t>
      </w:r>
      <w:r w:rsidRPr="005C5461">
        <w:rPr>
          <w:rFonts w:cstheme="majorBidi"/>
          <w:i/>
          <w:iCs/>
        </w:rPr>
        <w:t xml:space="preserve"> </w:t>
      </w:r>
      <w:r w:rsidRPr="005C5461">
        <w:rPr>
          <w:rFonts w:cstheme="majorBidi"/>
        </w:rPr>
        <w:t xml:space="preserve">Expectations of </w:t>
      </w:r>
      <w:r>
        <w:rPr>
          <w:rFonts w:cstheme="majorBidi"/>
        </w:rPr>
        <w:t>F</w:t>
      </w:r>
      <w:r w:rsidRPr="005C5461">
        <w:rPr>
          <w:rFonts w:cstheme="majorBidi"/>
        </w:rPr>
        <w:t xml:space="preserve">irms”, </w:t>
      </w:r>
      <w:r>
        <w:rPr>
          <w:rFonts w:cstheme="majorBidi"/>
        </w:rPr>
        <w:t xml:space="preserve">in </w:t>
      </w:r>
      <w:r w:rsidRPr="005C5461">
        <w:rPr>
          <w:rFonts w:cstheme="majorBidi"/>
          <w:i/>
          <w:iCs/>
        </w:rPr>
        <w:t>Handbook of Economic Expectations. Academic Press</w:t>
      </w:r>
      <w:r w:rsidRPr="005C5461">
        <w:rPr>
          <w:rFonts w:cstheme="majorBidi"/>
        </w:rPr>
        <w:t>. 321–353.</w:t>
      </w:r>
    </w:p>
    <w:p w14:paraId="2743196C" w14:textId="77777777" w:rsidR="007613CB" w:rsidRPr="005C5461" w:rsidRDefault="007613CB" w:rsidP="007613CB">
      <w:pPr>
        <w:spacing w:after="120"/>
        <w:ind w:left="284" w:hanging="284"/>
        <w:rPr>
          <w:rFonts w:cstheme="majorBidi"/>
        </w:rPr>
      </w:pPr>
      <w:r w:rsidRPr="005C5461">
        <w:rPr>
          <w:rFonts w:cstheme="majorBidi"/>
        </w:rPr>
        <w:t>Cavallo, Alberto, Guillermo Cruces</w:t>
      </w:r>
      <w:r>
        <w:rPr>
          <w:rFonts w:cstheme="majorBidi"/>
        </w:rPr>
        <w:t>,</w:t>
      </w:r>
      <w:r w:rsidRPr="005C5461">
        <w:rPr>
          <w:rFonts w:cstheme="majorBidi"/>
        </w:rPr>
        <w:t xml:space="preserve"> and Ricardo Perez-Truglia (2017). “Inflation Expectations</w:t>
      </w:r>
      <w:r w:rsidRPr="005C5461">
        <w:rPr>
          <w:rFonts w:cstheme="majorBidi"/>
          <w:i/>
          <w:iCs/>
        </w:rPr>
        <w:t xml:space="preserve">, </w:t>
      </w:r>
      <w:r w:rsidRPr="005C5461">
        <w:rPr>
          <w:rFonts w:cstheme="majorBidi"/>
        </w:rPr>
        <w:t>Learning, and Supermarket Prices: Evidence from Survey Experiments”,</w:t>
      </w:r>
      <w:r w:rsidRPr="005C5461">
        <w:rPr>
          <w:rFonts w:cstheme="majorBidi"/>
          <w:i/>
          <w:iCs/>
        </w:rPr>
        <w:t xml:space="preserve"> American Economic Journal: Macroeconomics,</w:t>
      </w:r>
      <w:r w:rsidRPr="005C5461">
        <w:rPr>
          <w:rFonts w:cstheme="majorBidi"/>
        </w:rPr>
        <w:t xml:space="preserve"> 9(3): 1–35</w:t>
      </w:r>
      <w:r w:rsidRPr="005C5461">
        <w:rPr>
          <w:rFonts w:cstheme="majorBidi"/>
          <w:rtl/>
        </w:rPr>
        <w:t>.</w:t>
      </w:r>
    </w:p>
    <w:p w14:paraId="54330D83" w14:textId="77777777" w:rsidR="007613CB" w:rsidRPr="005C5461" w:rsidRDefault="007613CB" w:rsidP="007613CB">
      <w:pPr>
        <w:spacing w:after="120"/>
        <w:ind w:left="284" w:hanging="284"/>
        <w:rPr>
          <w:rFonts w:cstheme="majorBidi"/>
        </w:rPr>
      </w:pPr>
      <w:r w:rsidRPr="005C5461">
        <w:rPr>
          <w:rFonts w:cstheme="majorBidi"/>
        </w:rPr>
        <w:t xml:space="preserve">Gorodnichenko, Yuriy, Ari Kutai, and Rafi Melnick (2023). </w:t>
      </w:r>
      <w:r>
        <w:rPr>
          <w:rFonts w:cstheme="majorBidi"/>
        </w:rPr>
        <w:t>“</w:t>
      </w:r>
      <w:r w:rsidRPr="005C5461">
        <w:rPr>
          <w:rFonts w:cstheme="majorBidi"/>
        </w:rPr>
        <w:t>Information and the Formation of Inflation Expectations by Firms: Evidence from a Survey of Israeli Firms</w:t>
      </w:r>
      <w:r>
        <w:rPr>
          <w:rFonts w:cstheme="majorBidi"/>
        </w:rPr>
        <w:t>”,</w:t>
      </w:r>
      <w:r w:rsidRPr="005C5461">
        <w:rPr>
          <w:rFonts w:cstheme="majorBidi"/>
        </w:rPr>
        <w:t xml:space="preserve"> </w:t>
      </w:r>
      <w:r>
        <w:rPr>
          <w:rFonts w:cstheme="majorBidi"/>
        </w:rPr>
        <w:t xml:space="preserve">NBER Working Paper </w:t>
      </w:r>
      <w:r w:rsidRPr="005C5461">
        <w:rPr>
          <w:rFonts w:cstheme="majorBidi"/>
        </w:rPr>
        <w:t>No. w31507</w:t>
      </w:r>
      <w:r>
        <w:rPr>
          <w:rFonts w:cstheme="majorBidi"/>
        </w:rPr>
        <w:t>,</w:t>
      </w:r>
      <w:r w:rsidRPr="005C5461">
        <w:rPr>
          <w:rFonts w:cstheme="majorBidi"/>
        </w:rPr>
        <w:t xml:space="preserve"> National Bureau of Economic Research</w:t>
      </w:r>
      <w:r>
        <w:rPr>
          <w:rFonts w:cstheme="majorBidi"/>
        </w:rPr>
        <w:t>.</w:t>
      </w:r>
    </w:p>
    <w:p w14:paraId="459A4D28" w14:textId="77777777" w:rsidR="007613CB" w:rsidRPr="005C5461" w:rsidRDefault="007613CB" w:rsidP="007613CB">
      <w:pPr>
        <w:spacing w:after="120"/>
        <w:ind w:left="284" w:hanging="284"/>
        <w:rPr>
          <w:rFonts w:cstheme="majorBidi"/>
        </w:rPr>
      </w:pPr>
      <w:r w:rsidRPr="005C5461">
        <w:rPr>
          <w:rFonts w:cstheme="majorBidi"/>
        </w:rPr>
        <w:t xml:space="preserve">Gürkaynak, Refet S., </w:t>
      </w:r>
      <w:r>
        <w:rPr>
          <w:rFonts w:cstheme="majorBidi"/>
        </w:rPr>
        <w:t>Brian Sack, and Eric Swanson</w:t>
      </w:r>
      <w:r w:rsidRPr="005C5461">
        <w:rPr>
          <w:rFonts w:cstheme="majorBidi"/>
        </w:rPr>
        <w:t xml:space="preserve"> (2005). “The Sensitivity of Long-Term Interest Rates to Economic News: Evidence and Implications for Macroeconomic Models</w:t>
      </w:r>
      <w:r>
        <w:rPr>
          <w:rFonts w:cstheme="majorBidi"/>
        </w:rPr>
        <w:t>”</w:t>
      </w:r>
      <w:r w:rsidRPr="005C5461">
        <w:rPr>
          <w:rFonts w:cstheme="majorBidi"/>
        </w:rPr>
        <w:t xml:space="preserve">, </w:t>
      </w:r>
      <w:r w:rsidRPr="005C5461">
        <w:rPr>
          <w:rFonts w:cstheme="majorBidi"/>
          <w:i/>
          <w:iCs/>
        </w:rPr>
        <w:t>The American Economic Review</w:t>
      </w:r>
      <w:r w:rsidRPr="005C5461">
        <w:rPr>
          <w:rFonts w:cstheme="majorBidi"/>
        </w:rPr>
        <w:t>,</w:t>
      </w:r>
      <w:r>
        <w:rPr>
          <w:rFonts w:cstheme="majorBidi"/>
        </w:rPr>
        <w:t xml:space="preserve"> </w:t>
      </w:r>
      <w:r w:rsidRPr="005C5461">
        <w:rPr>
          <w:rFonts w:cstheme="majorBidi"/>
        </w:rPr>
        <w:t>95</w:t>
      </w:r>
      <w:r>
        <w:rPr>
          <w:rFonts w:cstheme="majorBidi"/>
        </w:rPr>
        <w:t>(</w:t>
      </w:r>
      <w:r w:rsidRPr="005C5461">
        <w:rPr>
          <w:rFonts w:cstheme="majorBidi"/>
        </w:rPr>
        <w:t>1</w:t>
      </w:r>
      <w:r>
        <w:rPr>
          <w:rFonts w:cstheme="majorBidi"/>
        </w:rPr>
        <w:t>):</w:t>
      </w:r>
      <w:r w:rsidRPr="005C5461">
        <w:rPr>
          <w:rFonts w:cstheme="majorBidi"/>
        </w:rPr>
        <w:t xml:space="preserve"> 425–436.</w:t>
      </w:r>
    </w:p>
    <w:p w14:paraId="4B8EC6F4" w14:textId="77777777" w:rsidR="007613CB" w:rsidRPr="005C5461" w:rsidRDefault="007613CB" w:rsidP="007613CB">
      <w:pPr>
        <w:spacing w:after="120"/>
        <w:ind w:left="284" w:hanging="284"/>
        <w:rPr>
          <w:rFonts w:cstheme="majorBidi"/>
        </w:rPr>
      </w:pPr>
      <w:r w:rsidRPr="005C5461">
        <w:rPr>
          <w:rFonts w:cstheme="majorBidi"/>
        </w:rPr>
        <w:t>Korenok, Oleg, David Munro</w:t>
      </w:r>
      <w:r>
        <w:rPr>
          <w:rFonts w:cstheme="majorBidi"/>
        </w:rPr>
        <w:t>,</w:t>
      </w:r>
      <w:r w:rsidRPr="005C5461">
        <w:rPr>
          <w:rFonts w:cstheme="majorBidi"/>
        </w:rPr>
        <w:t xml:space="preserve"> and Jiayi Chen (2023). “Inflation and Attention Thresholds”,</w:t>
      </w:r>
      <w:r w:rsidRPr="005C5461">
        <w:rPr>
          <w:rFonts w:cstheme="majorBidi"/>
          <w:i/>
          <w:iCs/>
        </w:rPr>
        <w:t xml:space="preserve"> Review of Economics and Statistics </w:t>
      </w:r>
      <w:r w:rsidRPr="005C5461">
        <w:rPr>
          <w:rFonts w:cstheme="majorBidi"/>
        </w:rPr>
        <w:t>(2023): 1</w:t>
      </w:r>
      <w:r>
        <w:rPr>
          <w:rFonts w:cstheme="majorBidi"/>
        </w:rPr>
        <w:t>–</w:t>
      </w:r>
      <w:r w:rsidRPr="005C5461">
        <w:rPr>
          <w:rFonts w:cstheme="majorBidi"/>
        </w:rPr>
        <w:t>28.</w:t>
      </w:r>
    </w:p>
    <w:p w14:paraId="3F736D29" w14:textId="77777777" w:rsidR="007613CB" w:rsidRPr="005C5461" w:rsidRDefault="007613CB" w:rsidP="007613CB">
      <w:pPr>
        <w:spacing w:after="120"/>
        <w:ind w:left="284" w:hanging="284"/>
        <w:rPr>
          <w:rFonts w:cstheme="majorBidi"/>
        </w:rPr>
      </w:pPr>
      <w:r w:rsidRPr="005C5461">
        <w:rPr>
          <w:rFonts w:cstheme="majorBidi"/>
        </w:rPr>
        <w:t>Mackowiak, Bartosz and Mirko Wiederholt (2009). “Optimal Sticky Prices under Rational</w:t>
      </w:r>
      <w:r w:rsidRPr="005C5461">
        <w:rPr>
          <w:rFonts w:cstheme="majorBidi"/>
          <w:i/>
          <w:iCs/>
        </w:rPr>
        <w:t xml:space="preserve"> </w:t>
      </w:r>
      <w:r w:rsidRPr="005C5461">
        <w:rPr>
          <w:rFonts w:cstheme="majorBidi"/>
        </w:rPr>
        <w:t>Inattention</w:t>
      </w:r>
      <w:r w:rsidRPr="005C5461">
        <w:rPr>
          <w:rFonts w:cstheme="majorBidi"/>
          <w:i/>
          <w:iCs/>
        </w:rPr>
        <w:t>”, American Economic Review</w:t>
      </w:r>
      <w:r w:rsidRPr="005C5461">
        <w:rPr>
          <w:rFonts w:cstheme="majorBidi"/>
        </w:rPr>
        <w:t xml:space="preserve"> 99(3): 769–803.</w:t>
      </w:r>
    </w:p>
    <w:p w14:paraId="4A2F94A9" w14:textId="77777777" w:rsidR="007613CB" w:rsidRPr="005C5461" w:rsidRDefault="007613CB" w:rsidP="007613CB">
      <w:pPr>
        <w:spacing w:after="120"/>
        <w:ind w:left="284" w:hanging="284"/>
        <w:rPr>
          <w:rFonts w:cstheme="majorBidi"/>
        </w:rPr>
      </w:pPr>
      <w:r w:rsidRPr="005C5461">
        <w:rPr>
          <w:rFonts w:cstheme="majorBidi"/>
        </w:rPr>
        <w:t xml:space="preserve">Pfauti, Oliver (2023). </w:t>
      </w:r>
      <w:r>
        <w:rPr>
          <w:rFonts w:cstheme="majorBidi"/>
        </w:rPr>
        <w:t>“</w:t>
      </w:r>
      <w:r w:rsidRPr="005C5461">
        <w:rPr>
          <w:rFonts w:cstheme="majorBidi"/>
        </w:rPr>
        <w:t>Inflation – Who Cares? Monetary Policy in Times of Low Attention</w:t>
      </w:r>
      <w:r>
        <w:rPr>
          <w:rFonts w:cstheme="majorBidi"/>
        </w:rPr>
        <w:t>”</w:t>
      </w:r>
      <w:r w:rsidRPr="005C5461">
        <w:rPr>
          <w:rFonts w:cstheme="majorBidi"/>
        </w:rPr>
        <w:t>, Manuscript</w:t>
      </w:r>
      <w:r w:rsidRPr="005C5461">
        <w:rPr>
          <w:rFonts w:cstheme="majorBidi"/>
          <w:rtl/>
        </w:rPr>
        <w:t>.</w:t>
      </w:r>
    </w:p>
    <w:p w14:paraId="1E66FE46" w14:textId="77777777" w:rsidR="007613CB" w:rsidRPr="005C5461" w:rsidRDefault="007613CB" w:rsidP="007613CB">
      <w:pPr>
        <w:spacing w:after="120"/>
        <w:ind w:left="284" w:hanging="284"/>
        <w:rPr>
          <w:rFonts w:cstheme="majorBidi"/>
        </w:rPr>
      </w:pPr>
      <w:r w:rsidRPr="005C5461">
        <w:rPr>
          <w:rFonts w:cstheme="majorBidi"/>
        </w:rPr>
        <w:t xml:space="preserve">Sims, Christopher A. (2003). “Implications of Rational Inattention” </w:t>
      </w:r>
      <w:r w:rsidRPr="005C5461">
        <w:rPr>
          <w:rFonts w:cstheme="majorBidi"/>
          <w:i/>
          <w:iCs/>
        </w:rPr>
        <w:t>Journal of Monetary Economics</w:t>
      </w:r>
      <w:r w:rsidRPr="005C5461">
        <w:rPr>
          <w:rFonts w:cstheme="majorBidi"/>
        </w:rPr>
        <w:t>, 50(3): 665</w:t>
      </w:r>
      <w:r>
        <w:rPr>
          <w:rFonts w:cstheme="majorBidi"/>
        </w:rPr>
        <w:t>–</w:t>
      </w:r>
      <w:r w:rsidRPr="005C5461">
        <w:rPr>
          <w:rFonts w:cstheme="majorBidi"/>
        </w:rPr>
        <w:t>690</w:t>
      </w:r>
      <w:r w:rsidRPr="005C5461">
        <w:rPr>
          <w:rFonts w:cstheme="majorBidi"/>
          <w:rtl/>
        </w:rPr>
        <w:t>.</w:t>
      </w:r>
    </w:p>
    <w:p w14:paraId="703585F7" w14:textId="77777777" w:rsidR="007613CB" w:rsidRPr="005C5461" w:rsidRDefault="007613CB" w:rsidP="007613CB">
      <w:pPr>
        <w:spacing w:after="120"/>
        <w:ind w:left="284" w:hanging="284"/>
        <w:rPr>
          <w:rFonts w:cstheme="majorBidi"/>
        </w:rPr>
      </w:pPr>
      <w:r w:rsidRPr="005C5461">
        <w:rPr>
          <w:rFonts w:cstheme="majorBidi"/>
        </w:rPr>
        <w:t>Sims, Christopher A. (2010). “Rational Inattention and Monetary Economics”</w:t>
      </w:r>
      <w:r>
        <w:rPr>
          <w:rFonts w:cstheme="majorBidi"/>
        </w:rPr>
        <w:t>,</w:t>
      </w:r>
      <w:r w:rsidRPr="005C5461">
        <w:rPr>
          <w:rFonts w:cstheme="majorBidi"/>
        </w:rPr>
        <w:t xml:space="preserve"> in B. M. Friedman and M. Woodford</w:t>
      </w:r>
      <w:r>
        <w:rPr>
          <w:rFonts w:cstheme="majorBidi"/>
        </w:rPr>
        <w:t xml:space="preserve"> (eds.)</w:t>
      </w:r>
      <w:r w:rsidRPr="005C5461">
        <w:rPr>
          <w:rFonts w:cstheme="majorBidi"/>
          <w:i/>
          <w:iCs/>
        </w:rPr>
        <w:t xml:space="preserve"> Handbook of</w:t>
      </w:r>
      <w:r w:rsidRPr="005C5461">
        <w:rPr>
          <w:rFonts w:cstheme="majorBidi"/>
        </w:rPr>
        <w:t xml:space="preserve"> </w:t>
      </w:r>
      <w:r w:rsidRPr="005C5461">
        <w:rPr>
          <w:rFonts w:cstheme="majorBidi"/>
          <w:i/>
          <w:iCs/>
        </w:rPr>
        <w:t>Monetary Economics</w:t>
      </w:r>
      <w:r w:rsidRPr="005C5461">
        <w:rPr>
          <w:rFonts w:cstheme="majorBidi"/>
        </w:rPr>
        <w:t>, Amsterdam: Elsevier, vol. 3</w:t>
      </w:r>
      <w:r w:rsidRPr="005C5461">
        <w:rPr>
          <w:rFonts w:cstheme="majorBidi"/>
          <w:rtl/>
        </w:rPr>
        <w:t>.</w:t>
      </w:r>
    </w:p>
    <w:p w14:paraId="506139F5" w14:textId="77777777" w:rsidR="007613CB" w:rsidRPr="005C5461" w:rsidRDefault="007613CB" w:rsidP="007613CB">
      <w:pPr>
        <w:spacing w:after="120"/>
        <w:ind w:left="284" w:hanging="284"/>
        <w:rPr>
          <w:rFonts w:cstheme="majorBidi"/>
        </w:rPr>
      </w:pPr>
      <w:r w:rsidRPr="005C5461">
        <w:rPr>
          <w:rFonts w:cstheme="majorBidi"/>
        </w:rPr>
        <w:t>Weber, M., B. Candia, T. Ropele, R. Lluberas, S. Frache, B.</w:t>
      </w:r>
      <w:r>
        <w:rPr>
          <w:rFonts w:cstheme="majorBidi"/>
        </w:rPr>
        <w:t xml:space="preserve"> </w:t>
      </w:r>
      <w:r w:rsidRPr="005C5461">
        <w:rPr>
          <w:rFonts w:cstheme="majorBidi"/>
        </w:rPr>
        <w:t>H. Meyer, S. Kumar, Y. Gorodnichenko,  D. Georgarakos, O. Coibion</w:t>
      </w:r>
      <w:r>
        <w:rPr>
          <w:rFonts w:cstheme="majorBidi"/>
        </w:rPr>
        <w:t>,</w:t>
      </w:r>
      <w:r w:rsidRPr="005C5461">
        <w:rPr>
          <w:rFonts w:cstheme="majorBidi"/>
        </w:rPr>
        <w:t xml:space="preserve"> and G. Kenny (2023). </w:t>
      </w:r>
      <w:r>
        <w:rPr>
          <w:rFonts w:cstheme="majorBidi"/>
        </w:rPr>
        <w:t>“</w:t>
      </w:r>
      <w:r w:rsidRPr="005C5461">
        <w:rPr>
          <w:rFonts w:cstheme="majorBidi"/>
        </w:rPr>
        <w:t xml:space="preserve">Tell </w:t>
      </w:r>
      <w:r>
        <w:rPr>
          <w:rFonts w:cstheme="majorBidi"/>
        </w:rPr>
        <w:t>M</w:t>
      </w:r>
      <w:r w:rsidRPr="005C5461">
        <w:rPr>
          <w:rFonts w:cstheme="majorBidi"/>
        </w:rPr>
        <w:t xml:space="preserve">e </w:t>
      </w:r>
      <w:r>
        <w:rPr>
          <w:rFonts w:cstheme="majorBidi"/>
        </w:rPr>
        <w:t>S</w:t>
      </w:r>
      <w:r w:rsidRPr="005C5461">
        <w:rPr>
          <w:rFonts w:cstheme="majorBidi"/>
        </w:rPr>
        <w:t xml:space="preserve">omething </w:t>
      </w:r>
      <w:r>
        <w:rPr>
          <w:rFonts w:cstheme="majorBidi"/>
        </w:rPr>
        <w:t>I</w:t>
      </w:r>
      <w:r w:rsidRPr="005C5461">
        <w:rPr>
          <w:rFonts w:cstheme="majorBidi"/>
        </w:rPr>
        <w:t xml:space="preserve"> </w:t>
      </w:r>
      <w:r>
        <w:rPr>
          <w:rFonts w:cstheme="majorBidi"/>
        </w:rPr>
        <w:t>D</w:t>
      </w:r>
      <w:r w:rsidRPr="005C5461">
        <w:rPr>
          <w:rFonts w:cstheme="majorBidi"/>
        </w:rPr>
        <w:t xml:space="preserve">on’t </w:t>
      </w:r>
      <w:r>
        <w:rPr>
          <w:rFonts w:cstheme="majorBidi"/>
        </w:rPr>
        <w:t>A</w:t>
      </w:r>
      <w:r w:rsidRPr="005C5461">
        <w:rPr>
          <w:rFonts w:cstheme="majorBidi"/>
        </w:rPr>
        <w:t xml:space="preserve">lready </w:t>
      </w:r>
      <w:r>
        <w:rPr>
          <w:rFonts w:cstheme="majorBidi"/>
        </w:rPr>
        <w:t>K</w:t>
      </w:r>
      <w:r w:rsidRPr="005C5461">
        <w:rPr>
          <w:rFonts w:cstheme="majorBidi"/>
        </w:rPr>
        <w:t xml:space="preserve">now: Learning in </w:t>
      </w:r>
      <w:r>
        <w:rPr>
          <w:rFonts w:cstheme="majorBidi"/>
        </w:rPr>
        <w:t>L</w:t>
      </w:r>
      <w:r w:rsidRPr="005C5461">
        <w:rPr>
          <w:rFonts w:cstheme="majorBidi"/>
        </w:rPr>
        <w:t xml:space="preserve">ow and </w:t>
      </w:r>
      <w:r>
        <w:rPr>
          <w:rFonts w:cstheme="majorBidi"/>
        </w:rPr>
        <w:t>H</w:t>
      </w:r>
      <w:r w:rsidRPr="005C5461">
        <w:rPr>
          <w:rFonts w:cstheme="majorBidi"/>
        </w:rPr>
        <w:t>igh-</w:t>
      </w:r>
      <w:r>
        <w:rPr>
          <w:rFonts w:cstheme="majorBidi"/>
        </w:rPr>
        <w:t>I</w:t>
      </w:r>
      <w:r w:rsidRPr="005C5461">
        <w:rPr>
          <w:rFonts w:cstheme="majorBidi"/>
        </w:rPr>
        <w:t xml:space="preserve">nflation </w:t>
      </w:r>
      <w:r>
        <w:rPr>
          <w:rFonts w:cstheme="majorBidi"/>
        </w:rPr>
        <w:t>S</w:t>
      </w:r>
      <w:r w:rsidRPr="005C5461">
        <w:rPr>
          <w:rFonts w:cstheme="majorBidi"/>
        </w:rPr>
        <w:t>ettings</w:t>
      </w:r>
      <w:r>
        <w:rPr>
          <w:rFonts w:cstheme="majorBidi"/>
        </w:rPr>
        <w:t>”</w:t>
      </w:r>
      <w:r w:rsidRPr="005C5461">
        <w:rPr>
          <w:rFonts w:cstheme="majorBidi"/>
        </w:rPr>
        <w:t xml:space="preserve">, </w:t>
      </w:r>
      <w:r>
        <w:rPr>
          <w:rFonts w:cstheme="majorBidi"/>
        </w:rPr>
        <w:t xml:space="preserve">NBER Working Paper </w:t>
      </w:r>
      <w:r w:rsidRPr="005C5461">
        <w:rPr>
          <w:rFonts w:cstheme="majorBidi"/>
        </w:rPr>
        <w:t>No. w31485</w:t>
      </w:r>
      <w:r>
        <w:rPr>
          <w:rFonts w:cstheme="majorBidi"/>
        </w:rPr>
        <w:t>,</w:t>
      </w:r>
      <w:r w:rsidRPr="005C5461">
        <w:rPr>
          <w:rFonts w:cstheme="majorBidi"/>
        </w:rPr>
        <w:t xml:space="preserve"> National Bureau of Economic Research</w:t>
      </w:r>
      <w:r>
        <w:rPr>
          <w:rFonts w:cstheme="majorBidi"/>
        </w:rPr>
        <w:t>.</w:t>
      </w:r>
    </w:p>
    <w:p w14:paraId="3CF95521" w14:textId="77777777" w:rsidR="007613CB" w:rsidRDefault="007613CB" w:rsidP="007613CB">
      <w:pPr>
        <w:rPr>
          <w:rFonts w:eastAsiaTheme="minorEastAsia"/>
        </w:rPr>
      </w:pPr>
    </w:p>
    <w:p w14:paraId="325CE029" w14:textId="30104A21" w:rsidR="00D00CF7" w:rsidRDefault="00D00CF7" w:rsidP="00D00CF7">
      <w:pPr>
        <w:pStyle w:val="regpar"/>
        <w:jc w:val="center"/>
        <w:rPr>
          <w:b/>
          <w:bCs/>
          <w:sz w:val="26"/>
          <w:szCs w:val="26"/>
        </w:rPr>
      </w:pPr>
    </w:p>
    <w:sectPr w:rsidR="00D00CF7"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0FC9" w14:textId="77777777" w:rsidR="00CC0F35" w:rsidRDefault="00CC0F35">
      <w:pPr>
        <w:spacing w:line="240" w:lineRule="auto"/>
      </w:pPr>
      <w:r>
        <w:separator/>
      </w:r>
    </w:p>
  </w:endnote>
  <w:endnote w:type="continuationSeparator" w:id="0">
    <w:p w14:paraId="7D41F12F" w14:textId="77777777" w:rsidR="00CC0F35" w:rsidRDefault="00CC0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4BA3" w14:textId="77777777" w:rsidR="00CC0F35" w:rsidRDefault="00CC0F35">
      <w:pPr>
        <w:spacing w:line="160" w:lineRule="exact"/>
      </w:pPr>
    </w:p>
  </w:footnote>
  <w:footnote w:type="continuationSeparator" w:id="0">
    <w:p w14:paraId="17D94BF9" w14:textId="77777777" w:rsidR="00CC0F35" w:rsidRDefault="00CC0F35">
      <w:pPr>
        <w:pStyle w:val="rule"/>
      </w:pPr>
      <w:r>
        <w:t>–––––––––––––––––––––––––––</w:t>
      </w:r>
    </w:p>
    <w:p w14:paraId="06445751" w14:textId="77777777" w:rsidR="00CC0F35" w:rsidRDefault="00CC0F35">
      <w:pPr>
        <w:pStyle w:val="noteseparator"/>
      </w:pPr>
    </w:p>
  </w:footnote>
  <w:footnote w:id="1">
    <w:p w14:paraId="4443A6C2" w14:textId="77777777" w:rsidR="007613CB" w:rsidRDefault="007613CB" w:rsidP="007613CB">
      <w:pPr>
        <w:pStyle w:val="a7"/>
      </w:pPr>
      <w:r>
        <w:rPr>
          <w:rStyle w:val="a6"/>
        </w:rPr>
        <w:footnoteRef/>
      </w:r>
      <w:r>
        <w:t xml:space="preserve"> With thanks to Nurit Dobrin and Ayelet Mizrahi of the Central Bureau of Statistics for their assistance in preparing the itemized data of the Consumer Confidence Survey.</w:t>
      </w:r>
    </w:p>
  </w:footnote>
  <w:footnote w:id="2">
    <w:p w14:paraId="72613D29" w14:textId="77777777" w:rsidR="007613CB" w:rsidRDefault="007613CB" w:rsidP="007613CB">
      <w:pPr>
        <w:pStyle w:val="a7"/>
      </w:pPr>
      <w:r>
        <w:rPr>
          <w:rStyle w:val="a6"/>
        </w:rPr>
        <w:footnoteRef/>
      </w:r>
      <w:r>
        <w:t xml:space="preserve"> For more discussion, see Weber et al (2023), and Blinder et al (2024).</w:t>
      </w:r>
    </w:p>
  </w:footnote>
  <w:footnote w:id="3">
    <w:p w14:paraId="17744230" w14:textId="77777777" w:rsidR="007613CB" w:rsidRPr="00017458" w:rsidRDefault="007613CB" w:rsidP="007613CB">
      <w:pPr>
        <w:pStyle w:val="a7"/>
        <w:rPr>
          <w:rFonts w:cstheme="majorBidi"/>
        </w:rPr>
      </w:pPr>
      <w:r>
        <w:rPr>
          <w:rStyle w:val="a6"/>
        </w:rPr>
        <w:footnoteRef/>
      </w:r>
      <w:r>
        <w:t xml:space="preserve"> </w:t>
      </w:r>
      <w:r w:rsidRPr="00017458">
        <w:rPr>
          <w:rFonts w:cstheme="majorBidi"/>
        </w:rPr>
        <w:t xml:space="preserve">See the speech by Federal Reserve Chairman Jerome Powell at the 2022 Jackson Hole Conference: </w:t>
      </w:r>
      <w:hyperlink r:id="rId1" w:history="1">
        <w:r w:rsidRPr="00017458">
          <w:rPr>
            <w:rStyle w:val="Hyperlink"/>
            <w:rFonts w:cstheme="majorBidi"/>
          </w:rPr>
          <w:t>https://www.federalreserve.gov/newsevents/speech/powell20220826a.htm</w:t>
        </w:r>
      </w:hyperlink>
    </w:p>
  </w:footnote>
  <w:footnote w:id="4">
    <w:p w14:paraId="621BDB51" w14:textId="77777777" w:rsidR="007613CB" w:rsidRDefault="007613CB" w:rsidP="007613CB">
      <w:pPr>
        <w:pStyle w:val="a7"/>
      </w:pPr>
      <w:r>
        <w:rPr>
          <w:rStyle w:val="a6"/>
        </w:rPr>
        <w:footnoteRef/>
      </w:r>
      <w:r>
        <w:t xml:space="preserve"> Gorodnichenko, Kutai, and Melnick (2023) find evidence of attention among Israeli firms between 2001 and 2018—prior to the most recent wave of inflation.  They find that firms revise their inflation expectations due to surprises in the CPI.</w:t>
      </w:r>
    </w:p>
  </w:footnote>
  <w:footnote w:id="5">
    <w:p w14:paraId="61B98EE3" w14:textId="77777777" w:rsidR="007613CB" w:rsidRPr="00FD7B42" w:rsidRDefault="007613CB" w:rsidP="007613CB">
      <w:pPr>
        <w:pStyle w:val="a7"/>
      </w:pPr>
      <w:r>
        <w:rPr>
          <w:rStyle w:val="a6"/>
        </w:rPr>
        <w:footnoteRef/>
      </w:r>
      <w:r>
        <w:t xml:space="preserve"> For more discussion, see Box 1.2 of the Bank of Israel </w:t>
      </w:r>
      <w:r>
        <w:rPr>
          <w:i/>
          <w:iCs/>
        </w:rPr>
        <w:t>Annual Report</w:t>
      </w:r>
      <w:r>
        <w:t xml:space="preserve"> for 2022.</w:t>
      </w:r>
    </w:p>
  </w:footnote>
  <w:footnote w:id="6">
    <w:p w14:paraId="26AB79DA" w14:textId="77777777" w:rsidR="007613CB" w:rsidRDefault="007613CB" w:rsidP="007613CB">
      <w:pPr>
        <w:pStyle w:val="a7"/>
      </w:pPr>
      <w:r>
        <w:rPr>
          <w:rStyle w:val="a6"/>
        </w:rPr>
        <w:footnoteRef/>
      </w:r>
      <w:r>
        <w:t xml:space="preserve"> They combine a series of experiments using surveys (RCT) over countries and time, in which some of the individuals receive available public information regarding inflation, and identify evidence of higher attention, which is reflected in a large revision of expectations when inflation is higher.  Cavallo, Cruces, and Perez-Truglia (2017), Pfauti (2023), and Bracha and Tang (2019) reached similar conclusions.</w:t>
      </w:r>
    </w:p>
  </w:footnote>
  <w:footnote w:id="7">
    <w:p w14:paraId="1B6E5C71" w14:textId="77777777" w:rsidR="007613CB" w:rsidRDefault="007613CB" w:rsidP="007613CB">
      <w:pPr>
        <w:pStyle w:val="a7"/>
      </w:pPr>
      <w:r>
        <w:rPr>
          <w:rStyle w:val="a6"/>
        </w:rPr>
        <w:footnoteRef/>
      </w:r>
      <w:r>
        <w:t xml:space="preserve"> We obtained a similar result with regard to attention to monetary policy: a link between Internet searches for the phrase “Bank of Israel interest rate” and the inflation rate when inflation crosses the 3 percent threshold.  In contrast, and as expected, no correlation was found with regard to other economic terms such as “unemployment” or “growth”.  The same examination for the years 2008–2019 points to similar results—a positive and weak correlation when inflation is low and a strong link when inflation crosses the 3 percent threshold. </w:t>
      </w:r>
    </w:p>
  </w:footnote>
  <w:footnote w:id="8">
    <w:p w14:paraId="73DD1006" w14:textId="77777777" w:rsidR="007613CB" w:rsidRDefault="007613CB" w:rsidP="007613CB">
      <w:pPr>
        <w:pStyle w:val="a7"/>
      </w:pPr>
      <w:r>
        <w:rPr>
          <w:rStyle w:val="a6"/>
        </w:rPr>
        <w:footnoteRef/>
      </w:r>
      <w:r>
        <w:t xml:space="preserve"> </w:t>
      </w:r>
      <w:hyperlink r:id="rId2" w:history="1">
        <w:r w:rsidRPr="00683779">
          <w:rPr>
            <w:rStyle w:val="Hyperlink"/>
            <w:rFonts w:ascii="David" w:hAnsi="David" w:cs="David"/>
          </w:rPr>
          <w:t>https://www.cbs.gov.il/he/Surveys/Pages/</w:t>
        </w:r>
        <w:r w:rsidRPr="00683779">
          <w:rPr>
            <w:rStyle w:val="Hyperlink"/>
            <w:rFonts w:ascii="David" w:hAnsi="David" w:cs="David"/>
            <w:rtl/>
          </w:rPr>
          <w:t>סקר-אמון-צרכנים</w:t>
        </w:r>
        <w:r w:rsidRPr="00683779">
          <w:rPr>
            <w:rStyle w:val="Hyperlink"/>
            <w:rFonts w:ascii="David" w:hAnsi="David" w:cs="David"/>
          </w:rPr>
          <w:t>.aspx</w:t>
        </w:r>
      </w:hyperlink>
      <w:r w:rsidRPr="005F35BD">
        <w:rPr>
          <w:rStyle w:val="Hyperlink"/>
          <w:rFonts w:ascii="David" w:hAnsi="David" w:cs="David"/>
        </w:rPr>
        <w:t xml:space="preserve"> (in Hebrew).</w:t>
      </w:r>
    </w:p>
  </w:footnote>
  <w:footnote w:id="9">
    <w:p w14:paraId="02BCA022" w14:textId="77777777" w:rsidR="007613CB" w:rsidRDefault="007613CB" w:rsidP="007613CB">
      <w:pPr>
        <w:pStyle w:val="a7"/>
      </w:pPr>
      <w:r>
        <w:rPr>
          <w:rStyle w:val="a6"/>
        </w:rPr>
        <w:footnoteRef/>
      </w:r>
      <w:r>
        <w:t xml:space="preserve"> The respondents were asked how prices will change in the coming 12 months (increase, decrease, won’t change, don’t know, or refuse to answer).  If a respondent answers that they will increase or decrease, he is asked to give a numerical value to his answer.  The rate of those who provided a numerical answer within a “reasonable” range—between 1 and 15 percent—increased from 71 percent at the end of 2021, when annual inflation was near the midpoint of the target range, to 82 percent at the end of 2022, when annual inflation had risen to more than 5 percent.</w:t>
      </w:r>
    </w:p>
  </w:footnote>
  <w:footnote w:id="10">
    <w:p w14:paraId="1957E5D6" w14:textId="77777777" w:rsidR="007613CB" w:rsidRDefault="007613CB" w:rsidP="007613CB">
      <w:pPr>
        <w:pStyle w:val="a7"/>
      </w:pPr>
      <w:r>
        <w:rPr>
          <w:rStyle w:val="a6"/>
        </w:rPr>
        <w:footnoteRef/>
      </w:r>
      <w:r>
        <w:t xml:space="preserve"> The forecasters’ projections of the CPI in that calendar month, as reported to the Bank of Israel shortly after the 15</w:t>
      </w:r>
      <w:r w:rsidRPr="00841A68">
        <w:rPr>
          <w:vertAlign w:val="superscript"/>
        </w:rPr>
        <w:t>th</w:t>
      </w:r>
      <w:r>
        <w:t xml:space="preserve"> of that month, the date of publication of the CPI for the previous month.  The identification assumption is that the change in the CPI that was not reflected in the forecasters’ midmonth projections reflects information that was not available to those who responded in the first half of the month.</w:t>
      </w:r>
    </w:p>
  </w:footnote>
  <w:footnote w:id="11">
    <w:p w14:paraId="5C190009" w14:textId="77777777" w:rsidR="007613CB" w:rsidRDefault="007613CB" w:rsidP="007613CB">
      <w:pPr>
        <w:pStyle w:val="a7"/>
      </w:pPr>
      <w:r>
        <w:rPr>
          <w:rStyle w:val="a6"/>
        </w:rPr>
        <w:footnoteRef/>
      </w:r>
      <w:r>
        <w:t xml:space="preserve"> Basically, the unexpected change also includes a component of CPI surprise that will be revealed to the public only when the CPI is published, on the 15</w:t>
      </w:r>
      <w:r w:rsidRPr="00841A68">
        <w:rPr>
          <w:vertAlign w:val="superscript"/>
        </w:rPr>
        <w:t>th</w:t>
      </w:r>
      <w:r>
        <w:t xml:space="preserve"> of the following month, and is therefore not expected to influence either of the groups.</w:t>
      </w:r>
    </w:p>
  </w:footnote>
  <w:footnote w:id="12">
    <w:p w14:paraId="46233A14" w14:textId="77777777" w:rsidR="007613CB" w:rsidRDefault="007613CB" w:rsidP="007613CB">
      <w:pPr>
        <w:pStyle w:val="a7"/>
      </w:pPr>
      <w:r>
        <w:rPr>
          <w:rStyle w:val="a6"/>
        </w:rPr>
        <w:footnoteRef/>
      </w:r>
      <w:r>
        <w:t xml:space="preserve"> The use of the difference between forecasts and actual publication as an estimation of information is common in the literature.  For </w:t>
      </w:r>
      <w:r w:rsidRPr="00841A68">
        <w:rPr>
          <w:rFonts w:cstheme="majorBidi"/>
        </w:rPr>
        <w:t>example, Gürkaynak</w:t>
      </w:r>
      <w:r>
        <w:t xml:space="preserve"> et al. (2005).</w:t>
      </w:r>
    </w:p>
  </w:footnote>
  <w:footnote w:id="13">
    <w:p w14:paraId="5077DED1" w14:textId="77777777" w:rsidR="007613CB" w:rsidRDefault="007613CB" w:rsidP="007613CB">
      <w:pPr>
        <w:pStyle w:val="a7"/>
      </w:pPr>
      <w:r>
        <w:rPr>
          <w:rStyle w:val="a6"/>
        </w:rPr>
        <w:footnoteRef/>
      </w:r>
      <w:r>
        <w:t xml:space="preserve"> Expectations after removing outlier observations (above 70 percent or below -70 percent) and winsorizing observations in the top five and bottom five percentiles each month.  The results of the analysis without winsorizing, winsorizing of 10 percent, or winsorizing of 1 percent are similar.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C415D"/>
    <w:multiLevelType w:val="hybridMultilevel"/>
    <w:tmpl w:val="8D9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C0FB1"/>
    <w:multiLevelType w:val="hybridMultilevel"/>
    <w:tmpl w:val="B01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4"/>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5"/>
  </w:num>
  <w:num w:numId="10">
    <w:abstractNumId w:val="17"/>
  </w:num>
  <w:num w:numId="11">
    <w:abstractNumId w:val="12"/>
  </w:num>
  <w:num w:numId="12">
    <w:abstractNumId w:val="10"/>
  </w:num>
  <w:num w:numId="13">
    <w:abstractNumId w:val="4"/>
  </w:num>
  <w:num w:numId="14">
    <w:abstractNumId w:val="2"/>
  </w:num>
  <w:num w:numId="15">
    <w:abstractNumId w:val="11"/>
  </w:num>
  <w:num w:numId="16">
    <w:abstractNumId w:val="1"/>
  </w:num>
  <w:num w:numId="17">
    <w:abstractNumId w:val="18"/>
  </w:num>
  <w:num w:numId="18">
    <w:abstractNumId w:val="7"/>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94EE3"/>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3812"/>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3CB"/>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uiPriority w:val="99"/>
    <w:rPr>
      <w:position w:val="6"/>
      <w:sz w:val="14"/>
      <w:szCs w:val="14"/>
    </w:rPr>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Footnote"/>
    <w:basedOn w:val="regpar"/>
    <w:link w:val="a8"/>
    <w:uiPriority w:val="99"/>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7"/>
    <w:uiPriority w:val="99"/>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s.gov.il/he/Surveys/Pages/&#1505;&#1511;&#1512;-&#1488;&#1502;&#1493;&#1503;-&#1510;&#1512;&#1499;&#1504;&#1497;&#1501;.aspx" TargetMode="External"/><Relationship Id="rId1" Type="http://schemas.openxmlformats.org/officeDocument/2006/relationships/hyperlink" Target="https://www.federalreserve.gov/newsevents/speech/powell20220826a.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2BDBD-6C3E-49BE-939C-58319289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11872</Characters>
  <Application>Microsoft Office Word</Application>
  <DocSecurity>0</DocSecurity>
  <Lines>98</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2024-03-17T08:15:00Z</dcterms:created>
  <dcterms:modified xsi:type="dcterms:W3CDTF">2024-03-17T08:16:00Z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