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1AD8F" w14:textId="77777777" w:rsidR="003F4F40" w:rsidRDefault="003F4F40" w:rsidP="003F4F40">
      <w:pPr>
        <w:pStyle w:val="regpar"/>
        <w:spacing w:line="300" w:lineRule="atLeast"/>
        <w:ind w:firstLine="0"/>
        <w:jc w:val="center"/>
        <w:rPr>
          <w:rFonts w:ascii="Times New Roman" w:hAnsi="Times New Roman" w:cs="David"/>
          <w:bCs/>
        </w:rPr>
      </w:pPr>
      <w:r>
        <w:rPr>
          <w:noProof/>
        </w:rPr>
        <w:drawing>
          <wp:anchor distT="0" distB="0" distL="114300" distR="114300" simplePos="0" relativeHeight="251658240" behindDoc="0" locked="0" layoutInCell="1" allowOverlap="1" wp14:anchorId="5E624910" wp14:editId="27E64481">
            <wp:simplePos x="0" y="0"/>
            <wp:positionH relativeFrom="margin">
              <wp:align>center</wp:align>
            </wp:positionH>
            <wp:positionV relativeFrom="paragraph">
              <wp:posOffset>-359815</wp:posOffset>
            </wp:positionV>
            <wp:extent cx="2149813" cy="714270"/>
            <wp:effectExtent l="0" t="0" r="3175"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9813" cy="714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9C2DAC" w14:textId="77777777" w:rsidR="003F4F40" w:rsidRDefault="003F4F40" w:rsidP="003F4F40">
      <w:pPr>
        <w:pStyle w:val="regpar"/>
        <w:spacing w:line="300" w:lineRule="atLeast"/>
        <w:ind w:firstLine="0"/>
        <w:jc w:val="center"/>
        <w:rPr>
          <w:rFonts w:ascii="Times New Roman" w:hAnsi="Times New Roman" w:cs="David"/>
          <w:bCs/>
        </w:rPr>
      </w:pPr>
    </w:p>
    <w:p w14:paraId="559120CF" w14:textId="77777777" w:rsidR="003F4F40" w:rsidRPr="003F4F40" w:rsidRDefault="003F4F40" w:rsidP="003F4F40">
      <w:pPr>
        <w:pStyle w:val="regpar"/>
        <w:spacing w:line="300" w:lineRule="atLeast"/>
        <w:ind w:firstLine="0"/>
        <w:jc w:val="center"/>
        <w:rPr>
          <w:rFonts w:ascii="Segoe UI" w:hAnsi="Segoe UI" w:cs="Segoe UI"/>
          <w:bCs/>
          <w:sz w:val="22"/>
          <w:szCs w:val="22"/>
        </w:rPr>
      </w:pPr>
      <w:r w:rsidRPr="003F4F40">
        <w:rPr>
          <w:rFonts w:ascii="Segoe UI" w:hAnsi="Segoe UI" w:cs="Segoe UI"/>
          <w:bCs/>
          <w:sz w:val="22"/>
          <w:szCs w:val="22"/>
        </w:rPr>
        <w:t>BANK OF ISRAEL</w:t>
      </w:r>
    </w:p>
    <w:p w14:paraId="3BA492D2" w14:textId="77777777" w:rsidR="003F4F40" w:rsidRPr="003F4F40" w:rsidRDefault="003F4F40" w:rsidP="003F4F40">
      <w:pPr>
        <w:pStyle w:val="regpar"/>
        <w:spacing w:line="300" w:lineRule="atLeast"/>
        <w:ind w:firstLine="0"/>
        <w:jc w:val="center"/>
        <w:rPr>
          <w:rFonts w:ascii="Segoe UI" w:hAnsi="Segoe UI" w:cs="Segoe UI"/>
          <w:bCs/>
          <w:sz w:val="22"/>
          <w:szCs w:val="22"/>
        </w:rPr>
      </w:pPr>
      <w:r w:rsidRPr="003F4F40">
        <w:rPr>
          <w:rFonts w:ascii="Segoe UI" w:hAnsi="Segoe UI" w:cs="Segoe UI"/>
          <w:bCs/>
          <w:sz w:val="22"/>
          <w:szCs w:val="22"/>
        </w:rPr>
        <w:t>Office of the Spokesperson and Economic Information</w:t>
      </w:r>
    </w:p>
    <w:p w14:paraId="33A1522A" w14:textId="77777777" w:rsidR="003F4F40" w:rsidRPr="0012431B" w:rsidRDefault="003F4F40" w:rsidP="003F4F40">
      <w:pPr>
        <w:pStyle w:val="regpar"/>
        <w:spacing w:line="300" w:lineRule="atLeast"/>
        <w:ind w:firstLine="0"/>
        <w:jc w:val="center"/>
        <w:rPr>
          <w:rFonts w:ascii="Segoe UI" w:hAnsi="Segoe UI" w:cs="Segoe UI"/>
          <w:sz w:val="22"/>
          <w:szCs w:val="22"/>
        </w:rPr>
      </w:pPr>
    </w:p>
    <w:p w14:paraId="4ED9E0DC" w14:textId="77777777" w:rsidR="003F4F40" w:rsidRPr="0012431B" w:rsidRDefault="003F4F40" w:rsidP="003F4F40">
      <w:pPr>
        <w:pStyle w:val="regpar"/>
        <w:spacing w:line="300" w:lineRule="atLeast"/>
        <w:ind w:firstLine="0"/>
        <w:jc w:val="center"/>
        <w:rPr>
          <w:rFonts w:ascii="Segoe UI" w:hAnsi="Segoe UI" w:cs="Segoe UI"/>
          <w:sz w:val="22"/>
          <w:szCs w:val="22"/>
        </w:rPr>
      </w:pPr>
      <w:r w:rsidRPr="0012431B">
        <w:rPr>
          <w:rFonts w:ascii="Segoe UI" w:hAnsi="Segoe UI" w:cs="Segoe UI"/>
          <w:sz w:val="22"/>
          <w:szCs w:val="22"/>
        </w:rPr>
        <w:t>Press release</w:t>
      </w:r>
    </w:p>
    <w:p w14:paraId="5AE3E73F" w14:textId="77777777" w:rsidR="006A415B" w:rsidRPr="003F4F40" w:rsidRDefault="00A541E1" w:rsidP="00A541E1">
      <w:pPr>
        <w:pStyle w:val="aa"/>
        <w:bidi w:val="0"/>
        <w:spacing w:line="240" w:lineRule="auto"/>
        <w:jc w:val="right"/>
        <w:rPr>
          <w:rFonts w:ascii="Calibri" w:hAnsi="Calibri" w:cs="Calibri"/>
        </w:rPr>
      </w:pPr>
      <w:r w:rsidRPr="003F4F40">
        <w:rPr>
          <w:rFonts w:ascii="Calibri" w:hAnsi="Calibri" w:cs="Calibri"/>
        </w:rPr>
        <w:t>February 24, 2025</w:t>
      </w:r>
    </w:p>
    <w:p w14:paraId="3A3A20EA" w14:textId="77777777" w:rsidR="00B06E18" w:rsidRPr="003F4F40" w:rsidRDefault="00B06E18" w:rsidP="00A541E1">
      <w:pPr>
        <w:jc w:val="center"/>
        <w:rPr>
          <w:rFonts w:ascii="Calibri" w:hAnsi="Calibri" w:cs="Calibri"/>
          <w:b/>
          <w:bCs/>
          <w:sz w:val="32"/>
          <w:szCs w:val="32"/>
          <w:rtl/>
        </w:rPr>
      </w:pPr>
    </w:p>
    <w:p w14:paraId="173E9368" w14:textId="44532886" w:rsidR="006A415B" w:rsidRPr="003F4F40" w:rsidRDefault="006A415B" w:rsidP="003F4F40">
      <w:pPr>
        <w:jc w:val="center"/>
        <w:rPr>
          <w:rFonts w:ascii="Calibri" w:hAnsi="Calibri" w:cs="Calibri"/>
          <w:b/>
          <w:bCs/>
          <w:sz w:val="28"/>
          <w:szCs w:val="28"/>
        </w:rPr>
      </w:pPr>
      <w:r w:rsidRPr="003F4F40">
        <w:rPr>
          <w:rFonts w:ascii="Calibri" w:hAnsi="Calibri" w:cs="Calibri"/>
          <w:b/>
          <w:bCs/>
          <w:sz w:val="28"/>
          <w:szCs w:val="28"/>
        </w:rPr>
        <w:t xml:space="preserve">The Monetary Committee decides on </w:t>
      </w:r>
      <w:r w:rsidR="00A541E1" w:rsidRPr="003F4F40">
        <w:rPr>
          <w:rFonts w:ascii="Calibri" w:hAnsi="Calibri" w:cs="Calibri"/>
          <w:b/>
          <w:bCs/>
          <w:sz w:val="28"/>
          <w:szCs w:val="28"/>
        </w:rPr>
        <w:t>February 24</w:t>
      </w:r>
      <w:r w:rsidR="005B062A" w:rsidRPr="003F4F40">
        <w:rPr>
          <w:rFonts w:ascii="Calibri" w:hAnsi="Calibri" w:cs="Calibri"/>
          <w:b/>
          <w:bCs/>
          <w:sz w:val="28"/>
          <w:szCs w:val="28"/>
        </w:rPr>
        <w:t>, 2025</w:t>
      </w:r>
      <w:r w:rsidRPr="003F4F40">
        <w:rPr>
          <w:rFonts w:ascii="Calibri" w:hAnsi="Calibri" w:cs="Calibri"/>
          <w:b/>
          <w:bCs/>
          <w:sz w:val="28"/>
          <w:szCs w:val="28"/>
        </w:rPr>
        <w:t xml:space="preserve"> to </w:t>
      </w:r>
      <w:r w:rsidR="00BE5BD6" w:rsidRPr="003F4F40">
        <w:rPr>
          <w:rFonts w:ascii="Calibri" w:hAnsi="Calibri" w:cs="Calibri"/>
          <w:b/>
          <w:bCs/>
          <w:sz w:val="28"/>
          <w:szCs w:val="28"/>
        </w:rPr>
        <w:t>leave the interes</w:t>
      </w:r>
      <w:r w:rsidR="003F4F40">
        <w:rPr>
          <w:rFonts w:ascii="Calibri" w:hAnsi="Calibri" w:cs="Calibri"/>
          <w:b/>
          <w:bCs/>
          <w:sz w:val="28"/>
          <w:szCs w:val="28"/>
        </w:rPr>
        <w:t>t rate unchanged at 4.5 percent</w:t>
      </w:r>
    </w:p>
    <w:p w14:paraId="56A9BCFE" w14:textId="77777777" w:rsidR="000512B0" w:rsidRPr="006D2397" w:rsidRDefault="000512B0" w:rsidP="00C2592B">
      <w:pPr>
        <w:jc w:val="both"/>
        <w:rPr>
          <w:rFonts w:ascii="Calibri" w:hAnsi="Calibri" w:cs="Calibri"/>
        </w:rPr>
      </w:pPr>
    </w:p>
    <w:p w14:paraId="48C44FAA" w14:textId="6A015A56" w:rsidR="009141AE" w:rsidRPr="006D2397" w:rsidRDefault="00A541E1" w:rsidP="00BE5BD6">
      <w:pPr>
        <w:pStyle w:val="NormalWeb"/>
        <w:numPr>
          <w:ilvl w:val="0"/>
          <w:numId w:val="14"/>
        </w:numPr>
        <w:shd w:val="clear" w:color="auto" w:fill="FFFFFF"/>
        <w:spacing w:before="0" w:beforeAutospacing="0" w:after="0" w:afterAutospacing="0"/>
        <w:ind w:left="350" w:hanging="357"/>
        <w:jc w:val="both"/>
        <w:rPr>
          <w:rFonts w:ascii="Calibri" w:hAnsi="Calibri" w:cs="Calibri"/>
          <w:b/>
          <w:bCs/>
        </w:rPr>
      </w:pPr>
      <w:r w:rsidRPr="006D2397">
        <w:rPr>
          <w:rFonts w:ascii="Calibri" w:hAnsi="Calibri" w:cs="Calibri"/>
          <w:b/>
          <w:bCs/>
        </w:rPr>
        <w:t>Economic activity continues to recover moderately in vi</w:t>
      </w:r>
      <w:r w:rsidR="00691F03" w:rsidRPr="006D2397">
        <w:rPr>
          <w:rFonts w:ascii="Calibri" w:hAnsi="Calibri" w:cs="Calibri"/>
          <w:b/>
          <w:bCs/>
        </w:rPr>
        <w:t>ew of geopolitical developments</w:t>
      </w:r>
      <w:r w:rsidRPr="006D2397">
        <w:rPr>
          <w:rFonts w:ascii="Calibri" w:hAnsi="Calibri" w:cs="Calibri"/>
          <w:b/>
          <w:bCs/>
        </w:rPr>
        <w:t xml:space="preserve">.  In the fourth quarter of 2024, the growth rate moderated, reflecting </w:t>
      </w:r>
      <w:r w:rsidR="00691F03" w:rsidRPr="006D2397">
        <w:rPr>
          <w:rFonts w:ascii="Calibri" w:hAnsi="Calibri" w:cs="Calibri"/>
          <w:b/>
          <w:bCs/>
        </w:rPr>
        <w:t>a marked increase in most domestic uses</w:t>
      </w:r>
      <w:r w:rsidR="00BE5BD6" w:rsidRPr="006D2397">
        <w:rPr>
          <w:rFonts w:ascii="Calibri" w:hAnsi="Calibri" w:cs="Calibri"/>
          <w:b/>
          <w:bCs/>
        </w:rPr>
        <w:t>,</w:t>
      </w:r>
      <w:r w:rsidR="00691F03" w:rsidRPr="006D2397">
        <w:rPr>
          <w:rFonts w:ascii="Calibri" w:hAnsi="Calibri" w:cs="Calibri"/>
          <w:b/>
          <w:bCs/>
        </w:rPr>
        <w:t xml:space="preserve"> which, </w:t>
      </w:r>
      <w:r w:rsidR="00BE5BD6" w:rsidRPr="006D2397">
        <w:rPr>
          <w:rFonts w:ascii="Calibri" w:hAnsi="Calibri" w:cs="Calibri"/>
          <w:b/>
          <w:bCs/>
        </w:rPr>
        <w:t>combined with</w:t>
      </w:r>
      <w:r w:rsidR="00691F03" w:rsidRPr="006D2397">
        <w:rPr>
          <w:rFonts w:ascii="Calibri" w:hAnsi="Calibri" w:cs="Calibri"/>
          <w:b/>
          <w:bCs/>
        </w:rPr>
        <w:t xml:space="preserve"> supply constraints, was largely </w:t>
      </w:r>
      <w:r w:rsidR="00BE5BD6" w:rsidRPr="006D2397">
        <w:rPr>
          <w:rFonts w:ascii="Calibri" w:hAnsi="Calibri" w:cs="Calibri"/>
          <w:b/>
          <w:bCs/>
        </w:rPr>
        <w:t>fulfilled</w:t>
      </w:r>
      <w:r w:rsidR="00691F03" w:rsidRPr="006D2397">
        <w:rPr>
          <w:rFonts w:ascii="Calibri" w:hAnsi="Calibri" w:cs="Calibri"/>
          <w:b/>
          <w:bCs/>
        </w:rPr>
        <w:t xml:space="preserve"> through increased imports</w:t>
      </w:r>
      <w:r w:rsidRPr="006D2397">
        <w:rPr>
          <w:rFonts w:ascii="Calibri" w:hAnsi="Calibri" w:cs="Calibri"/>
          <w:b/>
          <w:bCs/>
        </w:rPr>
        <w:t>.</w:t>
      </w:r>
    </w:p>
    <w:p w14:paraId="2E30FC1C" w14:textId="06497E93" w:rsidR="00691F03" w:rsidRPr="006D2397" w:rsidRDefault="00BE5BD6" w:rsidP="00BE5BD6">
      <w:pPr>
        <w:pStyle w:val="NormalWeb"/>
        <w:numPr>
          <w:ilvl w:val="0"/>
          <w:numId w:val="14"/>
        </w:numPr>
        <w:shd w:val="clear" w:color="auto" w:fill="FFFFFF"/>
        <w:spacing w:before="0" w:beforeAutospacing="0" w:after="0" w:afterAutospacing="0"/>
        <w:ind w:left="350" w:hanging="357"/>
        <w:jc w:val="both"/>
        <w:rPr>
          <w:rFonts w:ascii="Calibri" w:hAnsi="Calibri" w:cs="Calibri"/>
          <w:b/>
          <w:bCs/>
        </w:rPr>
      </w:pPr>
      <w:r w:rsidRPr="006D2397">
        <w:rPr>
          <w:rFonts w:ascii="Calibri" w:hAnsi="Calibri" w:cs="Calibri"/>
          <w:b/>
          <w:bCs/>
        </w:rPr>
        <w:t>At the same time, p</w:t>
      </w:r>
      <w:r w:rsidR="00691F03" w:rsidRPr="006D2397">
        <w:rPr>
          <w:rFonts w:ascii="Calibri" w:hAnsi="Calibri" w:cs="Calibri"/>
          <w:b/>
          <w:bCs/>
        </w:rPr>
        <w:t>revious GDP data were revised, such that GDP grew by 1 percent in 2024.</w:t>
      </w:r>
    </w:p>
    <w:p w14:paraId="28447F5C" w14:textId="37264031" w:rsidR="00A541E1" w:rsidRPr="006D2397" w:rsidRDefault="00A541E1" w:rsidP="004717FC">
      <w:pPr>
        <w:pStyle w:val="NormalWeb"/>
        <w:numPr>
          <w:ilvl w:val="0"/>
          <w:numId w:val="14"/>
        </w:numPr>
        <w:shd w:val="clear" w:color="auto" w:fill="FFFFFF"/>
        <w:spacing w:before="0" w:beforeAutospacing="0" w:after="0" w:afterAutospacing="0"/>
        <w:ind w:left="350" w:hanging="357"/>
        <w:jc w:val="both"/>
        <w:rPr>
          <w:rFonts w:ascii="Calibri" w:hAnsi="Calibri" w:cs="Calibri"/>
          <w:b/>
          <w:bCs/>
        </w:rPr>
      </w:pPr>
      <w:r w:rsidRPr="006D2397">
        <w:rPr>
          <w:rFonts w:ascii="Calibri" w:hAnsi="Calibri" w:cs="Calibri"/>
          <w:b/>
          <w:bCs/>
        </w:rPr>
        <w:t xml:space="preserve">The annual inflation rate increased, to 3.8 percent—above the upper bound of the target range—partly due to tax increases.  Inflation is expected to </w:t>
      </w:r>
      <w:r w:rsidR="004717FC">
        <w:rPr>
          <w:rFonts w:ascii="Calibri" w:hAnsi="Calibri" w:cs="Calibri"/>
          <w:b/>
          <w:bCs/>
        </w:rPr>
        <w:t xml:space="preserve">enter into the </w:t>
      </w:r>
      <w:r w:rsidRPr="006D2397">
        <w:rPr>
          <w:rFonts w:ascii="Calibri" w:hAnsi="Calibri" w:cs="Calibri"/>
          <w:b/>
          <w:bCs/>
        </w:rPr>
        <w:t>target range in the second half of the year.</w:t>
      </w:r>
    </w:p>
    <w:p w14:paraId="66D6C74F" w14:textId="001ED2B3" w:rsidR="00A541E1" w:rsidRPr="006D2397" w:rsidRDefault="00A541E1" w:rsidP="00BE5BD6">
      <w:pPr>
        <w:pStyle w:val="NormalWeb"/>
        <w:numPr>
          <w:ilvl w:val="0"/>
          <w:numId w:val="14"/>
        </w:numPr>
        <w:shd w:val="clear" w:color="auto" w:fill="FFFFFF"/>
        <w:spacing w:before="0" w:beforeAutospacing="0" w:after="0" w:afterAutospacing="0"/>
        <w:ind w:left="350" w:hanging="357"/>
        <w:jc w:val="both"/>
        <w:rPr>
          <w:rFonts w:ascii="Calibri" w:hAnsi="Calibri" w:cs="Calibri"/>
          <w:b/>
          <w:bCs/>
        </w:rPr>
      </w:pPr>
      <w:r w:rsidRPr="006D2397">
        <w:rPr>
          <w:rFonts w:ascii="Calibri" w:hAnsi="Calibri" w:cs="Calibri"/>
          <w:b/>
          <w:bCs/>
        </w:rPr>
        <w:t xml:space="preserve">The labor market remains tight, as </w:t>
      </w:r>
      <w:r w:rsidR="00BE5BD6" w:rsidRPr="006D2397">
        <w:rPr>
          <w:rFonts w:ascii="Calibri" w:hAnsi="Calibri" w:cs="Calibri"/>
          <w:b/>
          <w:bCs/>
        </w:rPr>
        <w:t>indicated</w:t>
      </w:r>
      <w:r w:rsidRPr="006D2397">
        <w:rPr>
          <w:rFonts w:ascii="Calibri" w:hAnsi="Calibri" w:cs="Calibri"/>
          <w:b/>
          <w:bCs/>
        </w:rPr>
        <w:t xml:space="preserve"> by unemployment, job vacancy, employment, participation, and wage data.</w:t>
      </w:r>
    </w:p>
    <w:p w14:paraId="58A90833" w14:textId="3985DDB1" w:rsidR="00A541E1" w:rsidRPr="006D2397" w:rsidRDefault="00A541E1" w:rsidP="00BE5BD6">
      <w:pPr>
        <w:pStyle w:val="NormalWeb"/>
        <w:numPr>
          <w:ilvl w:val="0"/>
          <w:numId w:val="14"/>
        </w:numPr>
        <w:shd w:val="clear" w:color="auto" w:fill="FFFFFF"/>
        <w:spacing w:before="0" w:beforeAutospacing="0" w:after="0" w:afterAutospacing="0"/>
        <w:ind w:left="350" w:hanging="357"/>
        <w:jc w:val="both"/>
        <w:rPr>
          <w:rFonts w:ascii="Calibri" w:hAnsi="Calibri" w:cs="Calibri"/>
          <w:b/>
          <w:bCs/>
        </w:rPr>
      </w:pPr>
      <w:r w:rsidRPr="006D2397">
        <w:rPr>
          <w:rFonts w:ascii="Calibri" w:hAnsi="Calibri" w:cs="Calibri"/>
          <w:b/>
          <w:bCs/>
        </w:rPr>
        <w:t>Since the previous interest rate decision, the shekel has appreciated by 1.9 percent against the US dollar.  The shekel also appreciated by 1.3 percent against the euro, and by 1 percent in terms of the nominal effective exchange rate.</w:t>
      </w:r>
    </w:p>
    <w:p w14:paraId="67AC78F2" w14:textId="3937D6E0" w:rsidR="00A541E1" w:rsidRPr="006D2397" w:rsidRDefault="00A541E1" w:rsidP="00BE5BD6">
      <w:pPr>
        <w:pStyle w:val="NormalWeb"/>
        <w:numPr>
          <w:ilvl w:val="0"/>
          <w:numId w:val="14"/>
        </w:numPr>
        <w:shd w:val="clear" w:color="auto" w:fill="FFFFFF"/>
        <w:spacing w:before="0" w:beforeAutospacing="0" w:after="0" w:afterAutospacing="0"/>
        <w:ind w:left="350" w:hanging="357"/>
        <w:jc w:val="both"/>
        <w:rPr>
          <w:rFonts w:ascii="Calibri" w:hAnsi="Calibri" w:cs="Calibri"/>
          <w:b/>
          <w:bCs/>
        </w:rPr>
      </w:pPr>
      <w:r w:rsidRPr="006D2397">
        <w:rPr>
          <w:rFonts w:ascii="Calibri" w:hAnsi="Calibri" w:cs="Calibri"/>
          <w:b/>
          <w:bCs/>
        </w:rPr>
        <w:t xml:space="preserve">Israel’s risk premium, as measured by the 5-year CDS </w:t>
      </w:r>
      <w:r w:rsidR="00BE5BD6" w:rsidRPr="006D2397">
        <w:rPr>
          <w:rFonts w:ascii="Calibri" w:hAnsi="Calibri" w:cs="Calibri"/>
          <w:b/>
          <w:bCs/>
        </w:rPr>
        <w:t>price</w:t>
      </w:r>
      <w:r w:rsidRPr="006D2397">
        <w:rPr>
          <w:rFonts w:ascii="Calibri" w:hAnsi="Calibri" w:cs="Calibri"/>
          <w:b/>
          <w:bCs/>
        </w:rPr>
        <w:t xml:space="preserve"> and by the spreads on dollar-denominated government bonds, continued to decline, but remained higher than in the prewar period.</w:t>
      </w:r>
    </w:p>
    <w:p w14:paraId="5EA8D5BF" w14:textId="1AB4D388" w:rsidR="00A541E1" w:rsidRPr="006D2397" w:rsidRDefault="00A541E1" w:rsidP="00BE5BD6">
      <w:pPr>
        <w:pStyle w:val="NormalWeb"/>
        <w:numPr>
          <w:ilvl w:val="0"/>
          <w:numId w:val="14"/>
        </w:numPr>
        <w:shd w:val="clear" w:color="auto" w:fill="FFFFFF"/>
        <w:spacing w:before="0" w:beforeAutospacing="0" w:after="0" w:afterAutospacing="0"/>
        <w:ind w:left="350" w:hanging="357"/>
        <w:jc w:val="both"/>
        <w:rPr>
          <w:rFonts w:ascii="Calibri" w:hAnsi="Calibri" w:cs="Calibri"/>
          <w:b/>
          <w:bCs/>
        </w:rPr>
      </w:pPr>
      <w:r w:rsidRPr="006D2397">
        <w:rPr>
          <w:rFonts w:ascii="Calibri" w:hAnsi="Calibri" w:cs="Calibri"/>
          <w:b/>
          <w:bCs/>
        </w:rPr>
        <w:t xml:space="preserve">Home prices </w:t>
      </w:r>
      <w:r w:rsidR="00BE5BD6" w:rsidRPr="006D2397">
        <w:rPr>
          <w:rFonts w:ascii="Calibri" w:hAnsi="Calibri" w:cs="Calibri"/>
          <w:b/>
          <w:bCs/>
        </w:rPr>
        <w:t>rose</w:t>
      </w:r>
      <w:r w:rsidRPr="006D2397">
        <w:rPr>
          <w:rFonts w:ascii="Calibri" w:hAnsi="Calibri" w:cs="Calibri"/>
          <w:b/>
          <w:bCs/>
        </w:rPr>
        <w:t xml:space="preserve"> by 7.3 percent in </w:t>
      </w:r>
      <w:r w:rsidR="00BE5BD6" w:rsidRPr="006D2397">
        <w:rPr>
          <w:rFonts w:ascii="Calibri" w:hAnsi="Calibri" w:cs="Calibri"/>
          <w:b/>
          <w:bCs/>
        </w:rPr>
        <w:t>2024</w:t>
      </w:r>
      <w:r w:rsidRPr="006D2397">
        <w:rPr>
          <w:rFonts w:ascii="Calibri" w:hAnsi="Calibri" w:cs="Calibri"/>
          <w:b/>
          <w:bCs/>
        </w:rPr>
        <w:t xml:space="preserve">.  Activity in the construction industry continues to be influenced by </w:t>
      </w:r>
      <w:r w:rsidR="00BE5BD6" w:rsidRPr="006D2397">
        <w:rPr>
          <w:rFonts w:ascii="Calibri" w:hAnsi="Calibri" w:cs="Calibri"/>
          <w:b/>
          <w:bCs/>
        </w:rPr>
        <w:t>labor shortages</w:t>
      </w:r>
      <w:r w:rsidRPr="006D2397">
        <w:rPr>
          <w:rFonts w:ascii="Calibri" w:hAnsi="Calibri" w:cs="Calibri"/>
          <w:b/>
          <w:bCs/>
        </w:rPr>
        <w:t>, but the difference between the number of people currently employed in the construction industry and the</w:t>
      </w:r>
      <w:r w:rsidR="00BE5BD6" w:rsidRPr="006D2397">
        <w:rPr>
          <w:rFonts w:ascii="Calibri" w:hAnsi="Calibri" w:cs="Calibri"/>
          <w:b/>
          <w:bCs/>
        </w:rPr>
        <w:t>ir</w:t>
      </w:r>
      <w:r w:rsidRPr="006D2397">
        <w:rPr>
          <w:rFonts w:ascii="Calibri" w:hAnsi="Calibri" w:cs="Calibri"/>
          <w:b/>
          <w:bCs/>
        </w:rPr>
        <w:t xml:space="preserve"> number prior to the war has narrowed.</w:t>
      </w:r>
    </w:p>
    <w:p w14:paraId="0E1CE791" w14:textId="77777777" w:rsidR="00CD5043" w:rsidRPr="003F4F40" w:rsidRDefault="00CD5043" w:rsidP="00CD5043">
      <w:pPr>
        <w:rPr>
          <w:rFonts w:ascii="Calibri" w:hAnsi="Calibri" w:cs="Calibri"/>
          <w:b/>
          <w:bCs/>
          <w:rtl/>
        </w:rPr>
      </w:pPr>
    </w:p>
    <w:p w14:paraId="05EC5DBA" w14:textId="77777777" w:rsidR="00514240" w:rsidRPr="003F4F40" w:rsidRDefault="003E2FB9" w:rsidP="00BD7538">
      <w:pPr>
        <w:ind w:right="-1"/>
        <w:jc w:val="both"/>
        <w:rPr>
          <w:rFonts w:ascii="Calibri" w:hAnsi="Calibri" w:cs="Calibri"/>
          <w:b/>
          <w:bCs/>
        </w:rPr>
      </w:pPr>
      <w:r w:rsidRPr="003F4F40">
        <w:rPr>
          <w:rFonts w:ascii="Calibri" w:hAnsi="Calibri" w:cs="Calibri"/>
          <w:b/>
          <w:bCs/>
        </w:rPr>
        <w:t xml:space="preserve">In view of the </w:t>
      </w:r>
      <w:r w:rsidR="00DF60FF" w:rsidRPr="003F4F40">
        <w:rPr>
          <w:rFonts w:ascii="Calibri" w:hAnsi="Calibri" w:cs="Calibri"/>
          <w:b/>
          <w:bCs/>
        </w:rPr>
        <w:t xml:space="preserve">continuing </w:t>
      </w:r>
      <w:r w:rsidRPr="003F4F40">
        <w:rPr>
          <w:rFonts w:ascii="Calibri" w:hAnsi="Calibri" w:cs="Calibri"/>
          <w:b/>
          <w:bCs/>
        </w:rPr>
        <w:t xml:space="preserve">war, the Monetary Committee’s policy is focusing on stabilizing the markets and reducing uncertainty, </w:t>
      </w:r>
      <w:r w:rsidR="008D5EB4" w:rsidRPr="003F4F40">
        <w:rPr>
          <w:rFonts w:ascii="Calibri" w:hAnsi="Calibri" w:cs="Calibri"/>
          <w:b/>
          <w:bCs/>
        </w:rPr>
        <w:t>alongside price stability and supporting economic activity.</w:t>
      </w:r>
      <w:r w:rsidR="00195AC7" w:rsidRPr="003F4F40">
        <w:rPr>
          <w:rFonts w:ascii="Calibri" w:hAnsi="Calibri" w:cs="Calibri"/>
          <w:b/>
          <w:bCs/>
        </w:rPr>
        <w:t xml:space="preserve"> </w:t>
      </w:r>
      <w:r w:rsidR="008D5EB4" w:rsidRPr="003F4F40">
        <w:rPr>
          <w:rFonts w:ascii="Calibri" w:hAnsi="Calibri" w:cs="Calibri"/>
          <w:b/>
          <w:bCs/>
        </w:rPr>
        <w:t>The interest rate path</w:t>
      </w:r>
      <w:r w:rsidRPr="003F4F40">
        <w:rPr>
          <w:rFonts w:ascii="Calibri" w:hAnsi="Calibri" w:cs="Calibri"/>
          <w:b/>
          <w:bCs/>
        </w:rPr>
        <w:t xml:space="preserve"> will be determined in accordance with</w:t>
      </w:r>
      <w:r w:rsidR="00560CDB" w:rsidRPr="003F4F40">
        <w:rPr>
          <w:rFonts w:ascii="Calibri" w:hAnsi="Calibri" w:cs="Calibri"/>
          <w:b/>
          <w:bCs/>
        </w:rPr>
        <w:t xml:space="preserve"> the convergence of inflation to its target, continued stability in the</w:t>
      </w:r>
      <w:r w:rsidR="00851499" w:rsidRPr="003F4F40">
        <w:rPr>
          <w:rFonts w:ascii="Calibri" w:hAnsi="Calibri" w:cs="Calibri"/>
          <w:b/>
          <w:bCs/>
        </w:rPr>
        <w:t xml:space="preserve"> </w:t>
      </w:r>
      <w:r w:rsidR="008D5EB4" w:rsidRPr="003F4F40">
        <w:rPr>
          <w:rFonts w:ascii="Calibri" w:hAnsi="Calibri" w:cs="Calibri"/>
          <w:b/>
          <w:bCs/>
        </w:rPr>
        <w:t>financial markets</w:t>
      </w:r>
      <w:r w:rsidR="00560CDB" w:rsidRPr="003F4F40">
        <w:rPr>
          <w:rFonts w:ascii="Calibri" w:hAnsi="Calibri" w:cs="Calibri"/>
          <w:b/>
          <w:bCs/>
        </w:rPr>
        <w:t xml:space="preserve">, </w:t>
      </w:r>
      <w:r w:rsidR="008D5EB4" w:rsidRPr="003F4F40">
        <w:rPr>
          <w:rFonts w:ascii="Calibri" w:hAnsi="Calibri" w:cs="Calibri"/>
          <w:b/>
          <w:bCs/>
        </w:rPr>
        <w:t>economic activity</w:t>
      </w:r>
      <w:r w:rsidR="00560CDB" w:rsidRPr="003F4F40">
        <w:rPr>
          <w:rFonts w:ascii="Calibri" w:hAnsi="Calibri" w:cs="Calibri"/>
          <w:b/>
          <w:bCs/>
        </w:rPr>
        <w:t>, and fiscal policy</w:t>
      </w:r>
      <w:r w:rsidR="008D5EB4" w:rsidRPr="003F4F40">
        <w:rPr>
          <w:rFonts w:ascii="Calibri" w:hAnsi="Calibri" w:cs="Calibri"/>
          <w:b/>
          <w:bCs/>
        </w:rPr>
        <w:t>.</w:t>
      </w:r>
    </w:p>
    <w:p w14:paraId="57D456F3" w14:textId="77777777" w:rsidR="00982234" w:rsidRPr="003F4F40" w:rsidRDefault="00982234" w:rsidP="006075EE">
      <w:pPr>
        <w:ind w:right="265"/>
        <w:jc w:val="both"/>
        <w:rPr>
          <w:rFonts w:ascii="Calibri" w:hAnsi="Calibri" w:cs="Calibri"/>
          <w:b/>
          <w:bCs/>
        </w:rPr>
      </w:pPr>
    </w:p>
    <w:p w14:paraId="081892D4" w14:textId="77777777" w:rsidR="00982234" w:rsidRPr="003F4F40" w:rsidRDefault="00982234" w:rsidP="006075EE">
      <w:pPr>
        <w:ind w:right="265"/>
        <w:jc w:val="both"/>
        <w:rPr>
          <w:rFonts w:ascii="Calibri" w:hAnsi="Calibri" w:cs="Calibri"/>
          <w:b/>
          <w:bCs/>
        </w:rPr>
      </w:pPr>
    </w:p>
    <w:p w14:paraId="018C367C" w14:textId="77777777" w:rsidR="005B062A" w:rsidRPr="003F4F40" w:rsidRDefault="005B062A" w:rsidP="00691F03">
      <w:pPr>
        <w:ind w:right="-1"/>
        <w:jc w:val="both"/>
        <w:rPr>
          <w:rFonts w:ascii="Calibri" w:hAnsi="Calibri" w:cs="Calibri"/>
        </w:rPr>
      </w:pPr>
      <w:r w:rsidRPr="003F4F40">
        <w:rPr>
          <w:rFonts w:ascii="Calibri" w:hAnsi="Calibri" w:cs="Calibri"/>
        </w:rPr>
        <w:t xml:space="preserve">The recovery in economic activity continues at a moderate pace, in view of geopolitical developments.  </w:t>
      </w:r>
      <w:r w:rsidR="00F557EC" w:rsidRPr="003F4F40">
        <w:rPr>
          <w:rFonts w:ascii="Calibri" w:hAnsi="Calibri" w:cs="Calibri"/>
        </w:rPr>
        <w:t xml:space="preserve">In line with expectations, the annual inflation rate increased, partly due to tax increases, and is above the upper bound of the target range. Inflation is expected to converge to within the target range in the second half of the year.  In the fourth quarter, the growth rate moderated, which mainly reflected continued supply constraints. </w:t>
      </w:r>
      <w:r w:rsidRPr="003F4F40">
        <w:rPr>
          <w:rFonts w:ascii="Calibri" w:hAnsi="Calibri" w:cs="Calibri"/>
        </w:rPr>
        <w:t xml:space="preserve">The economy’s risk premium </w:t>
      </w:r>
      <w:r w:rsidR="00F557EC" w:rsidRPr="003F4F40">
        <w:rPr>
          <w:rFonts w:ascii="Calibri" w:hAnsi="Calibri" w:cs="Calibri"/>
        </w:rPr>
        <w:t xml:space="preserve">continued to </w:t>
      </w:r>
      <w:r w:rsidRPr="003F4F40">
        <w:rPr>
          <w:rFonts w:ascii="Calibri" w:hAnsi="Calibri" w:cs="Calibri"/>
        </w:rPr>
        <w:t>decline, but remains higher than in the prewar period.</w:t>
      </w:r>
    </w:p>
    <w:p w14:paraId="7B12D1EA" w14:textId="77777777" w:rsidR="00E31FBB" w:rsidRPr="003F4F40" w:rsidRDefault="00E31FBB" w:rsidP="00BD7538">
      <w:pPr>
        <w:ind w:right="-1"/>
        <w:jc w:val="both"/>
        <w:rPr>
          <w:rFonts w:ascii="Calibri" w:hAnsi="Calibri" w:cs="Calibri"/>
        </w:rPr>
      </w:pPr>
    </w:p>
    <w:p w14:paraId="1C0BF7EB" w14:textId="6409063B" w:rsidR="0054460C" w:rsidRPr="003F4F40" w:rsidRDefault="00E31FBB" w:rsidP="004717FC">
      <w:pPr>
        <w:ind w:right="-1"/>
        <w:jc w:val="both"/>
        <w:rPr>
          <w:rFonts w:ascii="Calibri" w:hAnsi="Calibri" w:cs="Calibri"/>
        </w:rPr>
      </w:pPr>
      <w:r w:rsidRPr="003F4F40">
        <w:rPr>
          <w:rFonts w:ascii="Calibri" w:hAnsi="Calibri" w:cs="Calibri"/>
        </w:rPr>
        <w:t xml:space="preserve">The Consumer Price Index </w:t>
      </w:r>
      <w:r w:rsidR="00F557EC" w:rsidRPr="003F4F40">
        <w:rPr>
          <w:rFonts w:ascii="Calibri" w:hAnsi="Calibri" w:cs="Calibri"/>
        </w:rPr>
        <w:t xml:space="preserve">for December </w:t>
      </w:r>
      <w:r w:rsidRPr="003F4F40">
        <w:rPr>
          <w:rFonts w:ascii="Calibri" w:hAnsi="Calibri" w:cs="Calibri"/>
        </w:rPr>
        <w:t>declined by 0.</w:t>
      </w:r>
      <w:r w:rsidR="00F557EC" w:rsidRPr="003F4F40">
        <w:rPr>
          <w:rFonts w:ascii="Calibri" w:hAnsi="Calibri" w:cs="Calibri"/>
        </w:rPr>
        <w:t>3</w:t>
      </w:r>
      <w:r w:rsidRPr="003F4F40">
        <w:rPr>
          <w:rFonts w:ascii="Calibri" w:hAnsi="Calibri" w:cs="Calibri"/>
        </w:rPr>
        <w:t xml:space="preserve"> percent</w:t>
      </w:r>
      <w:r w:rsidR="00F557EC" w:rsidRPr="003F4F40">
        <w:rPr>
          <w:rFonts w:ascii="Calibri" w:hAnsi="Calibri" w:cs="Calibri"/>
        </w:rPr>
        <w:t xml:space="preserve"> and the index for January increased by 0.6 percent</w:t>
      </w:r>
      <w:r w:rsidRPr="003F4F40">
        <w:rPr>
          <w:rFonts w:ascii="Calibri" w:hAnsi="Calibri" w:cs="Calibri"/>
        </w:rPr>
        <w:t xml:space="preserve">.  The inflation rate in the past 12 months </w:t>
      </w:r>
      <w:r w:rsidR="00F557EC" w:rsidRPr="003F4F40">
        <w:rPr>
          <w:rFonts w:ascii="Calibri" w:hAnsi="Calibri" w:cs="Calibri"/>
        </w:rPr>
        <w:t>was</w:t>
      </w:r>
      <w:r w:rsidRPr="003F4F40">
        <w:rPr>
          <w:rFonts w:ascii="Calibri" w:hAnsi="Calibri" w:cs="Calibri"/>
        </w:rPr>
        <w:t xml:space="preserve"> 3.</w:t>
      </w:r>
      <w:r w:rsidR="00F557EC" w:rsidRPr="003F4F40">
        <w:rPr>
          <w:rFonts w:ascii="Calibri" w:hAnsi="Calibri" w:cs="Calibri"/>
        </w:rPr>
        <w:t>8</w:t>
      </w:r>
      <w:r w:rsidRPr="003F4F40">
        <w:rPr>
          <w:rFonts w:ascii="Calibri" w:hAnsi="Calibri" w:cs="Calibri"/>
        </w:rPr>
        <w:t xml:space="preserve"> percent, above the upper bound of </w:t>
      </w:r>
      <w:r w:rsidRPr="003F4F40">
        <w:rPr>
          <w:rFonts w:ascii="Calibri" w:hAnsi="Calibri" w:cs="Calibri"/>
        </w:rPr>
        <w:lastRenderedPageBreak/>
        <w:t>the target range (</w:t>
      </w:r>
      <w:r w:rsidRPr="003F4F40">
        <w:rPr>
          <w:rFonts w:ascii="Calibri" w:hAnsi="Calibri" w:cs="Calibri"/>
          <w:b/>
          <w:bCs/>
        </w:rPr>
        <w:t>Figure 1</w:t>
      </w:r>
      <w:r w:rsidRPr="003F4F40">
        <w:rPr>
          <w:rFonts w:ascii="Calibri" w:hAnsi="Calibri" w:cs="Calibri"/>
        </w:rPr>
        <w:t xml:space="preserve">).  </w:t>
      </w:r>
      <w:r w:rsidR="003978C2" w:rsidRPr="003F4F40">
        <w:rPr>
          <w:rFonts w:ascii="Calibri" w:hAnsi="Calibri" w:cs="Calibri"/>
        </w:rPr>
        <w:t xml:space="preserve">Net of energy and fruit and vegetables, </w:t>
      </w:r>
      <w:r w:rsidRPr="003F4F40">
        <w:rPr>
          <w:rFonts w:ascii="Calibri" w:hAnsi="Calibri" w:cs="Calibri"/>
        </w:rPr>
        <w:t xml:space="preserve">the annual </w:t>
      </w:r>
      <w:r w:rsidR="003978C2" w:rsidRPr="003F4F40">
        <w:rPr>
          <w:rFonts w:ascii="Calibri" w:hAnsi="Calibri" w:cs="Calibri"/>
        </w:rPr>
        <w:t xml:space="preserve">inflation </w:t>
      </w:r>
      <w:r w:rsidRPr="003F4F40">
        <w:rPr>
          <w:rFonts w:ascii="Calibri" w:hAnsi="Calibri" w:cs="Calibri"/>
        </w:rPr>
        <w:t xml:space="preserve">rate </w:t>
      </w:r>
      <w:r w:rsidR="00BE5BD6" w:rsidRPr="003F4F40">
        <w:rPr>
          <w:rFonts w:ascii="Calibri" w:hAnsi="Calibri" w:cs="Calibri"/>
        </w:rPr>
        <w:t>was</w:t>
      </w:r>
      <w:r w:rsidR="00F557EC" w:rsidRPr="003F4F40">
        <w:rPr>
          <w:rFonts w:ascii="Calibri" w:hAnsi="Calibri" w:cs="Calibri"/>
        </w:rPr>
        <w:t xml:space="preserve"> </w:t>
      </w:r>
      <w:r w:rsidR="0036423D" w:rsidRPr="003F4F40">
        <w:rPr>
          <w:rFonts w:ascii="Calibri" w:hAnsi="Calibri" w:cs="Calibri"/>
        </w:rPr>
        <w:t>3.</w:t>
      </w:r>
      <w:r w:rsidR="00F557EC" w:rsidRPr="003F4F40">
        <w:rPr>
          <w:rFonts w:ascii="Calibri" w:hAnsi="Calibri" w:cs="Calibri"/>
        </w:rPr>
        <w:t>9</w:t>
      </w:r>
      <w:r w:rsidR="003978C2" w:rsidRPr="003F4F40">
        <w:rPr>
          <w:rFonts w:ascii="Calibri" w:hAnsi="Calibri" w:cs="Calibri"/>
        </w:rPr>
        <w:t xml:space="preserve"> percent</w:t>
      </w:r>
      <w:r w:rsidR="009775A1" w:rsidRPr="003F4F40">
        <w:rPr>
          <w:rFonts w:ascii="Calibri" w:hAnsi="Calibri" w:cs="Calibri"/>
        </w:rPr>
        <w:t xml:space="preserve"> </w:t>
      </w:r>
      <w:r w:rsidR="003978C2" w:rsidRPr="003F4F40">
        <w:rPr>
          <w:rFonts w:ascii="Calibri" w:hAnsi="Calibri" w:cs="Calibri"/>
          <w:b/>
          <w:bCs/>
        </w:rPr>
        <w:t>(Figure 2)</w:t>
      </w:r>
      <w:r w:rsidR="003978C2" w:rsidRPr="003F4F40">
        <w:rPr>
          <w:rFonts w:ascii="Calibri" w:hAnsi="Calibri" w:cs="Calibri"/>
        </w:rPr>
        <w:t>.</w:t>
      </w:r>
      <w:r w:rsidR="0071424E" w:rsidRPr="003F4F40">
        <w:rPr>
          <w:rFonts w:ascii="Calibri" w:hAnsi="Calibri" w:cs="Calibri"/>
        </w:rPr>
        <w:t xml:space="preserve"> The</w:t>
      </w:r>
      <w:r w:rsidR="00CC1BEA" w:rsidRPr="003F4F40">
        <w:rPr>
          <w:rFonts w:ascii="Calibri" w:hAnsi="Calibri" w:cs="Calibri"/>
        </w:rPr>
        <w:t xml:space="preserve"> </w:t>
      </w:r>
      <w:r w:rsidRPr="003F4F40">
        <w:rPr>
          <w:rFonts w:ascii="Calibri" w:hAnsi="Calibri" w:cs="Calibri"/>
        </w:rPr>
        <w:t xml:space="preserve">annual rate of </w:t>
      </w:r>
      <w:r w:rsidR="00CC1BEA" w:rsidRPr="003F4F40">
        <w:rPr>
          <w:rFonts w:ascii="Calibri" w:hAnsi="Calibri" w:cs="Calibri"/>
        </w:rPr>
        <w:t xml:space="preserve">inflation in </w:t>
      </w:r>
      <w:r w:rsidRPr="003F4F40">
        <w:rPr>
          <w:rFonts w:ascii="Calibri" w:hAnsi="Calibri" w:cs="Calibri"/>
        </w:rPr>
        <w:t xml:space="preserve">the </w:t>
      </w:r>
      <w:r w:rsidR="00CC1BEA" w:rsidRPr="003F4F40">
        <w:rPr>
          <w:rFonts w:ascii="Calibri" w:hAnsi="Calibri" w:cs="Calibri"/>
        </w:rPr>
        <w:t>nontradable components</w:t>
      </w:r>
      <w:r w:rsidRPr="003F4F40">
        <w:rPr>
          <w:rFonts w:ascii="Calibri" w:hAnsi="Calibri" w:cs="Calibri"/>
        </w:rPr>
        <w:t xml:space="preserve"> </w:t>
      </w:r>
      <w:r w:rsidR="00F557EC" w:rsidRPr="003F4F40">
        <w:rPr>
          <w:rFonts w:ascii="Calibri" w:hAnsi="Calibri" w:cs="Calibri"/>
        </w:rPr>
        <w:t>was 4.1</w:t>
      </w:r>
      <w:r w:rsidRPr="003F4F40">
        <w:rPr>
          <w:rFonts w:ascii="Calibri" w:hAnsi="Calibri" w:cs="Calibri"/>
        </w:rPr>
        <w:t xml:space="preserve"> percent, and the rate of inflation of the tradable components is </w:t>
      </w:r>
      <w:r w:rsidR="00F557EC" w:rsidRPr="003F4F40">
        <w:rPr>
          <w:rFonts w:ascii="Calibri" w:hAnsi="Calibri" w:cs="Calibri"/>
        </w:rPr>
        <w:t>3.4</w:t>
      </w:r>
      <w:r w:rsidRPr="003F4F40">
        <w:rPr>
          <w:rFonts w:ascii="Calibri" w:hAnsi="Calibri" w:cs="Calibri"/>
        </w:rPr>
        <w:t xml:space="preserve"> percent in the past 12 months</w:t>
      </w:r>
      <w:r w:rsidR="00651161" w:rsidRPr="003F4F40">
        <w:rPr>
          <w:rFonts w:ascii="Calibri" w:hAnsi="Calibri" w:cs="Calibri"/>
        </w:rPr>
        <w:t xml:space="preserve"> </w:t>
      </w:r>
      <w:r w:rsidR="00651161" w:rsidRPr="003F4F40">
        <w:rPr>
          <w:rFonts w:ascii="Calibri" w:hAnsi="Calibri" w:cs="Calibri"/>
          <w:b/>
          <w:bCs/>
        </w:rPr>
        <w:t>(Figure</w:t>
      </w:r>
      <w:r w:rsidR="00332016" w:rsidRPr="003F4F40">
        <w:rPr>
          <w:rFonts w:ascii="Calibri" w:hAnsi="Calibri" w:cs="Calibri"/>
          <w:b/>
          <w:bCs/>
        </w:rPr>
        <w:t xml:space="preserve">s </w:t>
      </w:r>
      <w:r w:rsidR="00F557EC" w:rsidRPr="003F4F40">
        <w:rPr>
          <w:rFonts w:ascii="Calibri" w:hAnsi="Calibri" w:cs="Calibri"/>
          <w:b/>
          <w:bCs/>
        </w:rPr>
        <w:t>3</w:t>
      </w:r>
      <w:r w:rsidR="00651161" w:rsidRPr="003F4F40">
        <w:rPr>
          <w:rFonts w:ascii="Calibri" w:hAnsi="Calibri" w:cs="Calibri"/>
          <w:b/>
          <w:bCs/>
        </w:rPr>
        <w:t>)</w:t>
      </w:r>
      <w:r w:rsidR="00651161" w:rsidRPr="003F4F40">
        <w:rPr>
          <w:rFonts w:ascii="Calibri" w:hAnsi="Calibri" w:cs="Calibri"/>
        </w:rPr>
        <w:t>.</w:t>
      </w:r>
      <w:r w:rsidR="00A34B91" w:rsidRPr="003F4F40">
        <w:rPr>
          <w:rFonts w:ascii="Calibri" w:hAnsi="Calibri" w:cs="Calibri"/>
        </w:rPr>
        <w:t xml:space="preserve"> </w:t>
      </w:r>
      <w:r w:rsidR="00CC1BEA" w:rsidRPr="003F4F40">
        <w:rPr>
          <w:rFonts w:ascii="Calibri" w:hAnsi="Calibri" w:cs="Calibri"/>
        </w:rPr>
        <w:t>According to forecasters’ projections, i</w:t>
      </w:r>
      <w:r w:rsidR="00D339E5" w:rsidRPr="003F4F40">
        <w:rPr>
          <w:rFonts w:ascii="Calibri" w:hAnsi="Calibri" w:cs="Calibri"/>
        </w:rPr>
        <w:t>nflation</w:t>
      </w:r>
      <w:r w:rsidR="00CC1BEA" w:rsidRPr="003F4F40">
        <w:rPr>
          <w:rFonts w:ascii="Calibri" w:hAnsi="Calibri" w:cs="Calibri"/>
        </w:rPr>
        <w:t xml:space="preserve"> </w:t>
      </w:r>
      <w:r w:rsidR="00F557EC" w:rsidRPr="003F4F40">
        <w:rPr>
          <w:rFonts w:ascii="Calibri" w:hAnsi="Calibri" w:cs="Calibri"/>
        </w:rPr>
        <w:t xml:space="preserve">is expected to </w:t>
      </w:r>
      <w:r w:rsidR="004717FC">
        <w:rPr>
          <w:rFonts w:ascii="Calibri" w:hAnsi="Calibri" w:cs="Calibri"/>
        </w:rPr>
        <w:t>enter</w:t>
      </w:r>
      <w:r w:rsidR="00F557EC" w:rsidRPr="003F4F40">
        <w:rPr>
          <w:rFonts w:ascii="Calibri" w:hAnsi="Calibri" w:cs="Calibri"/>
        </w:rPr>
        <w:t xml:space="preserve"> the upper portion of the target range in the second half of the year</w:t>
      </w:r>
      <w:r w:rsidR="00CC1BEA" w:rsidRPr="003F4F40">
        <w:rPr>
          <w:rFonts w:ascii="Calibri" w:hAnsi="Calibri" w:cs="Calibri"/>
        </w:rPr>
        <w:t xml:space="preserve"> </w:t>
      </w:r>
      <w:r w:rsidR="00610A83" w:rsidRPr="003F4F40">
        <w:rPr>
          <w:rFonts w:ascii="Calibri" w:hAnsi="Calibri" w:cs="Calibri"/>
          <w:b/>
          <w:bCs/>
        </w:rPr>
        <w:t>(Figure 5)</w:t>
      </w:r>
      <w:r w:rsidR="00610A83" w:rsidRPr="003F4F40">
        <w:rPr>
          <w:rFonts w:ascii="Calibri" w:hAnsi="Calibri" w:cs="Calibri"/>
        </w:rPr>
        <w:t>.</w:t>
      </w:r>
      <w:r w:rsidR="0054460C" w:rsidRPr="003F4F40">
        <w:rPr>
          <w:rFonts w:ascii="Calibri" w:hAnsi="Calibri" w:cs="Calibri"/>
        </w:rPr>
        <w:t xml:space="preserve"> </w:t>
      </w:r>
      <w:r w:rsidR="00CC1BEA" w:rsidRPr="003F4F40">
        <w:rPr>
          <w:rFonts w:ascii="Calibri" w:hAnsi="Calibri" w:cs="Calibri"/>
        </w:rPr>
        <w:t xml:space="preserve">According to </w:t>
      </w:r>
      <w:r w:rsidRPr="003F4F40">
        <w:rPr>
          <w:rFonts w:ascii="Calibri" w:hAnsi="Calibri" w:cs="Calibri"/>
        </w:rPr>
        <w:t xml:space="preserve">the </w:t>
      </w:r>
      <w:r w:rsidR="00CC1BEA" w:rsidRPr="003F4F40">
        <w:rPr>
          <w:rFonts w:ascii="Calibri" w:hAnsi="Calibri" w:cs="Calibri"/>
        </w:rPr>
        <w:t xml:space="preserve">various sources, inflation expectations for </w:t>
      </w:r>
      <w:r w:rsidR="0007516C" w:rsidRPr="003F4F40">
        <w:rPr>
          <w:rFonts w:ascii="Calibri" w:hAnsi="Calibri" w:cs="Calibri"/>
        </w:rPr>
        <w:t>one year forward</w:t>
      </w:r>
      <w:r w:rsidR="00CC1BEA" w:rsidRPr="003F4F40">
        <w:rPr>
          <w:rFonts w:ascii="Calibri" w:hAnsi="Calibri" w:cs="Calibri"/>
        </w:rPr>
        <w:t xml:space="preserve"> </w:t>
      </w:r>
      <w:r w:rsidR="0007516C" w:rsidRPr="003F4F40">
        <w:rPr>
          <w:rFonts w:ascii="Calibri" w:hAnsi="Calibri" w:cs="Calibri"/>
        </w:rPr>
        <w:t>are</w:t>
      </w:r>
      <w:r w:rsidRPr="003F4F40">
        <w:rPr>
          <w:rFonts w:ascii="Calibri" w:hAnsi="Calibri" w:cs="Calibri"/>
        </w:rPr>
        <w:t xml:space="preserve"> within </w:t>
      </w:r>
      <w:r w:rsidR="00CC1BEA" w:rsidRPr="003F4F40">
        <w:rPr>
          <w:rFonts w:ascii="Calibri" w:hAnsi="Calibri" w:cs="Calibri"/>
        </w:rPr>
        <w:t>the target range (</w:t>
      </w:r>
      <w:r w:rsidR="00CC1BEA" w:rsidRPr="003F4F40">
        <w:rPr>
          <w:rFonts w:ascii="Calibri" w:hAnsi="Calibri" w:cs="Calibri"/>
          <w:b/>
          <w:bCs/>
        </w:rPr>
        <w:t>Figure 6</w:t>
      </w:r>
      <w:r w:rsidR="00CC1BEA" w:rsidRPr="003F4F40">
        <w:rPr>
          <w:rFonts w:ascii="Calibri" w:hAnsi="Calibri" w:cs="Calibri"/>
        </w:rPr>
        <w:t xml:space="preserve">).  Expectations for the second year onward </w:t>
      </w:r>
      <w:r w:rsidRPr="003F4F40">
        <w:rPr>
          <w:rFonts w:ascii="Calibri" w:hAnsi="Calibri" w:cs="Calibri"/>
        </w:rPr>
        <w:t>remain within</w:t>
      </w:r>
      <w:r w:rsidR="00CC1BEA" w:rsidRPr="003F4F40">
        <w:rPr>
          <w:rFonts w:ascii="Calibri" w:hAnsi="Calibri" w:cs="Calibri"/>
        </w:rPr>
        <w:t xml:space="preserve"> the target range (</w:t>
      </w:r>
      <w:r w:rsidR="00CC1BEA" w:rsidRPr="003F4F40">
        <w:rPr>
          <w:rFonts w:ascii="Calibri" w:hAnsi="Calibri" w:cs="Calibri"/>
          <w:b/>
          <w:bCs/>
        </w:rPr>
        <w:t>Figure 7</w:t>
      </w:r>
      <w:r w:rsidR="00CC1BEA" w:rsidRPr="003F4F40">
        <w:rPr>
          <w:rFonts w:ascii="Calibri" w:hAnsi="Calibri" w:cs="Calibri"/>
        </w:rPr>
        <w:t xml:space="preserve">). </w:t>
      </w:r>
      <w:r w:rsidR="00CC1BEA" w:rsidRPr="003F4F40">
        <w:rPr>
          <w:rFonts w:ascii="Calibri" w:hAnsi="Calibri" w:cs="Calibri"/>
          <w:b/>
          <w:bCs/>
        </w:rPr>
        <w:t xml:space="preserve"> </w:t>
      </w:r>
      <w:r w:rsidR="00583992" w:rsidRPr="003F4F40">
        <w:rPr>
          <w:rFonts w:ascii="Calibri" w:hAnsi="Calibri" w:cs="Calibri"/>
        </w:rPr>
        <w:t>In t</w:t>
      </w:r>
      <w:r w:rsidR="0054460C" w:rsidRPr="003F4F40">
        <w:rPr>
          <w:rFonts w:ascii="Calibri" w:hAnsi="Calibri" w:cs="Calibri"/>
        </w:rPr>
        <w:t>he Committee</w:t>
      </w:r>
      <w:r w:rsidR="00583992" w:rsidRPr="003F4F40">
        <w:rPr>
          <w:rFonts w:ascii="Calibri" w:hAnsi="Calibri" w:cs="Calibri"/>
        </w:rPr>
        <w:t>’s</w:t>
      </w:r>
      <w:r w:rsidR="0054460C" w:rsidRPr="003F4F40">
        <w:rPr>
          <w:rFonts w:ascii="Calibri" w:hAnsi="Calibri" w:cs="Calibri"/>
        </w:rPr>
        <w:t xml:space="preserve"> assess</w:t>
      </w:r>
      <w:r w:rsidR="00583992" w:rsidRPr="003F4F40">
        <w:rPr>
          <w:rFonts w:ascii="Calibri" w:hAnsi="Calibri" w:cs="Calibri"/>
        </w:rPr>
        <w:t>ment,</w:t>
      </w:r>
      <w:r w:rsidR="0054460C" w:rsidRPr="003F4F40">
        <w:rPr>
          <w:rFonts w:ascii="Calibri" w:hAnsi="Calibri" w:cs="Calibri"/>
        </w:rPr>
        <w:t xml:space="preserve"> there are several risks for a possible acceleration </w:t>
      </w:r>
      <w:r w:rsidR="00583992" w:rsidRPr="003F4F40">
        <w:rPr>
          <w:rFonts w:ascii="Calibri" w:hAnsi="Calibri" w:cs="Calibri"/>
        </w:rPr>
        <w:t>of</w:t>
      </w:r>
      <w:r w:rsidR="0054460C" w:rsidRPr="003F4F40">
        <w:rPr>
          <w:rFonts w:ascii="Calibri" w:hAnsi="Calibri" w:cs="Calibri"/>
        </w:rPr>
        <w:t xml:space="preserve"> inflation</w:t>
      </w:r>
      <w:r w:rsidR="00691F03" w:rsidRPr="003F4F40">
        <w:rPr>
          <w:rFonts w:ascii="Calibri" w:hAnsi="Calibri" w:cs="Calibri"/>
        </w:rPr>
        <w:t xml:space="preserve"> or for it not converging to the target range</w:t>
      </w:r>
      <w:r w:rsidR="0054460C" w:rsidRPr="003F4F40">
        <w:rPr>
          <w:rFonts w:ascii="Calibri" w:hAnsi="Calibri" w:cs="Calibri"/>
        </w:rPr>
        <w:t xml:space="preserve">: geopolitical developments and their impact on economic activity, prolonged supply </w:t>
      </w:r>
      <w:r w:rsidR="004907D8" w:rsidRPr="003F4F40">
        <w:rPr>
          <w:rFonts w:ascii="Calibri" w:hAnsi="Calibri" w:cs="Calibri"/>
        </w:rPr>
        <w:t>constraints</w:t>
      </w:r>
      <w:r w:rsidR="0054460C" w:rsidRPr="003F4F40">
        <w:rPr>
          <w:rFonts w:ascii="Calibri" w:hAnsi="Calibri" w:cs="Calibri"/>
        </w:rPr>
        <w:t>,</w:t>
      </w:r>
      <w:r w:rsidR="00EC0B87" w:rsidRPr="003F4F40">
        <w:rPr>
          <w:rFonts w:ascii="Calibri" w:hAnsi="Calibri" w:cs="Calibri"/>
        </w:rPr>
        <w:t xml:space="preserve"> volatility</w:t>
      </w:r>
      <w:r w:rsidR="0054460C" w:rsidRPr="003F4F40">
        <w:rPr>
          <w:rFonts w:ascii="Calibri" w:hAnsi="Calibri" w:cs="Calibri"/>
        </w:rPr>
        <w:t xml:space="preserve"> </w:t>
      </w:r>
      <w:r w:rsidR="00EC0B87" w:rsidRPr="003F4F40">
        <w:rPr>
          <w:rFonts w:ascii="Calibri" w:hAnsi="Calibri" w:cs="Calibri"/>
        </w:rPr>
        <w:t xml:space="preserve">of the shekel, and </w:t>
      </w:r>
      <w:r w:rsidR="0054460C" w:rsidRPr="003F4F40">
        <w:rPr>
          <w:rFonts w:ascii="Calibri" w:hAnsi="Calibri" w:cs="Calibri"/>
        </w:rPr>
        <w:t>fiscal developments.</w:t>
      </w:r>
    </w:p>
    <w:p w14:paraId="1232C5C5" w14:textId="77777777" w:rsidR="00CC1BEA" w:rsidRPr="003F4F40" w:rsidRDefault="00CC1BEA" w:rsidP="00BD7538">
      <w:pPr>
        <w:pStyle w:val="ac"/>
        <w:bidi w:val="0"/>
        <w:spacing w:line="240" w:lineRule="auto"/>
        <w:ind w:left="0" w:right="-1"/>
        <w:rPr>
          <w:rFonts w:ascii="Calibri" w:hAnsi="Calibri" w:cs="Calibri"/>
        </w:rPr>
      </w:pPr>
    </w:p>
    <w:p w14:paraId="40D9D069" w14:textId="3DD86AE4" w:rsidR="009775A1" w:rsidRPr="003F4F40" w:rsidRDefault="00CC1BEA" w:rsidP="00BE5BD6">
      <w:pPr>
        <w:pStyle w:val="ac"/>
        <w:bidi w:val="0"/>
        <w:spacing w:line="240" w:lineRule="auto"/>
        <w:ind w:left="0" w:right="-1"/>
        <w:rPr>
          <w:rFonts w:ascii="Calibri" w:hAnsi="Calibri" w:cs="Calibri"/>
        </w:rPr>
      </w:pPr>
      <w:r w:rsidRPr="003F4F40">
        <w:rPr>
          <w:rFonts w:ascii="Calibri" w:hAnsi="Calibri" w:cs="Calibri"/>
        </w:rPr>
        <w:t xml:space="preserve">Since the previous interest rate decision, the shekel has </w:t>
      </w:r>
      <w:r w:rsidR="00EC0B87" w:rsidRPr="003F4F40">
        <w:rPr>
          <w:rFonts w:ascii="Calibri" w:hAnsi="Calibri" w:cs="Calibri"/>
        </w:rPr>
        <w:t xml:space="preserve">appreciated by </w:t>
      </w:r>
      <w:r w:rsidR="0007516C" w:rsidRPr="003F4F40">
        <w:rPr>
          <w:rFonts w:ascii="Calibri" w:hAnsi="Calibri" w:cs="Calibri"/>
        </w:rPr>
        <w:t>1.9</w:t>
      </w:r>
      <w:r w:rsidRPr="003F4F40">
        <w:rPr>
          <w:rFonts w:ascii="Calibri" w:hAnsi="Calibri" w:cs="Calibri"/>
        </w:rPr>
        <w:t xml:space="preserve"> percent against the US dollar, by </w:t>
      </w:r>
      <w:r w:rsidR="0007516C" w:rsidRPr="003F4F40">
        <w:rPr>
          <w:rFonts w:ascii="Calibri" w:hAnsi="Calibri" w:cs="Calibri"/>
        </w:rPr>
        <w:t>1.3</w:t>
      </w:r>
      <w:r w:rsidRPr="003F4F40">
        <w:rPr>
          <w:rFonts w:ascii="Calibri" w:hAnsi="Calibri" w:cs="Calibri"/>
        </w:rPr>
        <w:t xml:space="preserve"> percent against the euro, and by </w:t>
      </w:r>
      <w:r w:rsidR="0007516C" w:rsidRPr="003F4F40">
        <w:rPr>
          <w:rFonts w:ascii="Calibri" w:hAnsi="Calibri" w:cs="Calibri"/>
        </w:rPr>
        <w:t>1</w:t>
      </w:r>
      <w:r w:rsidRPr="003F4F40">
        <w:rPr>
          <w:rFonts w:ascii="Calibri" w:hAnsi="Calibri" w:cs="Calibri"/>
        </w:rPr>
        <w:t xml:space="preserve"> percent in terms of the nominal effective exchange rate</w:t>
      </w:r>
      <w:r w:rsidR="00B66FC2" w:rsidRPr="003F4F40">
        <w:rPr>
          <w:rFonts w:ascii="Calibri" w:hAnsi="Calibri" w:cs="Calibri"/>
        </w:rPr>
        <w:t>.</w:t>
      </w:r>
      <w:r w:rsidRPr="003F4F40">
        <w:rPr>
          <w:rFonts w:ascii="Calibri" w:hAnsi="Calibri" w:cs="Calibri"/>
        </w:rPr>
        <w:t xml:space="preserve"> </w:t>
      </w:r>
    </w:p>
    <w:p w14:paraId="7F1D2EAC" w14:textId="77777777" w:rsidR="00CC1BEA" w:rsidRPr="003F4F40" w:rsidRDefault="00CC1BEA" w:rsidP="00CC1BEA">
      <w:pPr>
        <w:pStyle w:val="ac"/>
        <w:bidi w:val="0"/>
        <w:spacing w:line="240" w:lineRule="auto"/>
        <w:ind w:left="-270" w:right="265"/>
        <w:rPr>
          <w:rFonts w:ascii="Calibri" w:hAnsi="Calibri" w:cs="Calibri"/>
        </w:rPr>
      </w:pPr>
    </w:p>
    <w:p w14:paraId="1D947738" w14:textId="0191247A" w:rsidR="0007516C" w:rsidRPr="003F4F40" w:rsidRDefault="0007516C" w:rsidP="004717FC">
      <w:pPr>
        <w:jc w:val="both"/>
        <w:rPr>
          <w:rFonts w:ascii="Calibri" w:hAnsi="Calibri" w:cs="Calibri"/>
        </w:rPr>
      </w:pPr>
      <w:r w:rsidRPr="003F4F40">
        <w:rPr>
          <w:rFonts w:ascii="Calibri" w:hAnsi="Calibri" w:cs="Calibri"/>
        </w:rPr>
        <w:t>The first estimate of National Accounts data for the fourth quarter of 2024 shows that growth slowed</w:t>
      </w:r>
      <w:r w:rsidR="004717FC">
        <w:rPr>
          <w:rFonts w:ascii="Calibri" w:hAnsi="Calibri" w:cs="Calibri"/>
        </w:rPr>
        <w:t xml:space="preserve">, </w:t>
      </w:r>
      <w:bookmarkStart w:id="0" w:name="_GoBack"/>
      <w:bookmarkEnd w:id="0"/>
      <w:r w:rsidRPr="003F4F40">
        <w:rPr>
          <w:rFonts w:ascii="Calibri" w:hAnsi="Calibri" w:cs="Calibri"/>
        </w:rPr>
        <w:t>was lower than expected, at 2.5 percent (seasonally adjusted) (</w:t>
      </w:r>
      <w:r w:rsidRPr="003F4F40">
        <w:rPr>
          <w:rFonts w:ascii="Calibri" w:hAnsi="Calibri" w:cs="Calibri"/>
          <w:b/>
          <w:bCs/>
        </w:rPr>
        <w:t>Figure 9</w:t>
      </w:r>
      <w:r w:rsidRPr="003F4F40">
        <w:rPr>
          <w:rFonts w:ascii="Calibri" w:hAnsi="Calibri" w:cs="Calibri"/>
        </w:rPr>
        <w:t>).  Quarterly GDP growth in the fourth quarter was affected by increase</w:t>
      </w:r>
      <w:r w:rsidR="00BE5BD6" w:rsidRPr="003F4F40">
        <w:rPr>
          <w:rFonts w:ascii="Calibri" w:hAnsi="Calibri" w:cs="Calibri"/>
        </w:rPr>
        <w:t>s</w:t>
      </w:r>
      <w:r w:rsidRPr="003F4F40">
        <w:rPr>
          <w:rFonts w:ascii="Calibri" w:hAnsi="Calibri" w:cs="Calibri"/>
        </w:rPr>
        <w:t xml:space="preserve"> in domestic uses: private consumption (9.5 percent), public consumption (11.5 percent), and fixed capital formation (14 percent).  Alongside this, there was a decline of 4.4 percent in services exports excluding startup companies (</w:t>
      </w:r>
      <w:r w:rsidRPr="003F4F40">
        <w:rPr>
          <w:rFonts w:ascii="Calibri" w:hAnsi="Calibri" w:cs="Calibri"/>
          <w:b/>
          <w:bCs/>
        </w:rPr>
        <w:t>Table 1</w:t>
      </w:r>
      <w:r w:rsidRPr="003F4F40">
        <w:rPr>
          <w:rFonts w:ascii="Calibri" w:hAnsi="Calibri" w:cs="Calibri"/>
        </w:rPr>
        <w:t xml:space="preserve">).  The marked increase in domestic uses was </w:t>
      </w:r>
      <w:r w:rsidR="00BE5BD6" w:rsidRPr="003F4F40">
        <w:rPr>
          <w:rFonts w:ascii="Calibri" w:hAnsi="Calibri" w:cs="Calibri"/>
        </w:rPr>
        <w:t>fulfilled</w:t>
      </w:r>
      <w:r w:rsidR="000A0503" w:rsidRPr="003F4F40">
        <w:rPr>
          <w:rFonts w:ascii="Calibri" w:hAnsi="Calibri" w:cs="Calibri"/>
        </w:rPr>
        <w:t xml:space="preserve"> </w:t>
      </w:r>
      <w:r w:rsidRPr="003F4F40">
        <w:rPr>
          <w:rFonts w:ascii="Calibri" w:hAnsi="Calibri" w:cs="Calibri"/>
        </w:rPr>
        <w:t xml:space="preserve">mainly </w:t>
      </w:r>
      <w:r w:rsidR="00BE5BD6" w:rsidRPr="003F4F40">
        <w:rPr>
          <w:rFonts w:ascii="Calibri" w:hAnsi="Calibri" w:cs="Calibri"/>
        </w:rPr>
        <w:t>through</w:t>
      </w:r>
      <w:r w:rsidRPr="003F4F40">
        <w:rPr>
          <w:rFonts w:ascii="Calibri" w:hAnsi="Calibri" w:cs="Calibri"/>
        </w:rPr>
        <w:t xml:space="preserve"> an increase of 12.5 percent in imports (excluding defense, ships and aircraft</w:t>
      </w:r>
      <w:r w:rsidR="00BE5BD6" w:rsidRPr="003F4F40">
        <w:rPr>
          <w:rFonts w:ascii="Calibri" w:hAnsi="Calibri" w:cs="Calibri"/>
        </w:rPr>
        <w:t>, and diamonds)</w:t>
      </w:r>
      <w:r w:rsidRPr="003F4F40">
        <w:rPr>
          <w:rFonts w:ascii="Calibri" w:hAnsi="Calibri" w:cs="Calibri"/>
        </w:rPr>
        <w:t xml:space="preserve">, reflecting </w:t>
      </w:r>
      <w:r w:rsidR="00BE5BD6" w:rsidRPr="003F4F40">
        <w:rPr>
          <w:rFonts w:ascii="Calibri" w:hAnsi="Calibri" w:cs="Calibri"/>
        </w:rPr>
        <w:t>excess</w:t>
      </w:r>
      <w:r w:rsidRPr="003F4F40">
        <w:rPr>
          <w:rFonts w:ascii="Calibri" w:hAnsi="Calibri" w:cs="Calibri"/>
        </w:rPr>
        <w:t xml:space="preserve"> demand </w:t>
      </w:r>
      <w:r w:rsidR="00BE5BD6" w:rsidRPr="003F4F40">
        <w:rPr>
          <w:rFonts w:ascii="Calibri" w:hAnsi="Calibri" w:cs="Calibri"/>
        </w:rPr>
        <w:t xml:space="preserve">against the background of </w:t>
      </w:r>
      <w:r w:rsidRPr="003F4F40">
        <w:rPr>
          <w:rFonts w:ascii="Calibri" w:hAnsi="Calibri" w:cs="Calibri"/>
        </w:rPr>
        <w:t>supply constraints.</w:t>
      </w:r>
      <w:r w:rsidR="00A6367F" w:rsidRPr="003F4F40">
        <w:rPr>
          <w:rFonts w:ascii="Calibri" w:hAnsi="Calibri" w:cs="Calibri"/>
        </w:rPr>
        <w:t xml:space="preserve">  Third quarter GDP growth data were revised upward to 5.3 percent.  For the year as a whole, in view of the revision of previous figures, GDP grew at a pace of 1 percent, which was slightly higher than the Research Department’s January 2025 projection.  The most recent data show that the gap between actual GDP and its expected level according to the </w:t>
      </w:r>
      <w:r w:rsidR="00BE5BD6" w:rsidRPr="003F4F40">
        <w:rPr>
          <w:rFonts w:ascii="Calibri" w:hAnsi="Calibri" w:cs="Calibri"/>
        </w:rPr>
        <w:t>long-term trend was 4.4 percent</w:t>
      </w:r>
      <w:r w:rsidR="00A6367F" w:rsidRPr="003F4F40">
        <w:rPr>
          <w:rFonts w:ascii="Calibri" w:hAnsi="Calibri" w:cs="Calibri"/>
        </w:rPr>
        <w:t>, and the gap between actual business sector output and its expected level was about 6 percent.</w:t>
      </w:r>
    </w:p>
    <w:p w14:paraId="63AE6733" w14:textId="77777777" w:rsidR="0007516C" w:rsidRPr="003F4F40" w:rsidRDefault="0007516C" w:rsidP="00CA0C2F">
      <w:pPr>
        <w:jc w:val="both"/>
        <w:rPr>
          <w:rFonts w:ascii="Calibri" w:hAnsi="Calibri" w:cs="Calibri"/>
        </w:rPr>
      </w:pPr>
    </w:p>
    <w:p w14:paraId="34B9F0C9" w14:textId="30525A7E" w:rsidR="00E17FE1" w:rsidRPr="003F4F40" w:rsidRDefault="00B1285C" w:rsidP="00BE5BD6">
      <w:pPr>
        <w:ind w:right="-1"/>
        <w:jc w:val="both"/>
        <w:rPr>
          <w:rFonts w:ascii="Calibri" w:hAnsi="Calibri" w:cs="Calibri"/>
        </w:rPr>
      </w:pPr>
      <w:r w:rsidRPr="003F4F40">
        <w:rPr>
          <w:rFonts w:ascii="Calibri" w:hAnsi="Calibri" w:cs="Calibri"/>
        </w:rPr>
        <w:t>Current</w:t>
      </w:r>
      <w:r w:rsidR="000857A0" w:rsidRPr="003F4F40">
        <w:rPr>
          <w:rFonts w:ascii="Calibri" w:hAnsi="Calibri" w:cs="Calibri"/>
        </w:rPr>
        <w:t xml:space="preserve"> </w:t>
      </w:r>
      <w:r w:rsidR="00312446" w:rsidRPr="003F4F40">
        <w:rPr>
          <w:rFonts w:ascii="Calibri" w:hAnsi="Calibri" w:cs="Calibri"/>
        </w:rPr>
        <w:t xml:space="preserve">indicators of economic activity </w:t>
      </w:r>
      <w:r w:rsidR="000857A0" w:rsidRPr="003F4F40">
        <w:rPr>
          <w:rFonts w:ascii="Calibri" w:hAnsi="Calibri" w:cs="Calibri"/>
        </w:rPr>
        <w:t xml:space="preserve">show </w:t>
      </w:r>
      <w:r w:rsidR="00A6367F" w:rsidRPr="003F4F40">
        <w:rPr>
          <w:rFonts w:ascii="Calibri" w:hAnsi="Calibri" w:cs="Calibri"/>
        </w:rPr>
        <w:t xml:space="preserve">continued moderate </w:t>
      </w:r>
      <w:r w:rsidRPr="003F4F40">
        <w:rPr>
          <w:rFonts w:ascii="Calibri" w:hAnsi="Calibri" w:cs="Calibri"/>
        </w:rPr>
        <w:t xml:space="preserve">recovery. </w:t>
      </w:r>
      <w:r w:rsidR="00A6367F" w:rsidRPr="003F4F40">
        <w:rPr>
          <w:rFonts w:ascii="Calibri" w:hAnsi="Calibri" w:cs="Calibri"/>
        </w:rPr>
        <w:t>While the most recent data for nominal</w:t>
      </w:r>
      <w:r w:rsidRPr="003F4F40">
        <w:rPr>
          <w:rFonts w:ascii="Calibri" w:hAnsi="Calibri" w:cs="Calibri"/>
        </w:rPr>
        <w:t xml:space="preserve"> credit card expenditures</w:t>
      </w:r>
      <w:r w:rsidR="00A6367F" w:rsidRPr="003F4F40">
        <w:rPr>
          <w:rFonts w:ascii="Calibri" w:hAnsi="Calibri" w:cs="Calibri"/>
        </w:rPr>
        <w:t xml:space="preserve"> declined slightly, they are still within the long-term trend environment</w:t>
      </w:r>
      <w:r w:rsidRPr="003F4F40">
        <w:rPr>
          <w:rFonts w:ascii="Calibri" w:hAnsi="Calibri" w:cs="Calibri"/>
        </w:rPr>
        <w:t xml:space="preserve"> (</w:t>
      </w:r>
      <w:r w:rsidRPr="003F4F40">
        <w:rPr>
          <w:rFonts w:ascii="Calibri" w:hAnsi="Calibri" w:cs="Calibri"/>
          <w:b/>
          <w:bCs/>
        </w:rPr>
        <w:t>Figure 1</w:t>
      </w:r>
      <w:r w:rsidR="00A6367F" w:rsidRPr="003F4F40">
        <w:rPr>
          <w:rFonts w:ascii="Calibri" w:hAnsi="Calibri" w:cs="Calibri"/>
          <w:b/>
          <w:bCs/>
        </w:rPr>
        <w:t>3</w:t>
      </w:r>
      <w:r w:rsidRPr="003F4F40">
        <w:rPr>
          <w:rFonts w:ascii="Calibri" w:hAnsi="Calibri" w:cs="Calibri"/>
        </w:rPr>
        <w:t xml:space="preserve">).  The aggregate balance of the Central Bureau of Statistics Business Tendency Survey </w:t>
      </w:r>
      <w:r w:rsidR="00A6367F" w:rsidRPr="003F4F40">
        <w:rPr>
          <w:rFonts w:ascii="Calibri" w:hAnsi="Calibri" w:cs="Calibri"/>
        </w:rPr>
        <w:t xml:space="preserve">continued to </w:t>
      </w:r>
      <w:r w:rsidRPr="003F4F40">
        <w:rPr>
          <w:rFonts w:ascii="Calibri" w:hAnsi="Calibri" w:cs="Calibri"/>
        </w:rPr>
        <w:t>increase in</w:t>
      </w:r>
      <w:r w:rsidR="00A6367F" w:rsidRPr="003F4F40">
        <w:rPr>
          <w:rFonts w:ascii="Calibri" w:hAnsi="Calibri" w:cs="Calibri"/>
        </w:rPr>
        <w:t xml:space="preserve"> January</w:t>
      </w:r>
      <w:r w:rsidRPr="003F4F40">
        <w:rPr>
          <w:rFonts w:ascii="Calibri" w:hAnsi="Calibri" w:cs="Calibri"/>
        </w:rPr>
        <w:t xml:space="preserve">, </w:t>
      </w:r>
      <w:r w:rsidR="00A6367F" w:rsidRPr="003F4F40">
        <w:rPr>
          <w:rFonts w:ascii="Calibri" w:hAnsi="Calibri" w:cs="Calibri"/>
        </w:rPr>
        <w:t>and is close to</w:t>
      </w:r>
      <w:r w:rsidRPr="003F4F40">
        <w:rPr>
          <w:rFonts w:ascii="Calibri" w:hAnsi="Calibri" w:cs="Calibri"/>
        </w:rPr>
        <w:t xml:space="preserve"> its prewar level</w:t>
      </w:r>
      <w:r w:rsidR="000857A0" w:rsidRPr="003F4F40">
        <w:rPr>
          <w:rFonts w:ascii="Calibri" w:hAnsi="Calibri" w:cs="Calibri"/>
        </w:rPr>
        <w:t xml:space="preserve"> (</w:t>
      </w:r>
      <w:r w:rsidR="000857A0" w:rsidRPr="003F4F40">
        <w:rPr>
          <w:rFonts w:ascii="Calibri" w:hAnsi="Calibri" w:cs="Calibri"/>
          <w:b/>
          <w:bCs/>
        </w:rPr>
        <w:t>Figure 1</w:t>
      </w:r>
      <w:r w:rsidR="00640058" w:rsidRPr="003F4F40">
        <w:rPr>
          <w:rFonts w:ascii="Calibri" w:hAnsi="Calibri" w:cs="Calibri"/>
          <w:b/>
          <w:bCs/>
        </w:rPr>
        <w:t>1</w:t>
      </w:r>
      <w:r w:rsidR="000857A0" w:rsidRPr="003F4F40">
        <w:rPr>
          <w:rFonts w:ascii="Calibri" w:hAnsi="Calibri" w:cs="Calibri"/>
        </w:rPr>
        <w:t>).</w:t>
      </w:r>
      <w:r w:rsidRPr="003F4F40">
        <w:rPr>
          <w:rFonts w:ascii="Calibri" w:hAnsi="Calibri" w:cs="Calibri"/>
        </w:rPr>
        <w:t xml:space="preserve"> </w:t>
      </w:r>
      <w:r w:rsidR="00AC157F" w:rsidRPr="003F4F40">
        <w:rPr>
          <w:rFonts w:ascii="Calibri" w:hAnsi="Calibri" w:cs="Calibri"/>
        </w:rPr>
        <w:t xml:space="preserve"> </w:t>
      </w:r>
      <w:r w:rsidR="00A6367F" w:rsidRPr="003F4F40">
        <w:rPr>
          <w:rFonts w:ascii="Calibri" w:hAnsi="Calibri" w:cs="Calibri"/>
        </w:rPr>
        <w:t>In particular, there was a recovery in the northern and southern districts, where the sharpest decline took place due to the war, and the balance is now similar to its prewar level. (</w:t>
      </w:r>
      <w:r w:rsidR="00A6367F" w:rsidRPr="003F4F40">
        <w:rPr>
          <w:rFonts w:ascii="Calibri" w:hAnsi="Calibri" w:cs="Calibri"/>
          <w:b/>
          <w:bCs/>
        </w:rPr>
        <w:t>Figure 12</w:t>
      </w:r>
      <w:r w:rsidR="00A6367F" w:rsidRPr="003F4F40">
        <w:rPr>
          <w:rFonts w:ascii="Calibri" w:hAnsi="Calibri" w:cs="Calibri"/>
        </w:rPr>
        <w:t xml:space="preserve">). </w:t>
      </w:r>
      <w:r w:rsidR="00E85A6E" w:rsidRPr="003F4F40">
        <w:rPr>
          <w:rFonts w:ascii="Calibri" w:hAnsi="Calibri" w:cs="Calibri"/>
        </w:rPr>
        <w:t xml:space="preserve">The Composite State of the Economy Index for January increased by 0.6 percent, and the indices for November and December were revised upward, each by 0.2 percent. </w:t>
      </w:r>
      <w:r w:rsidR="00FD2417" w:rsidRPr="003F4F40">
        <w:rPr>
          <w:rFonts w:ascii="Calibri" w:hAnsi="Calibri" w:cs="Calibri"/>
        </w:rPr>
        <w:t xml:space="preserve">Capital raised in the high-tech industry in </w:t>
      </w:r>
      <w:r w:rsidR="00A6367F" w:rsidRPr="003F4F40">
        <w:rPr>
          <w:rFonts w:ascii="Calibri" w:hAnsi="Calibri" w:cs="Calibri"/>
        </w:rPr>
        <w:t>January–February</w:t>
      </w:r>
      <w:r w:rsidR="00FD2417" w:rsidRPr="003F4F40">
        <w:rPr>
          <w:rFonts w:ascii="Calibri" w:hAnsi="Calibri" w:cs="Calibri"/>
        </w:rPr>
        <w:t xml:space="preserve"> was similar to 2019 and prewar levels </w:t>
      </w:r>
      <w:r w:rsidR="000857A0" w:rsidRPr="003F4F40">
        <w:rPr>
          <w:rFonts w:ascii="Calibri" w:hAnsi="Calibri" w:cs="Calibri"/>
        </w:rPr>
        <w:t>(</w:t>
      </w:r>
      <w:r w:rsidR="000857A0" w:rsidRPr="003F4F40">
        <w:rPr>
          <w:rFonts w:ascii="Calibri" w:hAnsi="Calibri" w:cs="Calibri"/>
          <w:b/>
          <w:bCs/>
        </w:rPr>
        <w:t>Figure 2</w:t>
      </w:r>
      <w:r w:rsidR="00A6367F" w:rsidRPr="003F4F40">
        <w:rPr>
          <w:rFonts w:ascii="Calibri" w:hAnsi="Calibri" w:cs="Calibri"/>
          <w:b/>
          <w:bCs/>
        </w:rPr>
        <w:t>4</w:t>
      </w:r>
      <w:r w:rsidR="000857A0" w:rsidRPr="003F4F40">
        <w:rPr>
          <w:rFonts w:ascii="Calibri" w:hAnsi="Calibri" w:cs="Calibri"/>
        </w:rPr>
        <w:t>)</w:t>
      </w:r>
      <w:r w:rsidR="003345FF" w:rsidRPr="003F4F40">
        <w:rPr>
          <w:rFonts w:ascii="Calibri" w:hAnsi="Calibri" w:cs="Calibri"/>
        </w:rPr>
        <w:t>.</w:t>
      </w:r>
      <w:r w:rsidR="000857A0" w:rsidRPr="003F4F40">
        <w:rPr>
          <w:rFonts w:ascii="Calibri" w:hAnsi="Calibri" w:cs="Calibri"/>
        </w:rPr>
        <w:t xml:space="preserve"> </w:t>
      </w:r>
      <w:r w:rsidR="00A6367F" w:rsidRPr="003F4F40">
        <w:rPr>
          <w:rFonts w:ascii="Calibri" w:hAnsi="Calibri" w:cs="Calibri"/>
        </w:rPr>
        <w:t xml:space="preserve"> In contrast, </w:t>
      </w:r>
      <w:r w:rsidR="0044725D" w:rsidRPr="003F4F40">
        <w:rPr>
          <w:rFonts w:ascii="Calibri" w:hAnsi="Calibri" w:cs="Calibri"/>
        </w:rPr>
        <w:t xml:space="preserve">consumer confidence </w:t>
      </w:r>
      <w:r w:rsidR="00A6367F" w:rsidRPr="003F4F40">
        <w:rPr>
          <w:rFonts w:ascii="Calibri" w:hAnsi="Calibri" w:cs="Calibri"/>
        </w:rPr>
        <w:t>continued to</w:t>
      </w:r>
      <w:r w:rsidR="0044725D" w:rsidRPr="003F4F40">
        <w:rPr>
          <w:rFonts w:ascii="Calibri" w:hAnsi="Calibri" w:cs="Calibri"/>
        </w:rPr>
        <w:t xml:space="preserve"> decline</w:t>
      </w:r>
      <w:r w:rsidR="00A6367F" w:rsidRPr="003F4F40">
        <w:rPr>
          <w:rFonts w:ascii="Calibri" w:hAnsi="Calibri" w:cs="Calibri"/>
        </w:rPr>
        <w:t xml:space="preserve"> in 2024, and its level is low</w:t>
      </w:r>
      <w:r w:rsidR="0044725D" w:rsidRPr="003F4F40">
        <w:rPr>
          <w:rFonts w:ascii="Calibri" w:hAnsi="Calibri" w:cs="Calibri"/>
        </w:rPr>
        <w:t xml:space="preserve">.  </w:t>
      </w:r>
      <w:r w:rsidR="00A6367F" w:rsidRPr="003F4F40">
        <w:rPr>
          <w:rFonts w:ascii="Calibri" w:hAnsi="Calibri" w:cs="Calibri"/>
        </w:rPr>
        <w:t>The f</w:t>
      </w:r>
      <w:r w:rsidR="00FD2417" w:rsidRPr="003F4F40">
        <w:rPr>
          <w:rFonts w:ascii="Calibri" w:hAnsi="Calibri" w:cs="Calibri"/>
        </w:rPr>
        <w:t xml:space="preserve">oreign trade </w:t>
      </w:r>
      <w:r w:rsidR="00A6367F" w:rsidRPr="003F4F40">
        <w:rPr>
          <w:rFonts w:ascii="Calibri" w:hAnsi="Calibri" w:cs="Calibri"/>
        </w:rPr>
        <w:t xml:space="preserve">deficit in goods continued to widen in January, in view of the rapid growth of imports while exports remained </w:t>
      </w:r>
      <w:r w:rsidR="00BE5BD6" w:rsidRPr="003F4F40">
        <w:rPr>
          <w:rFonts w:ascii="Calibri" w:hAnsi="Calibri" w:cs="Calibri"/>
        </w:rPr>
        <w:t>unchanged</w:t>
      </w:r>
      <w:r w:rsidR="000857A0" w:rsidRPr="003F4F40">
        <w:rPr>
          <w:rFonts w:ascii="Calibri" w:hAnsi="Calibri" w:cs="Calibri"/>
        </w:rPr>
        <w:t xml:space="preserve"> (</w:t>
      </w:r>
      <w:r w:rsidR="000857A0" w:rsidRPr="003F4F40">
        <w:rPr>
          <w:rFonts w:ascii="Calibri" w:hAnsi="Calibri" w:cs="Calibri"/>
          <w:b/>
          <w:bCs/>
        </w:rPr>
        <w:t>Figure</w:t>
      </w:r>
      <w:r w:rsidR="00BD7538" w:rsidRPr="003F4F40">
        <w:rPr>
          <w:rFonts w:ascii="Calibri" w:hAnsi="Calibri" w:cs="Calibri"/>
          <w:b/>
          <w:bCs/>
        </w:rPr>
        <w:t>s</w:t>
      </w:r>
      <w:r w:rsidR="000857A0" w:rsidRPr="003F4F40">
        <w:rPr>
          <w:rFonts w:ascii="Calibri" w:hAnsi="Calibri" w:cs="Calibri"/>
          <w:b/>
          <w:bCs/>
        </w:rPr>
        <w:t xml:space="preserve"> </w:t>
      </w:r>
      <w:r w:rsidR="00BD7538" w:rsidRPr="003F4F40">
        <w:rPr>
          <w:rFonts w:ascii="Calibri" w:hAnsi="Calibri" w:cs="Calibri"/>
          <w:b/>
          <w:bCs/>
        </w:rPr>
        <w:t>2</w:t>
      </w:r>
      <w:r w:rsidR="00A6367F" w:rsidRPr="003F4F40">
        <w:rPr>
          <w:rFonts w:ascii="Calibri" w:hAnsi="Calibri" w:cs="Calibri"/>
          <w:b/>
          <w:bCs/>
        </w:rPr>
        <w:t>2</w:t>
      </w:r>
      <w:r w:rsidR="00BD7538" w:rsidRPr="003F4F40">
        <w:rPr>
          <w:rFonts w:ascii="Calibri" w:hAnsi="Calibri" w:cs="Calibri"/>
          <w:b/>
          <w:bCs/>
        </w:rPr>
        <w:t xml:space="preserve"> and 2</w:t>
      </w:r>
      <w:r w:rsidR="00A6367F" w:rsidRPr="003F4F40">
        <w:rPr>
          <w:rFonts w:ascii="Calibri" w:hAnsi="Calibri" w:cs="Calibri"/>
          <w:b/>
          <w:bCs/>
        </w:rPr>
        <w:t>3</w:t>
      </w:r>
      <w:r w:rsidR="000857A0" w:rsidRPr="003F4F40">
        <w:rPr>
          <w:rFonts w:ascii="Calibri" w:hAnsi="Calibri" w:cs="Calibri"/>
        </w:rPr>
        <w:t xml:space="preserve">). </w:t>
      </w:r>
    </w:p>
    <w:p w14:paraId="5C572004" w14:textId="77777777" w:rsidR="00A72A29" w:rsidRPr="003F4F40" w:rsidRDefault="00A72A29" w:rsidP="00BD7538">
      <w:pPr>
        <w:ind w:right="-1"/>
        <w:jc w:val="both"/>
        <w:rPr>
          <w:rFonts w:ascii="Calibri" w:hAnsi="Calibri" w:cs="Calibri"/>
        </w:rPr>
      </w:pPr>
    </w:p>
    <w:p w14:paraId="157420DB" w14:textId="1B47D0B2" w:rsidR="00244C15" w:rsidRPr="003F4F40" w:rsidRDefault="00086CE6" w:rsidP="00BE5BD6">
      <w:pPr>
        <w:ind w:right="-1"/>
        <w:jc w:val="both"/>
        <w:rPr>
          <w:rFonts w:ascii="Calibri" w:hAnsi="Calibri" w:cs="Calibri"/>
        </w:rPr>
      </w:pPr>
      <w:r w:rsidRPr="003F4F40">
        <w:rPr>
          <w:rFonts w:ascii="Calibri" w:hAnsi="Calibri" w:cs="Calibri"/>
        </w:rPr>
        <w:t>The cumulative deficit in the government budget</w:t>
      </w:r>
      <w:r w:rsidR="0072321A" w:rsidRPr="003F4F40">
        <w:rPr>
          <w:rFonts w:ascii="Calibri" w:hAnsi="Calibri" w:cs="Calibri"/>
        </w:rPr>
        <w:t xml:space="preserve"> in the past 12 months</w:t>
      </w:r>
      <w:r w:rsidRPr="003F4F40">
        <w:rPr>
          <w:rFonts w:ascii="Calibri" w:hAnsi="Calibri" w:cs="Calibri"/>
        </w:rPr>
        <w:t xml:space="preserve"> </w:t>
      </w:r>
      <w:r w:rsidR="0072321A" w:rsidRPr="003F4F40">
        <w:rPr>
          <w:rFonts w:ascii="Calibri" w:hAnsi="Calibri" w:cs="Calibri"/>
        </w:rPr>
        <w:t xml:space="preserve">was 5.8 percent of GDP, down from 6.9 percent in December, in view of the sharp growth in tax </w:t>
      </w:r>
      <w:r w:rsidR="00BE5BD6" w:rsidRPr="003F4F40">
        <w:rPr>
          <w:rFonts w:ascii="Calibri" w:hAnsi="Calibri" w:cs="Calibri"/>
        </w:rPr>
        <w:t>revenues</w:t>
      </w:r>
      <w:r w:rsidR="0072321A" w:rsidRPr="003F4F40">
        <w:rPr>
          <w:rFonts w:ascii="Calibri" w:hAnsi="Calibri" w:cs="Calibri"/>
        </w:rPr>
        <w:t xml:space="preserve"> (</w:t>
      </w:r>
      <w:r w:rsidR="0072321A" w:rsidRPr="003F4F40">
        <w:rPr>
          <w:rFonts w:ascii="Calibri" w:hAnsi="Calibri" w:cs="Calibri"/>
          <w:b/>
          <w:bCs/>
        </w:rPr>
        <w:t>Figure 21</w:t>
      </w:r>
      <w:r w:rsidR="0072321A" w:rsidRPr="003F4F40">
        <w:rPr>
          <w:rFonts w:ascii="Calibri" w:hAnsi="Calibri" w:cs="Calibri"/>
        </w:rPr>
        <w:t xml:space="preserve">). Accounting for seasonality and anomalous revenues, </w:t>
      </w:r>
      <w:r w:rsidR="00C979CB" w:rsidRPr="003F4F40">
        <w:rPr>
          <w:rFonts w:ascii="Calibri" w:hAnsi="Calibri" w:cs="Calibri"/>
        </w:rPr>
        <w:t xml:space="preserve">tax </w:t>
      </w:r>
      <w:r w:rsidR="00BE5BD6" w:rsidRPr="003F4F40">
        <w:rPr>
          <w:rFonts w:ascii="Calibri" w:hAnsi="Calibri" w:cs="Calibri"/>
        </w:rPr>
        <w:t>revenues</w:t>
      </w:r>
      <w:r w:rsidR="00C979CB" w:rsidRPr="003F4F40">
        <w:rPr>
          <w:rFonts w:ascii="Calibri" w:hAnsi="Calibri" w:cs="Calibri"/>
        </w:rPr>
        <w:t xml:space="preserve"> </w:t>
      </w:r>
      <w:r w:rsidR="0072321A" w:rsidRPr="003F4F40">
        <w:rPr>
          <w:rFonts w:ascii="Calibri" w:hAnsi="Calibri" w:cs="Calibri"/>
        </w:rPr>
        <w:t>are in line with the nominal GDP growth rate and higher than the long-term real path.</w:t>
      </w:r>
      <w:r w:rsidR="00E17FE1" w:rsidRPr="003F4F40">
        <w:rPr>
          <w:rFonts w:ascii="Calibri" w:hAnsi="Calibri" w:cs="Calibri"/>
        </w:rPr>
        <w:t xml:space="preserve"> </w:t>
      </w:r>
    </w:p>
    <w:p w14:paraId="231D3E83" w14:textId="77777777" w:rsidR="00244C15" w:rsidRPr="003F4F40" w:rsidRDefault="00244C15" w:rsidP="00BD7538">
      <w:pPr>
        <w:ind w:right="-1"/>
        <w:jc w:val="both"/>
        <w:rPr>
          <w:rFonts w:ascii="Calibri" w:hAnsi="Calibri" w:cs="Calibri"/>
        </w:rPr>
      </w:pPr>
    </w:p>
    <w:p w14:paraId="33F3EFF9" w14:textId="77777777" w:rsidR="008A0DA3" w:rsidRPr="003F4F40" w:rsidRDefault="00820E0F" w:rsidP="00691F03">
      <w:pPr>
        <w:ind w:right="-1"/>
        <w:jc w:val="both"/>
        <w:rPr>
          <w:rFonts w:ascii="Calibri" w:hAnsi="Calibri" w:cs="Calibri"/>
        </w:rPr>
      </w:pPr>
      <w:r w:rsidRPr="003F4F40">
        <w:rPr>
          <w:rFonts w:ascii="Calibri" w:hAnsi="Calibri" w:cs="Calibri"/>
        </w:rPr>
        <w:lastRenderedPageBreak/>
        <w:t xml:space="preserve">The labor market remains tight. </w:t>
      </w:r>
      <w:r w:rsidR="00415067" w:rsidRPr="003F4F40">
        <w:rPr>
          <w:rFonts w:ascii="Calibri" w:hAnsi="Calibri" w:cs="Calibri"/>
        </w:rPr>
        <w:t xml:space="preserve">The </w:t>
      </w:r>
      <w:r w:rsidR="0072321A" w:rsidRPr="003F4F40">
        <w:rPr>
          <w:rFonts w:ascii="Calibri" w:hAnsi="Calibri" w:cs="Calibri"/>
        </w:rPr>
        <w:t>broad unemployment rate continued to decline, to 2.8 percent in January (seasonally adjusted), which is lower than its prewar level (</w:t>
      </w:r>
      <w:r w:rsidR="0072321A" w:rsidRPr="003F4F40">
        <w:rPr>
          <w:rFonts w:ascii="Calibri" w:hAnsi="Calibri" w:cs="Calibri"/>
          <w:b/>
          <w:bCs/>
        </w:rPr>
        <w:t>Figure 14b</w:t>
      </w:r>
      <w:r w:rsidR="0072321A" w:rsidRPr="003F4F40">
        <w:rPr>
          <w:rFonts w:ascii="Calibri" w:hAnsi="Calibri" w:cs="Calibri"/>
        </w:rPr>
        <w:t>). The rate of temporary absentees due to reserve duty continued to decline, to 0.6 percent in January. The j</w:t>
      </w:r>
      <w:r w:rsidR="00415067" w:rsidRPr="003F4F40">
        <w:rPr>
          <w:rFonts w:ascii="Calibri" w:hAnsi="Calibri" w:cs="Calibri"/>
        </w:rPr>
        <w:t xml:space="preserve">ob vacancy rate </w:t>
      </w:r>
      <w:r w:rsidR="0072321A" w:rsidRPr="003F4F40">
        <w:rPr>
          <w:rFonts w:ascii="Calibri" w:hAnsi="Calibri" w:cs="Calibri"/>
        </w:rPr>
        <w:t>remained stable at 4.4 percent in January (</w:t>
      </w:r>
      <w:r w:rsidR="0072321A" w:rsidRPr="003F4F40">
        <w:rPr>
          <w:rFonts w:ascii="Calibri" w:hAnsi="Calibri" w:cs="Calibri"/>
          <w:b/>
          <w:bCs/>
        </w:rPr>
        <w:t>Figure 16a</w:t>
      </w:r>
      <w:r w:rsidR="0072321A" w:rsidRPr="003F4F40">
        <w:rPr>
          <w:rFonts w:ascii="Calibri" w:hAnsi="Calibri" w:cs="Calibri"/>
        </w:rPr>
        <w:t>)</w:t>
      </w:r>
      <w:r w:rsidR="00415067" w:rsidRPr="003F4F40">
        <w:rPr>
          <w:rFonts w:ascii="Calibri" w:hAnsi="Calibri" w:cs="Calibri"/>
        </w:rPr>
        <w:t>.</w:t>
      </w:r>
      <w:r w:rsidRPr="003F4F40">
        <w:rPr>
          <w:rFonts w:ascii="Calibri" w:hAnsi="Calibri" w:cs="Calibri"/>
        </w:rPr>
        <w:t xml:space="preserve"> </w:t>
      </w:r>
      <w:r w:rsidR="0072321A" w:rsidRPr="003F4F40">
        <w:rPr>
          <w:rFonts w:ascii="Calibri" w:hAnsi="Calibri" w:cs="Calibri"/>
        </w:rPr>
        <w:t>The employment rate reached its prewar level in January, and t</w:t>
      </w:r>
      <w:r w:rsidRPr="003F4F40">
        <w:rPr>
          <w:rFonts w:ascii="Calibri" w:hAnsi="Calibri" w:cs="Calibri"/>
        </w:rPr>
        <w:t xml:space="preserve">he participation rate </w:t>
      </w:r>
      <w:r w:rsidR="00415067" w:rsidRPr="003F4F40">
        <w:rPr>
          <w:rFonts w:ascii="Calibri" w:hAnsi="Calibri" w:cs="Calibri"/>
        </w:rPr>
        <w:t xml:space="preserve">among those aged 15 and older </w:t>
      </w:r>
      <w:r w:rsidR="0072321A" w:rsidRPr="003F4F40">
        <w:rPr>
          <w:rFonts w:ascii="Calibri" w:hAnsi="Calibri" w:cs="Calibri"/>
        </w:rPr>
        <w:t xml:space="preserve">continued to </w:t>
      </w:r>
      <w:r w:rsidR="00415067" w:rsidRPr="003F4F40">
        <w:rPr>
          <w:rFonts w:ascii="Calibri" w:hAnsi="Calibri" w:cs="Calibri"/>
        </w:rPr>
        <w:t>increase</w:t>
      </w:r>
      <w:r w:rsidR="0072321A" w:rsidRPr="003F4F40">
        <w:rPr>
          <w:rFonts w:ascii="Calibri" w:hAnsi="Calibri" w:cs="Calibri"/>
        </w:rPr>
        <w:t xml:space="preserve">, and is </w:t>
      </w:r>
      <w:r w:rsidR="00691F03" w:rsidRPr="003F4F40">
        <w:rPr>
          <w:rFonts w:ascii="Calibri" w:hAnsi="Calibri" w:cs="Calibri"/>
        </w:rPr>
        <w:t>slightly</w:t>
      </w:r>
      <w:r w:rsidR="0072321A" w:rsidRPr="003F4F40">
        <w:rPr>
          <w:rFonts w:ascii="Calibri" w:hAnsi="Calibri" w:cs="Calibri"/>
        </w:rPr>
        <w:t xml:space="preserve"> lower than its prewar level</w:t>
      </w:r>
      <w:r w:rsidR="00415067" w:rsidRPr="003F4F40">
        <w:rPr>
          <w:rFonts w:ascii="Calibri" w:hAnsi="Calibri" w:cs="Calibri"/>
        </w:rPr>
        <w:t xml:space="preserve"> (</w:t>
      </w:r>
      <w:r w:rsidR="00415067" w:rsidRPr="003F4F40">
        <w:rPr>
          <w:rFonts w:ascii="Calibri" w:hAnsi="Calibri" w:cs="Calibri"/>
          <w:b/>
          <w:bCs/>
        </w:rPr>
        <w:t>Figure 1</w:t>
      </w:r>
      <w:r w:rsidR="0072321A" w:rsidRPr="003F4F40">
        <w:rPr>
          <w:rFonts w:ascii="Calibri" w:hAnsi="Calibri" w:cs="Calibri"/>
          <w:b/>
          <w:bCs/>
        </w:rPr>
        <w:t>4</w:t>
      </w:r>
      <w:r w:rsidR="00415067" w:rsidRPr="003F4F40">
        <w:rPr>
          <w:rFonts w:ascii="Calibri" w:hAnsi="Calibri" w:cs="Calibri"/>
          <w:b/>
          <w:bCs/>
        </w:rPr>
        <w:t>a</w:t>
      </w:r>
      <w:r w:rsidR="00415067" w:rsidRPr="003F4F40">
        <w:rPr>
          <w:rFonts w:ascii="Calibri" w:hAnsi="Calibri" w:cs="Calibri"/>
        </w:rPr>
        <w:t>)</w:t>
      </w:r>
      <w:r w:rsidRPr="003F4F40">
        <w:rPr>
          <w:rFonts w:ascii="Calibri" w:hAnsi="Calibri" w:cs="Calibri"/>
        </w:rPr>
        <w:t xml:space="preserve">. </w:t>
      </w:r>
      <w:r w:rsidR="002301B5" w:rsidRPr="003F4F40">
        <w:rPr>
          <w:rFonts w:ascii="Calibri" w:hAnsi="Calibri" w:cs="Calibri"/>
        </w:rPr>
        <w:t>The growth rate of n</w:t>
      </w:r>
      <w:r w:rsidRPr="003F4F40">
        <w:rPr>
          <w:rFonts w:ascii="Calibri" w:hAnsi="Calibri" w:cs="Calibri"/>
        </w:rPr>
        <w:t xml:space="preserve">ominal wages </w:t>
      </w:r>
      <w:r w:rsidR="002301B5" w:rsidRPr="003F4F40">
        <w:rPr>
          <w:rFonts w:ascii="Calibri" w:hAnsi="Calibri" w:cs="Calibri"/>
        </w:rPr>
        <w:t>accelerated</w:t>
      </w:r>
      <w:r w:rsidR="0044725D" w:rsidRPr="003F4F40">
        <w:rPr>
          <w:rFonts w:ascii="Calibri" w:hAnsi="Calibri" w:cs="Calibri"/>
        </w:rPr>
        <w:t xml:space="preserve"> in </w:t>
      </w:r>
      <w:r w:rsidR="002301B5" w:rsidRPr="003F4F40">
        <w:rPr>
          <w:rFonts w:ascii="Calibri" w:hAnsi="Calibri" w:cs="Calibri"/>
        </w:rPr>
        <w:t>December</w:t>
      </w:r>
      <w:r w:rsidR="0044725D" w:rsidRPr="003F4F40">
        <w:rPr>
          <w:rFonts w:ascii="Calibri" w:hAnsi="Calibri" w:cs="Calibri"/>
        </w:rPr>
        <w:t>,</w:t>
      </w:r>
      <w:r w:rsidR="002301B5" w:rsidRPr="003F4F40">
        <w:rPr>
          <w:rFonts w:ascii="Calibri" w:hAnsi="Calibri" w:cs="Calibri"/>
        </w:rPr>
        <w:t xml:space="preserve"> completing an increase of 6.8 percent since September 2023</w:t>
      </w:r>
      <w:r w:rsidR="00691F03" w:rsidRPr="003F4F40">
        <w:rPr>
          <w:rFonts w:ascii="Calibri" w:hAnsi="Calibri" w:cs="Calibri"/>
        </w:rPr>
        <w:t xml:space="preserve"> (5.4 percent in annual terms).</w:t>
      </w:r>
      <w:r w:rsidR="0044725D" w:rsidRPr="003F4F40">
        <w:rPr>
          <w:rFonts w:ascii="Calibri" w:hAnsi="Calibri" w:cs="Calibri"/>
        </w:rPr>
        <w:t xml:space="preserve"> </w:t>
      </w:r>
      <w:r w:rsidR="002301B5" w:rsidRPr="003F4F40">
        <w:rPr>
          <w:rFonts w:ascii="Calibri" w:hAnsi="Calibri" w:cs="Calibri"/>
        </w:rPr>
        <w:t>R</w:t>
      </w:r>
      <w:r w:rsidRPr="003F4F40">
        <w:rPr>
          <w:rFonts w:ascii="Calibri" w:hAnsi="Calibri" w:cs="Calibri"/>
        </w:rPr>
        <w:t xml:space="preserve">eal wages </w:t>
      </w:r>
      <w:r w:rsidR="002301B5" w:rsidRPr="003F4F40">
        <w:rPr>
          <w:rFonts w:ascii="Calibri" w:hAnsi="Calibri" w:cs="Calibri"/>
        </w:rPr>
        <w:t>increased, although they remain lower than</w:t>
      </w:r>
      <w:r w:rsidR="00C43724" w:rsidRPr="003F4F40">
        <w:rPr>
          <w:rFonts w:ascii="Calibri" w:hAnsi="Calibri" w:cs="Calibri"/>
        </w:rPr>
        <w:t xml:space="preserve"> the long-term trend</w:t>
      </w:r>
      <w:r w:rsidR="003C7B49" w:rsidRPr="003F4F40">
        <w:rPr>
          <w:rFonts w:ascii="Calibri" w:hAnsi="Calibri" w:cs="Calibri"/>
        </w:rPr>
        <w:t xml:space="preserve"> </w:t>
      </w:r>
      <w:r w:rsidR="003C7B49" w:rsidRPr="003F4F40">
        <w:rPr>
          <w:rFonts w:ascii="Calibri" w:hAnsi="Calibri" w:cs="Calibri"/>
          <w:b/>
          <w:bCs/>
        </w:rPr>
        <w:t xml:space="preserve">(Figure </w:t>
      </w:r>
      <w:r w:rsidR="00B53C5C" w:rsidRPr="003F4F40">
        <w:rPr>
          <w:rFonts w:ascii="Calibri" w:hAnsi="Calibri" w:cs="Calibri"/>
          <w:b/>
          <w:bCs/>
        </w:rPr>
        <w:t>1</w:t>
      </w:r>
      <w:r w:rsidR="002301B5" w:rsidRPr="003F4F40">
        <w:rPr>
          <w:rFonts w:ascii="Calibri" w:hAnsi="Calibri" w:cs="Calibri"/>
          <w:b/>
          <w:bCs/>
        </w:rPr>
        <w:t>5</w:t>
      </w:r>
      <w:r w:rsidR="003C7B49" w:rsidRPr="003F4F40">
        <w:rPr>
          <w:rFonts w:ascii="Calibri" w:hAnsi="Calibri" w:cs="Calibri"/>
          <w:b/>
          <w:bCs/>
        </w:rPr>
        <w:t>)</w:t>
      </w:r>
      <w:r w:rsidR="003C7B49" w:rsidRPr="003F4F40">
        <w:rPr>
          <w:rFonts w:ascii="Calibri" w:hAnsi="Calibri" w:cs="Calibri"/>
        </w:rPr>
        <w:t xml:space="preserve">. </w:t>
      </w:r>
    </w:p>
    <w:p w14:paraId="3049E8C4" w14:textId="77777777" w:rsidR="0044662E" w:rsidRPr="003F4F40" w:rsidRDefault="0044662E" w:rsidP="00BD7538">
      <w:pPr>
        <w:ind w:right="-1"/>
        <w:jc w:val="both"/>
        <w:rPr>
          <w:rFonts w:ascii="Calibri" w:hAnsi="Calibri" w:cs="Calibri"/>
        </w:rPr>
      </w:pPr>
    </w:p>
    <w:p w14:paraId="1E7381B8" w14:textId="091ABA14" w:rsidR="0044662E" w:rsidRPr="003F4F40" w:rsidRDefault="00820E0F" w:rsidP="00BE5BD6">
      <w:pPr>
        <w:ind w:right="-1"/>
        <w:jc w:val="both"/>
        <w:rPr>
          <w:rFonts w:ascii="Calibri" w:hAnsi="Calibri" w:cs="Calibri"/>
        </w:rPr>
      </w:pPr>
      <w:r w:rsidRPr="003F4F40">
        <w:rPr>
          <w:rFonts w:ascii="Calibri" w:hAnsi="Calibri" w:cs="Calibri"/>
        </w:rPr>
        <w:t>Activity in the construction</w:t>
      </w:r>
      <w:r w:rsidR="00BE5BD6" w:rsidRPr="003F4F40">
        <w:rPr>
          <w:rFonts w:ascii="Calibri" w:hAnsi="Calibri" w:cs="Calibri"/>
        </w:rPr>
        <w:t xml:space="preserve"> industry</w:t>
      </w:r>
      <w:r w:rsidRPr="003F4F40">
        <w:rPr>
          <w:rFonts w:ascii="Calibri" w:hAnsi="Calibri" w:cs="Calibri"/>
        </w:rPr>
        <w:t xml:space="preserve"> </w:t>
      </w:r>
      <w:r w:rsidR="005C1032" w:rsidRPr="003F4F40">
        <w:rPr>
          <w:rFonts w:ascii="Calibri" w:hAnsi="Calibri" w:cs="Calibri"/>
        </w:rPr>
        <w:t>is still being</w:t>
      </w:r>
      <w:r w:rsidR="00C43724" w:rsidRPr="003F4F40">
        <w:rPr>
          <w:rFonts w:ascii="Calibri" w:hAnsi="Calibri" w:cs="Calibri"/>
        </w:rPr>
        <w:t xml:space="preserve"> </w:t>
      </w:r>
      <w:r w:rsidR="004907D8" w:rsidRPr="003F4F40">
        <w:rPr>
          <w:rFonts w:ascii="Calibri" w:hAnsi="Calibri" w:cs="Calibri"/>
        </w:rPr>
        <w:t>affected</w:t>
      </w:r>
      <w:r w:rsidR="00C43724" w:rsidRPr="003F4F40">
        <w:rPr>
          <w:rFonts w:ascii="Calibri" w:hAnsi="Calibri" w:cs="Calibri"/>
        </w:rPr>
        <w:t xml:space="preserve"> by </w:t>
      </w:r>
      <w:r w:rsidR="00BE5BD6" w:rsidRPr="003F4F40">
        <w:rPr>
          <w:rFonts w:ascii="Calibri" w:hAnsi="Calibri" w:cs="Calibri"/>
        </w:rPr>
        <w:t>labor shortages</w:t>
      </w:r>
      <w:r w:rsidR="005C1032" w:rsidRPr="003F4F40">
        <w:rPr>
          <w:rFonts w:ascii="Calibri" w:hAnsi="Calibri" w:cs="Calibri"/>
        </w:rPr>
        <w:t xml:space="preserve">, but the difference between the number of people currently employed in the industry and the number prior to the war has narrowed. </w:t>
      </w:r>
      <w:r w:rsidRPr="003F4F40">
        <w:rPr>
          <w:rFonts w:ascii="Calibri" w:hAnsi="Calibri" w:cs="Calibri"/>
        </w:rPr>
        <w:t>(</w:t>
      </w:r>
      <w:r w:rsidRPr="003F4F40">
        <w:rPr>
          <w:rFonts w:ascii="Calibri" w:hAnsi="Calibri" w:cs="Calibri"/>
          <w:b/>
          <w:bCs/>
        </w:rPr>
        <w:t>Figure</w:t>
      </w:r>
      <w:r w:rsidR="005C1032" w:rsidRPr="003F4F40">
        <w:rPr>
          <w:rFonts w:ascii="Calibri" w:hAnsi="Calibri" w:cs="Calibri"/>
          <w:b/>
          <w:bCs/>
        </w:rPr>
        <w:t>s</w:t>
      </w:r>
      <w:r w:rsidRPr="003F4F40">
        <w:rPr>
          <w:rFonts w:ascii="Calibri" w:hAnsi="Calibri" w:cs="Calibri"/>
          <w:b/>
          <w:bCs/>
        </w:rPr>
        <w:t xml:space="preserve"> 1</w:t>
      </w:r>
      <w:r w:rsidR="005C1032" w:rsidRPr="003F4F40">
        <w:rPr>
          <w:rFonts w:ascii="Calibri" w:hAnsi="Calibri" w:cs="Calibri"/>
          <w:b/>
          <w:bCs/>
        </w:rPr>
        <w:t>7a–17</w:t>
      </w:r>
      <w:r w:rsidR="00BD7538" w:rsidRPr="003F4F40">
        <w:rPr>
          <w:rFonts w:ascii="Calibri" w:hAnsi="Calibri" w:cs="Calibri"/>
          <w:b/>
          <w:bCs/>
        </w:rPr>
        <w:t>b</w:t>
      </w:r>
      <w:r w:rsidRPr="003F4F40">
        <w:rPr>
          <w:rFonts w:ascii="Calibri" w:hAnsi="Calibri" w:cs="Calibri"/>
        </w:rPr>
        <w:t>).</w:t>
      </w:r>
      <w:r w:rsidR="0044662E" w:rsidRPr="003F4F40">
        <w:rPr>
          <w:rFonts w:ascii="Calibri" w:hAnsi="Calibri" w:cs="Calibri"/>
        </w:rPr>
        <w:t xml:space="preserve"> </w:t>
      </w:r>
      <w:r w:rsidR="005C1032" w:rsidRPr="003F4F40">
        <w:rPr>
          <w:rFonts w:ascii="Calibri" w:hAnsi="Calibri" w:cs="Calibri"/>
        </w:rPr>
        <w:t xml:space="preserve">Home prices continued to increase, </w:t>
      </w:r>
      <w:r w:rsidR="00BE5BD6" w:rsidRPr="003F4F40">
        <w:rPr>
          <w:rFonts w:ascii="Calibri" w:hAnsi="Calibri" w:cs="Calibri"/>
        </w:rPr>
        <w:t>rising</w:t>
      </w:r>
      <w:r w:rsidR="005C1032" w:rsidRPr="003F4F40">
        <w:rPr>
          <w:rFonts w:ascii="Calibri" w:hAnsi="Calibri" w:cs="Calibri"/>
        </w:rPr>
        <w:t xml:space="preserve"> 7.3 percent</w:t>
      </w:r>
      <w:r w:rsidR="00BE5BD6" w:rsidRPr="003F4F40">
        <w:rPr>
          <w:rFonts w:ascii="Calibri" w:hAnsi="Calibri" w:cs="Calibri"/>
        </w:rPr>
        <w:t xml:space="preserve"> in 2024</w:t>
      </w:r>
      <w:r w:rsidR="005C1032" w:rsidRPr="003F4F40">
        <w:rPr>
          <w:rFonts w:ascii="Calibri" w:hAnsi="Calibri" w:cs="Calibri"/>
        </w:rPr>
        <w:t xml:space="preserve"> (</w:t>
      </w:r>
      <w:r w:rsidR="005C1032" w:rsidRPr="003F4F40">
        <w:rPr>
          <w:rFonts w:ascii="Calibri" w:hAnsi="Calibri" w:cs="Calibri"/>
          <w:b/>
          <w:bCs/>
        </w:rPr>
        <w:t>Figure 19</w:t>
      </w:r>
      <w:r w:rsidR="005C1032" w:rsidRPr="003F4F40">
        <w:rPr>
          <w:rFonts w:ascii="Calibri" w:hAnsi="Calibri" w:cs="Calibri"/>
        </w:rPr>
        <w:t>). The housing component of the CPI remained unchanged in January</w:t>
      </w:r>
      <w:r w:rsidR="00BE5BD6" w:rsidRPr="003F4F40">
        <w:rPr>
          <w:rFonts w:ascii="Calibri" w:hAnsi="Calibri" w:cs="Calibri"/>
        </w:rPr>
        <w:t>:</w:t>
      </w:r>
      <w:r w:rsidR="005C1032" w:rsidRPr="003F4F40">
        <w:rPr>
          <w:rFonts w:ascii="Calibri" w:hAnsi="Calibri" w:cs="Calibri"/>
        </w:rPr>
        <w:t xml:space="preserve"> Rent prices increased by 0.4 percent in January, while owner-occupied housing services declined by 0.7 percent. </w:t>
      </w:r>
      <w:r w:rsidR="00C43724" w:rsidRPr="003F4F40">
        <w:rPr>
          <w:rFonts w:ascii="Calibri" w:hAnsi="Calibri" w:cs="Calibri"/>
        </w:rPr>
        <w:t xml:space="preserve">New mortgage borrowing totaled about NIS </w:t>
      </w:r>
      <w:r w:rsidR="005C1032" w:rsidRPr="003F4F40">
        <w:rPr>
          <w:rFonts w:ascii="Calibri" w:hAnsi="Calibri" w:cs="Calibri"/>
        </w:rPr>
        <w:t>13.</w:t>
      </w:r>
      <w:r w:rsidR="00C43724" w:rsidRPr="003F4F40">
        <w:rPr>
          <w:rFonts w:ascii="Calibri" w:hAnsi="Calibri" w:cs="Calibri"/>
        </w:rPr>
        <w:t xml:space="preserve">8 billion in </w:t>
      </w:r>
      <w:r w:rsidR="005C1032" w:rsidRPr="003F4F40">
        <w:rPr>
          <w:rFonts w:ascii="Calibri" w:hAnsi="Calibri" w:cs="Calibri"/>
        </w:rPr>
        <w:t>Dec</w:t>
      </w:r>
      <w:r w:rsidR="00C43724" w:rsidRPr="003F4F40">
        <w:rPr>
          <w:rFonts w:ascii="Calibri" w:hAnsi="Calibri" w:cs="Calibri"/>
        </w:rPr>
        <w:t>ember</w:t>
      </w:r>
      <w:r w:rsidR="005C1032" w:rsidRPr="003F4F40">
        <w:rPr>
          <w:rFonts w:ascii="Calibri" w:hAnsi="Calibri" w:cs="Calibri"/>
        </w:rPr>
        <w:t xml:space="preserve">, partly in view of </w:t>
      </w:r>
      <w:r w:rsidR="00BE5BD6" w:rsidRPr="003F4F40">
        <w:rPr>
          <w:rFonts w:ascii="Calibri" w:hAnsi="Calibri" w:cs="Calibri"/>
        </w:rPr>
        <w:t xml:space="preserve">impending </w:t>
      </w:r>
      <w:r w:rsidR="005C1032" w:rsidRPr="003F4F40">
        <w:rPr>
          <w:rFonts w:ascii="Calibri" w:hAnsi="Calibri" w:cs="Calibri"/>
        </w:rPr>
        <w:t>taxation increases.  New mortgage borrowing in January totaled about NIS 7.3 billion</w:t>
      </w:r>
      <w:r w:rsidR="00E85A6E" w:rsidRPr="003F4F40">
        <w:rPr>
          <w:rFonts w:ascii="Calibri" w:hAnsi="Calibri" w:cs="Calibri"/>
        </w:rPr>
        <w:t>, similar to its level in earlier months</w:t>
      </w:r>
      <w:r w:rsidR="00C43724" w:rsidRPr="003F4F40">
        <w:rPr>
          <w:rFonts w:ascii="Calibri" w:hAnsi="Calibri" w:cs="Calibri"/>
        </w:rPr>
        <w:t xml:space="preserve"> (</w:t>
      </w:r>
      <w:r w:rsidR="00C43724" w:rsidRPr="003F4F40">
        <w:rPr>
          <w:rFonts w:ascii="Calibri" w:hAnsi="Calibri" w:cs="Calibri"/>
          <w:b/>
          <w:bCs/>
        </w:rPr>
        <w:t xml:space="preserve">Figure </w:t>
      </w:r>
      <w:r w:rsidR="005C1032" w:rsidRPr="003F4F40">
        <w:rPr>
          <w:rFonts w:ascii="Calibri" w:hAnsi="Calibri" w:cs="Calibri"/>
          <w:b/>
          <w:bCs/>
        </w:rPr>
        <w:t>20</w:t>
      </w:r>
      <w:r w:rsidR="00C43724" w:rsidRPr="003F4F40">
        <w:rPr>
          <w:rFonts w:ascii="Calibri" w:hAnsi="Calibri" w:cs="Calibri"/>
        </w:rPr>
        <w:t>).</w:t>
      </w:r>
    </w:p>
    <w:p w14:paraId="50443381" w14:textId="77777777" w:rsidR="008A0DA3" w:rsidRPr="003F4F40" w:rsidRDefault="008A0DA3" w:rsidP="00BD7538">
      <w:pPr>
        <w:ind w:right="-1"/>
        <w:jc w:val="both"/>
        <w:rPr>
          <w:rFonts w:ascii="Calibri" w:hAnsi="Calibri" w:cs="Calibri"/>
        </w:rPr>
      </w:pPr>
    </w:p>
    <w:p w14:paraId="6378B686" w14:textId="77777777" w:rsidR="005D299B" w:rsidRPr="003F4F40" w:rsidRDefault="00456ADD" w:rsidP="00456ADD">
      <w:pPr>
        <w:ind w:right="-1"/>
        <w:jc w:val="both"/>
        <w:rPr>
          <w:rFonts w:ascii="Calibri" w:hAnsi="Calibri" w:cs="Calibri"/>
        </w:rPr>
      </w:pPr>
      <w:r w:rsidRPr="003F4F40">
        <w:rPr>
          <w:rFonts w:ascii="Calibri" w:hAnsi="Calibri" w:cs="Calibri"/>
        </w:rPr>
        <w:t>The increases i</w:t>
      </w:r>
      <w:r w:rsidR="000E6DF7" w:rsidRPr="003F4F40">
        <w:rPr>
          <w:rFonts w:ascii="Calibri" w:hAnsi="Calibri" w:cs="Calibri"/>
        </w:rPr>
        <w:t>n the</w:t>
      </w:r>
      <w:r w:rsidRPr="003F4F40">
        <w:rPr>
          <w:rFonts w:ascii="Calibri" w:hAnsi="Calibri" w:cs="Calibri"/>
        </w:rPr>
        <w:t xml:space="preserve"> domestic</w:t>
      </w:r>
      <w:r w:rsidR="000E6DF7" w:rsidRPr="003F4F40">
        <w:rPr>
          <w:rFonts w:ascii="Calibri" w:hAnsi="Calibri" w:cs="Calibri"/>
        </w:rPr>
        <w:t xml:space="preserve"> </w:t>
      </w:r>
      <w:r w:rsidR="00C9560E" w:rsidRPr="003F4F40">
        <w:rPr>
          <w:rFonts w:ascii="Calibri" w:hAnsi="Calibri" w:cs="Calibri"/>
        </w:rPr>
        <w:t>equities</w:t>
      </w:r>
      <w:r w:rsidR="000E6DF7" w:rsidRPr="003F4F40">
        <w:rPr>
          <w:rFonts w:ascii="Calibri" w:hAnsi="Calibri" w:cs="Calibri"/>
        </w:rPr>
        <w:t xml:space="preserve"> market</w:t>
      </w:r>
      <w:r w:rsidRPr="003F4F40">
        <w:rPr>
          <w:rFonts w:ascii="Calibri" w:hAnsi="Calibri" w:cs="Calibri"/>
        </w:rPr>
        <w:t xml:space="preserve"> continued during the reviewed period (</w:t>
      </w:r>
      <w:r w:rsidRPr="003F4F40">
        <w:rPr>
          <w:rFonts w:ascii="Calibri" w:hAnsi="Calibri" w:cs="Calibri"/>
          <w:b/>
          <w:bCs/>
        </w:rPr>
        <w:t>Figure 30</w:t>
      </w:r>
      <w:r w:rsidRPr="003F4F40">
        <w:rPr>
          <w:rFonts w:ascii="Calibri" w:hAnsi="Calibri" w:cs="Calibri"/>
        </w:rPr>
        <w:t>).</w:t>
      </w:r>
      <w:r w:rsidR="000E6DF7" w:rsidRPr="003F4F40">
        <w:rPr>
          <w:rFonts w:ascii="Calibri" w:hAnsi="Calibri" w:cs="Calibri"/>
        </w:rPr>
        <w:t xml:space="preserve"> </w:t>
      </w:r>
      <w:r w:rsidR="006C73A9" w:rsidRPr="003F4F40">
        <w:rPr>
          <w:rFonts w:ascii="Calibri" w:hAnsi="Calibri" w:cs="Calibri"/>
        </w:rPr>
        <w:t xml:space="preserve">Israel’s risk premium, as </w:t>
      </w:r>
      <w:r w:rsidR="00AE0DC2" w:rsidRPr="003F4F40">
        <w:rPr>
          <w:rFonts w:ascii="Calibri" w:hAnsi="Calibri" w:cs="Calibri"/>
        </w:rPr>
        <w:t xml:space="preserve">measured by the </w:t>
      </w:r>
      <w:r w:rsidR="006C73A9" w:rsidRPr="003F4F40">
        <w:rPr>
          <w:rFonts w:ascii="Calibri" w:hAnsi="Calibri" w:cs="Calibri"/>
        </w:rPr>
        <w:t xml:space="preserve">5-year CDS </w:t>
      </w:r>
      <w:r w:rsidR="00C43724" w:rsidRPr="003F4F40">
        <w:rPr>
          <w:rFonts w:ascii="Calibri" w:hAnsi="Calibri" w:cs="Calibri"/>
        </w:rPr>
        <w:t>and by the dollar-denominated government bond spread, continued to decline, although its level remains higher than the prewar period. In the government bond</w:t>
      </w:r>
      <w:r w:rsidRPr="003F4F40">
        <w:rPr>
          <w:rFonts w:ascii="Calibri" w:hAnsi="Calibri" w:cs="Calibri"/>
        </w:rPr>
        <w:t xml:space="preserve"> market</w:t>
      </w:r>
      <w:r w:rsidR="00C43724" w:rsidRPr="003F4F40">
        <w:rPr>
          <w:rFonts w:ascii="Calibri" w:hAnsi="Calibri" w:cs="Calibri"/>
        </w:rPr>
        <w:t>, yields</w:t>
      </w:r>
      <w:r w:rsidRPr="003F4F40">
        <w:rPr>
          <w:rFonts w:ascii="Calibri" w:hAnsi="Calibri" w:cs="Calibri"/>
        </w:rPr>
        <w:t xml:space="preserve"> declined beyond the global trend</w:t>
      </w:r>
      <w:r w:rsidR="006C73A9" w:rsidRPr="003F4F40">
        <w:rPr>
          <w:rFonts w:ascii="Calibri" w:hAnsi="Calibri" w:cs="Calibri"/>
        </w:rPr>
        <w:t xml:space="preserve"> (</w:t>
      </w:r>
      <w:r w:rsidR="006C73A9" w:rsidRPr="003F4F40">
        <w:rPr>
          <w:rFonts w:ascii="Calibri" w:hAnsi="Calibri" w:cs="Calibri"/>
          <w:b/>
          <w:bCs/>
        </w:rPr>
        <w:t>Figure 2</w:t>
      </w:r>
      <w:r w:rsidRPr="003F4F40">
        <w:rPr>
          <w:rFonts w:ascii="Calibri" w:hAnsi="Calibri" w:cs="Calibri"/>
          <w:b/>
          <w:bCs/>
        </w:rPr>
        <w:t>7</w:t>
      </w:r>
      <w:r w:rsidR="006C73A9" w:rsidRPr="003F4F40">
        <w:rPr>
          <w:rFonts w:ascii="Calibri" w:hAnsi="Calibri" w:cs="Calibri"/>
        </w:rPr>
        <w:t>)</w:t>
      </w:r>
      <w:r w:rsidR="00AE0DC2" w:rsidRPr="003F4F40">
        <w:rPr>
          <w:rFonts w:ascii="Calibri" w:hAnsi="Calibri" w:cs="Calibri"/>
        </w:rPr>
        <w:t>.</w:t>
      </w:r>
      <w:r w:rsidR="006C73A9" w:rsidRPr="003F4F40">
        <w:rPr>
          <w:rFonts w:ascii="Calibri" w:hAnsi="Calibri" w:cs="Calibri"/>
        </w:rPr>
        <w:t xml:space="preserve">  </w:t>
      </w:r>
      <w:r w:rsidR="00E7258E" w:rsidRPr="003F4F40">
        <w:rPr>
          <w:rFonts w:ascii="Calibri" w:hAnsi="Calibri" w:cs="Calibri"/>
        </w:rPr>
        <w:t xml:space="preserve">Business credit continued to expand, </w:t>
      </w:r>
      <w:r w:rsidRPr="003F4F40">
        <w:rPr>
          <w:rFonts w:ascii="Calibri" w:hAnsi="Calibri" w:cs="Calibri"/>
        </w:rPr>
        <w:t>while interest rates remained stable. Most of the growth in credit was to</w:t>
      </w:r>
      <w:r w:rsidR="00E7258E" w:rsidRPr="003F4F40">
        <w:rPr>
          <w:rFonts w:ascii="Calibri" w:hAnsi="Calibri" w:cs="Calibri"/>
        </w:rPr>
        <w:t xml:space="preserve"> the construction and real estate industry</w:t>
      </w:r>
      <w:r w:rsidRPr="003F4F40">
        <w:rPr>
          <w:rFonts w:ascii="Calibri" w:hAnsi="Calibri" w:cs="Calibri"/>
        </w:rPr>
        <w:t xml:space="preserve"> and the financial services industry</w:t>
      </w:r>
      <w:r w:rsidR="00E7258E" w:rsidRPr="003F4F40">
        <w:rPr>
          <w:rFonts w:ascii="Calibri" w:hAnsi="Calibri" w:cs="Calibri"/>
        </w:rPr>
        <w:t>.</w:t>
      </w:r>
    </w:p>
    <w:p w14:paraId="28FF2AA4" w14:textId="77777777" w:rsidR="000308DE" w:rsidRPr="003F4F40" w:rsidRDefault="000308DE" w:rsidP="006075EE">
      <w:pPr>
        <w:ind w:right="265"/>
        <w:jc w:val="both"/>
        <w:rPr>
          <w:rFonts w:ascii="Calibri" w:hAnsi="Calibri" w:cs="Calibri"/>
        </w:rPr>
      </w:pPr>
    </w:p>
    <w:p w14:paraId="6013A7FF" w14:textId="6B6900C3" w:rsidR="00D32BDF" w:rsidRPr="003F4F40" w:rsidRDefault="00D32BDF" w:rsidP="00BE5BD6">
      <w:pPr>
        <w:pStyle w:val="NormalWeb"/>
        <w:shd w:val="clear" w:color="auto" w:fill="FFFFFF"/>
        <w:spacing w:before="0" w:beforeAutospacing="0" w:after="240" w:afterAutospacing="0"/>
        <w:jc w:val="both"/>
        <w:rPr>
          <w:rFonts w:ascii="Calibri" w:hAnsi="Calibri" w:cs="Calibri"/>
          <w:color w:val="242424"/>
        </w:rPr>
      </w:pPr>
      <w:r w:rsidRPr="003F4F40">
        <w:rPr>
          <w:rFonts w:ascii="Calibri" w:hAnsi="Calibri" w:cs="Calibri"/>
          <w:color w:val="242424"/>
        </w:rPr>
        <w:t>Globally, economic activity continue</w:t>
      </w:r>
      <w:r w:rsidR="00456ADD" w:rsidRPr="003F4F40">
        <w:rPr>
          <w:rFonts w:ascii="Calibri" w:hAnsi="Calibri" w:cs="Calibri"/>
          <w:color w:val="242424"/>
        </w:rPr>
        <w:t>d</w:t>
      </w:r>
      <w:r w:rsidRPr="003F4F40">
        <w:rPr>
          <w:rFonts w:ascii="Calibri" w:hAnsi="Calibri" w:cs="Calibri"/>
          <w:color w:val="242424"/>
        </w:rPr>
        <w:t xml:space="preserve"> to expand</w:t>
      </w:r>
      <w:r w:rsidR="00456ADD" w:rsidRPr="003F4F40">
        <w:rPr>
          <w:rFonts w:ascii="Calibri" w:hAnsi="Calibri" w:cs="Calibri"/>
          <w:color w:val="242424"/>
        </w:rPr>
        <w:t xml:space="preserve"> in the fourth quarter, though at a more moderate pace</w:t>
      </w:r>
      <w:r w:rsidRPr="003F4F40">
        <w:rPr>
          <w:rFonts w:ascii="Calibri" w:hAnsi="Calibri" w:cs="Calibri"/>
          <w:color w:val="242424"/>
        </w:rPr>
        <w:t xml:space="preserve">. The global composite Purchasing Managers Index for </w:t>
      </w:r>
      <w:r w:rsidR="000A0503" w:rsidRPr="003F4F40">
        <w:rPr>
          <w:rFonts w:ascii="Calibri" w:hAnsi="Calibri" w:cs="Calibri"/>
          <w:color w:val="242424"/>
        </w:rPr>
        <w:t>January</w:t>
      </w:r>
      <w:r w:rsidRPr="003F4F40">
        <w:rPr>
          <w:rFonts w:ascii="Calibri" w:hAnsi="Calibri" w:cs="Calibri"/>
          <w:color w:val="242424"/>
        </w:rPr>
        <w:t xml:space="preserve"> </w:t>
      </w:r>
      <w:r w:rsidR="000A0503" w:rsidRPr="003F4F40">
        <w:rPr>
          <w:rFonts w:ascii="Calibri" w:hAnsi="Calibri" w:cs="Calibri"/>
          <w:color w:val="242424"/>
        </w:rPr>
        <w:t>declin</w:t>
      </w:r>
      <w:r w:rsidRPr="003F4F40">
        <w:rPr>
          <w:rFonts w:ascii="Calibri" w:hAnsi="Calibri" w:cs="Calibri"/>
          <w:color w:val="242424"/>
        </w:rPr>
        <w:t xml:space="preserve">ed, </w:t>
      </w:r>
      <w:r w:rsidR="000A0503" w:rsidRPr="003F4F40">
        <w:rPr>
          <w:rFonts w:ascii="Calibri" w:hAnsi="Calibri" w:cs="Calibri"/>
          <w:color w:val="242424"/>
        </w:rPr>
        <w:t xml:space="preserve">but continued to </w:t>
      </w:r>
      <w:r w:rsidRPr="003F4F40">
        <w:rPr>
          <w:rFonts w:ascii="Calibri" w:hAnsi="Calibri" w:cs="Calibri"/>
          <w:color w:val="242424"/>
        </w:rPr>
        <w:t>indicat</w:t>
      </w:r>
      <w:r w:rsidR="000A0503" w:rsidRPr="003F4F40">
        <w:rPr>
          <w:rFonts w:ascii="Calibri" w:hAnsi="Calibri" w:cs="Calibri"/>
          <w:color w:val="242424"/>
        </w:rPr>
        <w:t>e</w:t>
      </w:r>
      <w:r w:rsidRPr="003F4F40">
        <w:rPr>
          <w:rFonts w:ascii="Calibri" w:hAnsi="Calibri" w:cs="Calibri"/>
          <w:color w:val="242424"/>
        </w:rPr>
        <w:t xml:space="preserve"> </w:t>
      </w:r>
      <w:r w:rsidR="000A0503" w:rsidRPr="003F4F40">
        <w:rPr>
          <w:rFonts w:ascii="Calibri" w:hAnsi="Calibri" w:cs="Calibri"/>
          <w:color w:val="242424"/>
        </w:rPr>
        <w:t>moderate</w:t>
      </w:r>
      <w:r w:rsidRPr="003F4F40">
        <w:rPr>
          <w:rFonts w:ascii="Calibri" w:hAnsi="Calibri" w:cs="Calibri"/>
          <w:color w:val="242424"/>
        </w:rPr>
        <w:t xml:space="preserve"> expansion of economic activity</w:t>
      </w:r>
      <w:r w:rsidR="000A0503" w:rsidRPr="003F4F40">
        <w:rPr>
          <w:rFonts w:ascii="Calibri" w:hAnsi="Calibri" w:cs="Calibri"/>
          <w:color w:val="242424"/>
        </w:rPr>
        <w:t xml:space="preserve"> (</w:t>
      </w:r>
      <w:r w:rsidR="000A0503" w:rsidRPr="003F4F40">
        <w:rPr>
          <w:rFonts w:ascii="Calibri" w:hAnsi="Calibri" w:cs="Calibri"/>
          <w:b/>
          <w:bCs/>
          <w:color w:val="242424"/>
        </w:rPr>
        <w:t>Figure 32</w:t>
      </w:r>
      <w:r w:rsidR="000A0503" w:rsidRPr="003F4F40">
        <w:rPr>
          <w:rFonts w:ascii="Calibri" w:hAnsi="Calibri" w:cs="Calibri"/>
          <w:color w:val="242424"/>
        </w:rPr>
        <w:t>)</w:t>
      </w:r>
      <w:r w:rsidRPr="003F4F40">
        <w:rPr>
          <w:rFonts w:ascii="Calibri" w:hAnsi="Calibri" w:cs="Calibri"/>
          <w:color w:val="242424"/>
        </w:rPr>
        <w:t xml:space="preserve">. </w:t>
      </w:r>
      <w:r w:rsidR="000A0503" w:rsidRPr="003F4F40">
        <w:rPr>
          <w:rFonts w:ascii="Calibri" w:hAnsi="Calibri" w:cs="Calibri"/>
          <w:color w:val="242424"/>
        </w:rPr>
        <w:t xml:space="preserve">The global services sector </w:t>
      </w:r>
      <w:r w:rsidR="00957834" w:rsidRPr="003F4F40">
        <w:rPr>
          <w:rFonts w:ascii="Calibri" w:hAnsi="Calibri" w:cs="Calibri"/>
          <w:color w:val="242424"/>
        </w:rPr>
        <w:t>show</w:t>
      </w:r>
      <w:r w:rsidR="00471F0B" w:rsidRPr="003F4F40">
        <w:rPr>
          <w:rFonts w:ascii="Calibri" w:hAnsi="Calibri" w:cs="Calibri"/>
          <w:color w:val="242424"/>
        </w:rPr>
        <w:t>ed</w:t>
      </w:r>
      <w:r w:rsidR="00957834" w:rsidRPr="003F4F40">
        <w:rPr>
          <w:rFonts w:ascii="Calibri" w:hAnsi="Calibri" w:cs="Calibri"/>
          <w:color w:val="242424"/>
        </w:rPr>
        <w:t xml:space="preserve"> a </w:t>
      </w:r>
      <w:r w:rsidR="000A0503" w:rsidRPr="003F4F40">
        <w:rPr>
          <w:rFonts w:ascii="Calibri" w:hAnsi="Calibri" w:cs="Calibri"/>
          <w:color w:val="242424"/>
        </w:rPr>
        <w:t xml:space="preserve">decline, while the manufacturing sector continued to </w:t>
      </w:r>
      <w:r w:rsidR="00957834" w:rsidRPr="003F4F40">
        <w:rPr>
          <w:rFonts w:ascii="Calibri" w:hAnsi="Calibri" w:cs="Calibri"/>
          <w:color w:val="242424"/>
        </w:rPr>
        <w:t xml:space="preserve">show an </w:t>
      </w:r>
      <w:r w:rsidR="000A0503" w:rsidRPr="003F4F40">
        <w:rPr>
          <w:rFonts w:ascii="Calibri" w:hAnsi="Calibri" w:cs="Calibri"/>
          <w:color w:val="242424"/>
        </w:rPr>
        <w:t xml:space="preserve">increase. </w:t>
      </w:r>
      <w:r w:rsidRPr="003F4F40">
        <w:rPr>
          <w:rFonts w:ascii="Calibri" w:hAnsi="Calibri" w:cs="Calibri"/>
          <w:color w:val="242424"/>
        </w:rPr>
        <w:t xml:space="preserve">World trade </w:t>
      </w:r>
      <w:r w:rsidR="00957834" w:rsidRPr="003F4F40">
        <w:rPr>
          <w:rFonts w:ascii="Calibri" w:hAnsi="Calibri" w:cs="Calibri"/>
          <w:color w:val="242424"/>
        </w:rPr>
        <w:t>continued to expand, increasing by 0.4 percent in November, and by 3.6 percent compared to the same period in the previous year (</w:t>
      </w:r>
      <w:r w:rsidR="00957834" w:rsidRPr="003F4F40">
        <w:rPr>
          <w:rFonts w:ascii="Calibri" w:hAnsi="Calibri" w:cs="Calibri"/>
          <w:b/>
          <w:bCs/>
          <w:color w:val="242424"/>
        </w:rPr>
        <w:t>Figure 33</w:t>
      </w:r>
      <w:r w:rsidR="00957834" w:rsidRPr="003F4F40">
        <w:rPr>
          <w:rFonts w:ascii="Calibri" w:hAnsi="Calibri" w:cs="Calibri"/>
          <w:color w:val="242424"/>
        </w:rPr>
        <w:t>). Fourth quarter g</w:t>
      </w:r>
      <w:r w:rsidRPr="003F4F40">
        <w:rPr>
          <w:rFonts w:ascii="Calibri" w:hAnsi="Calibri" w:cs="Calibri"/>
          <w:color w:val="242424"/>
        </w:rPr>
        <w:t xml:space="preserve">rowth in the United States </w:t>
      </w:r>
      <w:r w:rsidR="00957834" w:rsidRPr="003F4F40">
        <w:rPr>
          <w:rFonts w:ascii="Calibri" w:hAnsi="Calibri" w:cs="Calibri"/>
          <w:color w:val="242424"/>
        </w:rPr>
        <w:t xml:space="preserve">was 2.3 percent in annual terms, slightly lower than expected. Private consumption remained strong, and is the main component contributing to growth.  The labor market remained stable. </w:t>
      </w:r>
      <w:r w:rsidRPr="003F4F40">
        <w:rPr>
          <w:rFonts w:ascii="Calibri" w:hAnsi="Calibri" w:cs="Calibri"/>
          <w:color w:val="242424"/>
        </w:rPr>
        <w:t>In Europe, the</w:t>
      </w:r>
      <w:r w:rsidR="00957834" w:rsidRPr="003F4F40">
        <w:rPr>
          <w:rFonts w:ascii="Calibri" w:hAnsi="Calibri" w:cs="Calibri"/>
          <w:color w:val="242424"/>
        </w:rPr>
        <w:t xml:space="preserve"> pace of economic expansion</w:t>
      </w:r>
      <w:r w:rsidR="00C979CB" w:rsidRPr="003F4F40">
        <w:rPr>
          <w:rFonts w:ascii="Calibri" w:hAnsi="Calibri" w:cs="Calibri"/>
          <w:color w:val="242424"/>
        </w:rPr>
        <w:t xml:space="preserve"> </w:t>
      </w:r>
      <w:r w:rsidR="00645DC2" w:rsidRPr="003F4F40">
        <w:rPr>
          <w:rFonts w:ascii="Calibri" w:hAnsi="Calibri" w:cs="Calibri"/>
          <w:color w:val="242424"/>
        </w:rPr>
        <w:t>moderated</w:t>
      </w:r>
      <w:r w:rsidR="00957834" w:rsidRPr="003F4F40">
        <w:rPr>
          <w:rFonts w:ascii="Calibri" w:hAnsi="Calibri" w:cs="Calibri"/>
          <w:color w:val="242424"/>
        </w:rPr>
        <w:t xml:space="preserve">, with </w:t>
      </w:r>
      <w:r w:rsidRPr="003F4F40">
        <w:rPr>
          <w:rFonts w:ascii="Calibri" w:hAnsi="Calibri" w:cs="Calibri"/>
          <w:color w:val="242424"/>
        </w:rPr>
        <w:t xml:space="preserve">GDP growing by </w:t>
      </w:r>
      <w:r w:rsidR="00957834" w:rsidRPr="003F4F40">
        <w:rPr>
          <w:rFonts w:ascii="Calibri" w:hAnsi="Calibri" w:cs="Calibri"/>
          <w:color w:val="242424"/>
        </w:rPr>
        <w:t>0.4</w:t>
      </w:r>
      <w:r w:rsidRPr="003F4F40">
        <w:rPr>
          <w:rFonts w:ascii="Calibri" w:hAnsi="Calibri" w:cs="Calibri"/>
          <w:color w:val="242424"/>
        </w:rPr>
        <w:t xml:space="preserve"> percent in annual terms in the </w:t>
      </w:r>
      <w:r w:rsidR="00957834" w:rsidRPr="003F4F40">
        <w:rPr>
          <w:rFonts w:ascii="Calibri" w:hAnsi="Calibri" w:cs="Calibri"/>
          <w:color w:val="242424"/>
        </w:rPr>
        <w:t>fourth</w:t>
      </w:r>
      <w:r w:rsidRPr="003F4F40">
        <w:rPr>
          <w:rFonts w:ascii="Calibri" w:hAnsi="Calibri" w:cs="Calibri"/>
          <w:color w:val="242424"/>
        </w:rPr>
        <w:t xml:space="preserve"> quarter. </w:t>
      </w:r>
    </w:p>
    <w:p w14:paraId="6D20DA58" w14:textId="77777777" w:rsidR="00D32BDF" w:rsidRPr="003F4F40" w:rsidRDefault="00D32BDF" w:rsidP="00957834">
      <w:pPr>
        <w:pStyle w:val="NormalWeb"/>
        <w:shd w:val="clear" w:color="auto" w:fill="FFFFFF"/>
        <w:spacing w:before="0" w:beforeAutospacing="0" w:after="240" w:afterAutospacing="0"/>
        <w:jc w:val="both"/>
        <w:rPr>
          <w:rFonts w:ascii="Calibri" w:hAnsi="Calibri" w:cs="Calibri"/>
          <w:color w:val="242424"/>
        </w:rPr>
      </w:pPr>
      <w:r w:rsidRPr="003F4F40">
        <w:rPr>
          <w:rFonts w:ascii="Calibri" w:hAnsi="Calibri" w:cs="Calibri"/>
          <w:color w:val="242424"/>
        </w:rPr>
        <w:t xml:space="preserve">In the United States, the Consumer Price Index (CPI) rose by 3 percent in </w:t>
      </w:r>
      <w:r w:rsidR="00957834" w:rsidRPr="003F4F40">
        <w:rPr>
          <w:rFonts w:ascii="Calibri" w:hAnsi="Calibri" w:cs="Calibri"/>
          <w:color w:val="242424"/>
        </w:rPr>
        <w:t>2024, and the core CPI rose by 3.3 percent, both above expectations</w:t>
      </w:r>
      <w:r w:rsidRPr="003F4F40">
        <w:rPr>
          <w:rFonts w:ascii="Calibri" w:hAnsi="Calibri" w:cs="Calibri"/>
          <w:color w:val="242424"/>
        </w:rPr>
        <w:t xml:space="preserve">. </w:t>
      </w:r>
      <w:r w:rsidR="00B71E2A" w:rsidRPr="003F4F40">
        <w:rPr>
          <w:rFonts w:ascii="Calibri" w:hAnsi="Calibri" w:cs="Calibri"/>
          <w:color w:val="242424"/>
        </w:rPr>
        <w:t>I</w:t>
      </w:r>
      <w:r w:rsidRPr="003F4F40">
        <w:rPr>
          <w:rFonts w:ascii="Calibri" w:hAnsi="Calibri" w:cs="Calibri"/>
          <w:color w:val="242424"/>
        </w:rPr>
        <w:t xml:space="preserve">nflation expectations for the next two years </w:t>
      </w:r>
      <w:r w:rsidR="00957834" w:rsidRPr="003F4F40">
        <w:rPr>
          <w:rFonts w:ascii="Calibri" w:hAnsi="Calibri" w:cs="Calibri"/>
          <w:color w:val="242424"/>
        </w:rPr>
        <w:t>continued to increase</w:t>
      </w:r>
      <w:r w:rsidRPr="003F4F40">
        <w:rPr>
          <w:rFonts w:ascii="Calibri" w:hAnsi="Calibri" w:cs="Calibri"/>
          <w:color w:val="242424"/>
        </w:rPr>
        <w:t>,</w:t>
      </w:r>
      <w:r w:rsidR="00B71E2A" w:rsidRPr="003F4F40">
        <w:rPr>
          <w:rFonts w:ascii="Calibri" w:hAnsi="Calibri" w:cs="Calibri"/>
          <w:color w:val="242424"/>
        </w:rPr>
        <w:t xml:space="preserve"> partly </w:t>
      </w:r>
      <w:r w:rsidRPr="003F4F40">
        <w:rPr>
          <w:rFonts w:ascii="Calibri" w:hAnsi="Calibri" w:cs="Calibri"/>
          <w:color w:val="242424"/>
        </w:rPr>
        <w:t xml:space="preserve">due to concerns about the </w:t>
      </w:r>
      <w:r w:rsidR="00957834" w:rsidRPr="003F4F40">
        <w:rPr>
          <w:rFonts w:ascii="Calibri" w:hAnsi="Calibri" w:cs="Calibri"/>
          <w:color w:val="242424"/>
        </w:rPr>
        <w:t>government’s tariff policy</w:t>
      </w:r>
      <w:r w:rsidRPr="003F4F40">
        <w:rPr>
          <w:rFonts w:ascii="Calibri" w:hAnsi="Calibri" w:cs="Calibri"/>
          <w:color w:val="242424"/>
        </w:rPr>
        <w:t>.</w:t>
      </w:r>
      <w:r w:rsidR="00957834" w:rsidRPr="003F4F40">
        <w:rPr>
          <w:rFonts w:ascii="Calibri" w:hAnsi="Calibri" w:cs="Calibri"/>
          <w:color w:val="242424"/>
        </w:rPr>
        <w:t xml:space="preserve">  The interest rate trajectory priced in the markets remained unchanged during the reviewed period</w:t>
      </w:r>
      <w:r w:rsidRPr="003F4F40">
        <w:rPr>
          <w:rFonts w:ascii="Calibri" w:hAnsi="Calibri" w:cs="Calibri"/>
          <w:color w:val="242424"/>
        </w:rPr>
        <w:t xml:space="preserve"> (</w:t>
      </w:r>
      <w:r w:rsidRPr="003F4F40">
        <w:rPr>
          <w:rFonts w:ascii="Calibri" w:hAnsi="Calibri" w:cs="Calibri"/>
          <w:b/>
          <w:bCs/>
          <w:color w:val="242424"/>
        </w:rPr>
        <w:t>Figure 3</w:t>
      </w:r>
      <w:r w:rsidR="00957834" w:rsidRPr="003F4F40">
        <w:rPr>
          <w:rFonts w:ascii="Calibri" w:hAnsi="Calibri" w:cs="Calibri"/>
          <w:b/>
          <w:bCs/>
          <w:color w:val="242424"/>
        </w:rPr>
        <w:t>7</w:t>
      </w:r>
      <w:r w:rsidRPr="003F4F40">
        <w:rPr>
          <w:rFonts w:ascii="Calibri" w:hAnsi="Calibri" w:cs="Calibri"/>
          <w:color w:val="242424"/>
        </w:rPr>
        <w:t>).</w:t>
      </w:r>
    </w:p>
    <w:p w14:paraId="206553B6" w14:textId="364F2DCE" w:rsidR="00D32BDF" w:rsidRPr="003F4F40" w:rsidRDefault="00D32BDF" w:rsidP="00446EA6">
      <w:pPr>
        <w:pStyle w:val="NormalWeb"/>
        <w:shd w:val="clear" w:color="auto" w:fill="FFFFFF"/>
        <w:spacing w:before="0" w:beforeAutospacing="0" w:after="240" w:afterAutospacing="0"/>
        <w:jc w:val="both"/>
        <w:rPr>
          <w:rFonts w:ascii="Calibri" w:hAnsi="Calibri" w:cs="Calibri"/>
          <w:color w:val="242424"/>
        </w:rPr>
      </w:pPr>
      <w:r w:rsidRPr="003F4F40">
        <w:rPr>
          <w:rFonts w:ascii="Calibri" w:hAnsi="Calibri" w:cs="Calibri"/>
          <w:color w:val="242424"/>
        </w:rPr>
        <w:t>Inflat</w:t>
      </w:r>
      <w:r w:rsidR="00B71E2A" w:rsidRPr="003F4F40">
        <w:rPr>
          <w:rFonts w:ascii="Calibri" w:hAnsi="Calibri" w:cs="Calibri"/>
          <w:color w:val="242424"/>
        </w:rPr>
        <w:t xml:space="preserve">ion in the </w:t>
      </w:r>
      <w:r w:rsidR="00C9560E" w:rsidRPr="003F4F40">
        <w:rPr>
          <w:rFonts w:ascii="Calibri" w:hAnsi="Calibri" w:cs="Calibri"/>
          <w:color w:val="242424"/>
        </w:rPr>
        <w:t>e</w:t>
      </w:r>
      <w:r w:rsidR="00B71E2A" w:rsidRPr="003F4F40">
        <w:rPr>
          <w:rFonts w:ascii="Calibri" w:hAnsi="Calibri" w:cs="Calibri"/>
          <w:color w:val="242424"/>
        </w:rPr>
        <w:t>urozone</w:t>
      </w:r>
      <w:r w:rsidR="00957834" w:rsidRPr="003F4F40">
        <w:rPr>
          <w:rFonts w:ascii="Calibri" w:hAnsi="Calibri" w:cs="Calibri"/>
          <w:color w:val="242424"/>
        </w:rPr>
        <w:t xml:space="preserve"> increased in January beyond expectations, to</w:t>
      </w:r>
      <w:r w:rsidR="00B71E2A" w:rsidRPr="003F4F40">
        <w:rPr>
          <w:rFonts w:ascii="Calibri" w:hAnsi="Calibri" w:cs="Calibri"/>
          <w:color w:val="242424"/>
        </w:rPr>
        <w:t xml:space="preserve"> 2.</w:t>
      </w:r>
      <w:r w:rsidR="00957834" w:rsidRPr="003F4F40">
        <w:rPr>
          <w:rFonts w:ascii="Calibri" w:hAnsi="Calibri" w:cs="Calibri"/>
          <w:color w:val="242424"/>
        </w:rPr>
        <w:t>5</w:t>
      </w:r>
      <w:r w:rsidR="00B71E2A" w:rsidRPr="003F4F40">
        <w:rPr>
          <w:rFonts w:ascii="Calibri" w:hAnsi="Calibri" w:cs="Calibri"/>
          <w:color w:val="242424"/>
        </w:rPr>
        <w:t xml:space="preserve"> percent</w:t>
      </w:r>
      <w:r w:rsidRPr="003F4F40">
        <w:rPr>
          <w:rFonts w:ascii="Calibri" w:hAnsi="Calibri" w:cs="Calibri"/>
          <w:color w:val="242424"/>
        </w:rPr>
        <w:t>, with core infla</w:t>
      </w:r>
      <w:r w:rsidR="00B71E2A" w:rsidRPr="003F4F40">
        <w:rPr>
          <w:rFonts w:ascii="Calibri" w:hAnsi="Calibri" w:cs="Calibri"/>
          <w:color w:val="242424"/>
        </w:rPr>
        <w:t>tion remaining unchanged at 2.7 percent</w:t>
      </w:r>
      <w:r w:rsidRPr="003F4F40">
        <w:rPr>
          <w:rFonts w:ascii="Calibri" w:hAnsi="Calibri" w:cs="Calibri"/>
          <w:color w:val="242424"/>
        </w:rPr>
        <w:t>.</w:t>
      </w:r>
      <w:r w:rsidR="00957834" w:rsidRPr="003F4F40">
        <w:rPr>
          <w:rFonts w:ascii="Calibri" w:hAnsi="Calibri" w:cs="Calibri"/>
          <w:color w:val="242424"/>
        </w:rPr>
        <w:t xml:space="preserve">  Central banks in many advanced economies continued to lower interest rates.</w:t>
      </w:r>
      <w:r w:rsidRPr="003F4F40">
        <w:rPr>
          <w:rFonts w:ascii="Calibri" w:hAnsi="Calibri" w:cs="Calibri"/>
          <w:color w:val="242424"/>
        </w:rPr>
        <w:t xml:space="preserve"> The ECB </w:t>
      </w:r>
      <w:r w:rsidR="00957834" w:rsidRPr="003F4F40">
        <w:rPr>
          <w:rFonts w:ascii="Calibri" w:hAnsi="Calibri" w:cs="Calibri"/>
          <w:color w:val="242424"/>
        </w:rPr>
        <w:t>lowered its</w:t>
      </w:r>
      <w:r w:rsidRPr="003F4F40">
        <w:rPr>
          <w:rFonts w:ascii="Calibri" w:hAnsi="Calibri" w:cs="Calibri"/>
          <w:color w:val="242424"/>
        </w:rPr>
        <w:t xml:space="preserve"> rate by 25 basis points.</w:t>
      </w:r>
      <w:r w:rsidR="00957834" w:rsidRPr="003F4F40">
        <w:rPr>
          <w:rFonts w:ascii="Calibri" w:hAnsi="Calibri" w:cs="Calibri"/>
          <w:color w:val="242424"/>
        </w:rPr>
        <w:t xml:space="preserve">  Following three consecutive interest rate </w:t>
      </w:r>
      <w:r w:rsidR="00446EA6" w:rsidRPr="003F4F40">
        <w:rPr>
          <w:rFonts w:ascii="Calibri" w:hAnsi="Calibri" w:cs="Calibri"/>
          <w:color w:val="242424"/>
        </w:rPr>
        <w:t>reductions</w:t>
      </w:r>
      <w:r w:rsidR="00957834" w:rsidRPr="003F4F40">
        <w:rPr>
          <w:rFonts w:ascii="Calibri" w:hAnsi="Calibri" w:cs="Calibri"/>
          <w:color w:val="242424"/>
        </w:rPr>
        <w:t>, the Federal Reserve left its rate unchanged in January (</w:t>
      </w:r>
      <w:r w:rsidR="00957834" w:rsidRPr="003F4F40">
        <w:rPr>
          <w:rFonts w:ascii="Calibri" w:hAnsi="Calibri" w:cs="Calibri"/>
          <w:b/>
          <w:bCs/>
          <w:color w:val="242424"/>
        </w:rPr>
        <w:t>Figure 35</w:t>
      </w:r>
      <w:r w:rsidR="00957834" w:rsidRPr="003F4F40">
        <w:rPr>
          <w:rFonts w:ascii="Calibri" w:hAnsi="Calibri" w:cs="Calibri"/>
          <w:color w:val="242424"/>
        </w:rPr>
        <w:t>).</w:t>
      </w:r>
    </w:p>
    <w:p w14:paraId="606F6ACF" w14:textId="77777777" w:rsidR="00D26730" w:rsidRPr="003F4F40" w:rsidRDefault="00D26730" w:rsidP="00957834">
      <w:pPr>
        <w:jc w:val="both"/>
        <w:rPr>
          <w:rFonts w:ascii="Calibri" w:hAnsi="Calibri" w:cs="Calibri"/>
        </w:rPr>
      </w:pPr>
      <w:r w:rsidRPr="003F4F40">
        <w:rPr>
          <w:rFonts w:ascii="Calibri" w:hAnsi="Calibri" w:cs="Calibri"/>
        </w:rPr>
        <w:lastRenderedPageBreak/>
        <w:t xml:space="preserve">The minutes of the monetary discussions prior to this interest rate decision will be published on </w:t>
      </w:r>
      <w:r w:rsidR="00957834" w:rsidRPr="003F4F40">
        <w:rPr>
          <w:rFonts w:ascii="Calibri" w:hAnsi="Calibri" w:cs="Calibri"/>
        </w:rPr>
        <w:t>March 10</w:t>
      </w:r>
      <w:r w:rsidR="00B71E2A" w:rsidRPr="003F4F40">
        <w:rPr>
          <w:rFonts w:ascii="Calibri" w:hAnsi="Calibri" w:cs="Calibri"/>
        </w:rPr>
        <w:t>, 2025.</w:t>
      </w:r>
      <w:r w:rsidRPr="003F4F40">
        <w:rPr>
          <w:rFonts w:ascii="Calibri" w:hAnsi="Calibri" w:cs="Calibri"/>
        </w:rPr>
        <w:t xml:space="preserve"> The next decision regarding the interest rate will be published on </w:t>
      </w:r>
      <w:r w:rsidR="00096C47" w:rsidRPr="003F4F40">
        <w:rPr>
          <w:rFonts w:ascii="Calibri" w:hAnsi="Calibri" w:cs="Calibri"/>
        </w:rPr>
        <w:t>Monday</w:t>
      </w:r>
      <w:r w:rsidR="00B71E2A" w:rsidRPr="003F4F40">
        <w:rPr>
          <w:rFonts w:ascii="Calibri" w:hAnsi="Calibri" w:cs="Calibri"/>
        </w:rPr>
        <w:t>,</w:t>
      </w:r>
      <w:r w:rsidR="00096C47" w:rsidRPr="003F4F40">
        <w:rPr>
          <w:rFonts w:ascii="Calibri" w:hAnsi="Calibri" w:cs="Calibri"/>
        </w:rPr>
        <w:t xml:space="preserve"> </w:t>
      </w:r>
      <w:r w:rsidR="00957834" w:rsidRPr="003F4F40">
        <w:rPr>
          <w:rFonts w:ascii="Calibri" w:hAnsi="Calibri" w:cs="Calibri"/>
        </w:rPr>
        <w:t>April 7</w:t>
      </w:r>
      <w:r w:rsidR="00B71E2A" w:rsidRPr="003F4F40">
        <w:rPr>
          <w:rFonts w:ascii="Calibri" w:hAnsi="Calibri" w:cs="Calibri"/>
        </w:rPr>
        <w:t>, 2025</w:t>
      </w:r>
      <w:r w:rsidR="00C615F3" w:rsidRPr="003F4F40">
        <w:rPr>
          <w:rFonts w:ascii="Calibri" w:hAnsi="Calibri" w:cs="Calibri"/>
        </w:rPr>
        <w:t>.</w:t>
      </w:r>
    </w:p>
    <w:p w14:paraId="0C81068C" w14:textId="77777777" w:rsidR="00B21E55" w:rsidRPr="003F4F40" w:rsidRDefault="00B21E55" w:rsidP="006075EE">
      <w:pPr>
        <w:jc w:val="both"/>
        <w:rPr>
          <w:rFonts w:ascii="Calibri" w:hAnsi="Calibri" w:cs="Calibri"/>
        </w:rPr>
      </w:pPr>
    </w:p>
    <w:p w14:paraId="4CE4F12A" w14:textId="77777777" w:rsidR="00B21E55" w:rsidRPr="003F4F40" w:rsidRDefault="00B21E55" w:rsidP="006075EE">
      <w:pPr>
        <w:jc w:val="both"/>
        <w:rPr>
          <w:rFonts w:ascii="Calibri" w:hAnsi="Calibri" w:cs="Calibri"/>
        </w:rPr>
      </w:pPr>
      <w:r w:rsidRPr="003F4F40">
        <w:rPr>
          <w:rFonts w:ascii="Calibri" w:hAnsi="Calibri" w:cs="Calibri"/>
        </w:rPr>
        <w:t>Interest rate decision dates for 2024 and 2025 are available at:</w:t>
      </w:r>
    </w:p>
    <w:p w14:paraId="0604BCF7" w14:textId="77777777" w:rsidR="00606830" w:rsidRPr="003F4F40" w:rsidRDefault="00606830" w:rsidP="006075EE">
      <w:pPr>
        <w:spacing w:after="120" w:line="360" w:lineRule="auto"/>
        <w:jc w:val="both"/>
        <w:rPr>
          <w:rStyle w:val="Hyperlink"/>
          <w:rFonts w:ascii="Calibri" w:hAnsi="Calibri" w:cs="Calibri"/>
        </w:rPr>
      </w:pPr>
      <w:r w:rsidRPr="003F4F40">
        <w:rPr>
          <w:rStyle w:val="Hyperlink"/>
          <w:rFonts w:ascii="Calibri" w:hAnsi="Calibri" w:cs="Calibri"/>
        </w:rPr>
        <w:t>https://www.boi.org.il/en/economic-roles/monetary-policy/interest-rate-announcement-dates-2024/</w:t>
      </w:r>
    </w:p>
    <w:p w14:paraId="7ED20800" w14:textId="77777777" w:rsidR="00606830" w:rsidRPr="003F4F40" w:rsidRDefault="00606830" w:rsidP="006075EE">
      <w:pPr>
        <w:spacing w:after="120" w:line="360" w:lineRule="auto"/>
        <w:jc w:val="both"/>
        <w:rPr>
          <w:rFonts w:ascii="Calibri" w:hAnsi="Calibri" w:cs="Calibri"/>
          <w:rtl/>
        </w:rPr>
      </w:pPr>
    </w:p>
    <w:p w14:paraId="5A89D1A6" w14:textId="77777777" w:rsidR="00B21E55" w:rsidRPr="003F4F40" w:rsidRDefault="00B21E55" w:rsidP="00DA2D37">
      <w:pPr>
        <w:jc w:val="both"/>
        <w:rPr>
          <w:rFonts w:ascii="Calibri" w:hAnsi="Calibri" w:cs="Calibri"/>
          <w:rtl/>
        </w:rPr>
      </w:pPr>
    </w:p>
    <w:sectPr w:rsidR="00B21E55" w:rsidRPr="003F4F40" w:rsidSect="00BD7538">
      <w:type w:val="continuous"/>
      <w:pgSz w:w="11907" w:h="16839" w:code="9"/>
      <w:pgMar w:top="1701" w:right="1134" w:bottom="1304" w:left="1134" w:header="10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46C20" w14:textId="77777777" w:rsidR="008108B4" w:rsidRDefault="008108B4" w:rsidP="006A415B">
      <w:r>
        <w:separator/>
      </w:r>
    </w:p>
  </w:endnote>
  <w:endnote w:type="continuationSeparator" w:id="0">
    <w:p w14:paraId="7704CFAB" w14:textId="77777777" w:rsidR="008108B4" w:rsidRDefault="008108B4" w:rsidP="006A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BBAC5" w14:textId="77777777" w:rsidR="008108B4" w:rsidRDefault="008108B4" w:rsidP="006A415B">
      <w:r>
        <w:separator/>
      </w:r>
    </w:p>
  </w:footnote>
  <w:footnote w:type="continuationSeparator" w:id="0">
    <w:p w14:paraId="0CA2E2D0" w14:textId="77777777" w:rsidR="008108B4" w:rsidRDefault="008108B4" w:rsidP="006A4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hebrew1"/>
      <w:pStyle w:val="1"/>
      <w:lvlText w:val="%1."/>
      <w:legacy w:legacy="1" w:legacySpace="0" w:legacyIndent="340"/>
      <w:lvlJc w:val="right"/>
      <w:pPr>
        <w:ind w:left="340" w:hanging="340"/>
      </w:pPr>
      <w:rPr>
        <w:rFonts w:ascii="Times New Roman" w:hAnsi="Times New Roman" w:cs="Times New Roman" w:hint="default"/>
        <w:b w:val="0"/>
        <w:i w:val="0"/>
        <w:sz w:val="22"/>
        <w:szCs w:val="24"/>
      </w:rPr>
    </w:lvl>
    <w:lvl w:ilvl="1">
      <w:start w:val="1"/>
      <w:numFmt w:val="decimal"/>
      <w:pStyle w:val="2"/>
      <w:lvlText w:val="%2."/>
      <w:legacy w:legacy="1" w:legacySpace="0" w:legacyIndent="340"/>
      <w:lvlJc w:val="right"/>
      <w:pPr>
        <w:ind w:left="680" w:hanging="340"/>
      </w:pPr>
      <w:rPr>
        <w:rFonts w:ascii="Times New Roman" w:hAnsi="Times New Roman" w:cs="Times New Roman" w:hint="default"/>
        <w:b w:val="0"/>
        <w:i w:val="0"/>
        <w:sz w:val="22"/>
      </w:rPr>
    </w:lvl>
    <w:lvl w:ilvl="2">
      <w:start w:val="1"/>
      <w:numFmt w:val="hebrew1"/>
      <w:pStyle w:val="3"/>
      <w:lvlText w:val="%3)"/>
      <w:legacy w:legacy="1" w:legacySpace="0" w:legacyIndent="340"/>
      <w:lvlJc w:val="right"/>
      <w:pPr>
        <w:ind w:left="1020" w:hanging="340"/>
      </w:pPr>
      <w:rPr>
        <w:rFonts w:ascii="Times New Roman" w:hAnsi="Times New Roman" w:cs="Times New Roman" w:hint="default"/>
        <w:b w:val="0"/>
        <w:i w:val="0"/>
        <w:sz w:val="22"/>
        <w:szCs w:val="24"/>
      </w:rPr>
    </w:lvl>
    <w:lvl w:ilvl="3">
      <w:start w:val="1"/>
      <w:numFmt w:val="decimal"/>
      <w:pStyle w:val="4"/>
      <w:lvlText w:val="(%4)"/>
      <w:legacy w:legacy="1" w:legacySpace="0" w:legacyIndent="340"/>
      <w:lvlJc w:val="right"/>
      <w:pPr>
        <w:ind w:left="1360" w:hanging="340"/>
      </w:pPr>
      <w:rPr>
        <w:rFonts w:ascii="Times New Roman" w:hAnsi="Times New Roman" w:cs="Times New Roman" w:hint="default"/>
        <w:b w:val="0"/>
        <w:i w:val="0"/>
        <w:sz w:val="22"/>
      </w:rPr>
    </w:lvl>
    <w:lvl w:ilvl="4">
      <w:start w:val="1"/>
      <w:numFmt w:val="decimal"/>
      <w:pStyle w:val="5"/>
      <w:lvlText w:val="(%5)"/>
      <w:legacy w:legacy="1" w:legacySpace="0" w:legacyIndent="708"/>
      <w:lvlJc w:val="center"/>
      <w:pPr>
        <w:ind w:left="2068" w:hanging="708"/>
      </w:pPr>
      <w:rPr>
        <w:rFonts w:ascii="Times New Roman" w:hAnsi="Times New Roman" w:cs="Times New Roman"/>
      </w:rPr>
    </w:lvl>
    <w:lvl w:ilvl="5">
      <w:start w:val="1"/>
      <w:numFmt w:val="lowerLetter"/>
      <w:pStyle w:val="6"/>
      <w:lvlText w:val="(%6)"/>
      <w:legacy w:legacy="1" w:legacySpace="0" w:legacyIndent="708"/>
      <w:lvlJc w:val="center"/>
      <w:pPr>
        <w:ind w:left="2776" w:hanging="708"/>
      </w:pPr>
      <w:rPr>
        <w:rFonts w:ascii="Times New Roman" w:hAnsi="Times New Roman" w:cs="Times New Roman"/>
      </w:rPr>
    </w:lvl>
    <w:lvl w:ilvl="6">
      <w:start w:val="1"/>
      <w:numFmt w:val="lowerRoman"/>
      <w:pStyle w:val="7"/>
      <w:lvlText w:val="(%7)"/>
      <w:legacy w:legacy="1" w:legacySpace="0" w:legacyIndent="708"/>
      <w:lvlJc w:val="center"/>
      <w:pPr>
        <w:ind w:left="3484" w:hanging="708"/>
      </w:pPr>
      <w:rPr>
        <w:rFonts w:ascii="Times New Roman" w:hAnsi="Times New Roman" w:cs="Times New Roman"/>
      </w:rPr>
    </w:lvl>
    <w:lvl w:ilvl="7">
      <w:start w:val="1"/>
      <w:numFmt w:val="lowerLetter"/>
      <w:pStyle w:val="8"/>
      <w:lvlText w:val="(%8)"/>
      <w:legacy w:legacy="1" w:legacySpace="0" w:legacyIndent="708"/>
      <w:lvlJc w:val="center"/>
      <w:pPr>
        <w:ind w:left="4192" w:hanging="708"/>
      </w:pPr>
      <w:rPr>
        <w:rFonts w:ascii="Times New Roman" w:hAnsi="Times New Roman" w:cs="Times New Roman"/>
      </w:rPr>
    </w:lvl>
    <w:lvl w:ilvl="8">
      <w:start w:val="1"/>
      <w:numFmt w:val="lowerRoman"/>
      <w:pStyle w:val="9"/>
      <w:lvlText w:val="(%9)"/>
      <w:legacy w:legacy="1" w:legacySpace="0" w:legacyIndent="708"/>
      <w:lvlJc w:val="center"/>
      <w:pPr>
        <w:ind w:left="4900" w:hanging="708"/>
      </w:pPr>
      <w:rPr>
        <w:rFonts w:ascii="Times New Roman" w:hAnsi="Times New Roman" w:cs="Times New Roman"/>
      </w:rPr>
    </w:lvl>
  </w:abstractNum>
  <w:abstractNum w:abstractNumId="1" w15:restartNumberingAfterBreak="0">
    <w:nsid w:val="0542714D"/>
    <w:multiLevelType w:val="hybridMultilevel"/>
    <w:tmpl w:val="EAD21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933779"/>
    <w:multiLevelType w:val="hybridMultilevel"/>
    <w:tmpl w:val="D2129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71947"/>
    <w:multiLevelType w:val="hybridMultilevel"/>
    <w:tmpl w:val="DED880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E1775"/>
    <w:multiLevelType w:val="hybridMultilevel"/>
    <w:tmpl w:val="3872C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AB429C"/>
    <w:multiLevelType w:val="hybridMultilevel"/>
    <w:tmpl w:val="5488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B5799F"/>
    <w:multiLevelType w:val="hybridMultilevel"/>
    <w:tmpl w:val="4B7E8D5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8975AE7"/>
    <w:multiLevelType w:val="hybridMultilevel"/>
    <w:tmpl w:val="0FE2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BD4A18"/>
    <w:multiLevelType w:val="hybridMultilevel"/>
    <w:tmpl w:val="89309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48C0C10"/>
    <w:multiLevelType w:val="hybridMultilevel"/>
    <w:tmpl w:val="6D109332"/>
    <w:lvl w:ilvl="0" w:tplc="6DA002CA">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5BA64F0"/>
    <w:multiLevelType w:val="hybridMultilevel"/>
    <w:tmpl w:val="4F7A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37205B"/>
    <w:multiLevelType w:val="hybridMultilevel"/>
    <w:tmpl w:val="66868FB6"/>
    <w:lvl w:ilvl="0" w:tplc="04090001">
      <w:start w:val="1"/>
      <w:numFmt w:val="bullet"/>
      <w:lvlText w:val=""/>
      <w:lvlJc w:val="left"/>
      <w:pPr>
        <w:ind w:left="5747" w:hanging="360"/>
      </w:pPr>
      <w:rPr>
        <w:rFonts w:ascii="Symbol" w:hAnsi="Symbol" w:hint="default"/>
      </w:rPr>
    </w:lvl>
    <w:lvl w:ilvl="1" w:tplc="04090003" w:tentative="1">
      <w:start w:val="1"/>
      <w:numFmt w:val="bullet"/>
      <w:lvlText w:val="o"/>
      <w:lvlJc w:val="left"/>
      <w:pPr>
        <w:ind w:left="6467" w:hanging="360"/>
      </w:pPr>
      <w:rPr>
        <w:rFonts w:ascii="Courier New" w:hAnsi="Courier New" w:cs="Courier New" w:hint="default"/>
      </w:rPr>
    </w:lvl>
    <w:lvl w:ilvl="2" w:tplc="04090005" w:tentative="1">
      <w:start w:val="1"/>
      <w:numFmt w:val="bullet"/>
      <w:lvlText w:val=""/>
      <w:lvlJc w:val="left"/>
      <w:pPr>
        <w:ind w:left="7187" w:hanging="360"/>
      </w:pPr>
      <w:rPr>
        <w:rFonts w:ascii="Wingdings" w:hAnsi="Wingdings" w:hint="default"/>
      </w:rPr>
    </w:lvl>
    <w:lvl w:ilvl="3" w:tplc="04090001" w:tentative="1">
      <w:start w:val="1"/>
      <w:numFmt w:val="bullet"/>
      <w:lvlText w:val=""/>
      <w:lvlJc w:val="left"/>
      <w:pPr>
        <w:ind w:left="7907" w:hanging="360"/>
      </w:pPr>
      <w:rPr>
        <w:rFonts w:ascii="Symbol" w:hAnsi="Symbol" w:hint="default"/>
      </w:rPr>
    </w:lvl>
    <w:lvl w:ilvl="4" w:tplc="04090003" w:tentative="1">
      <w:start w:val="1"/>
      <w:numFmt w:val="bullet"/>
      <w:lvlText w:val="o"/>
      <w:lvlJc w:val="left"/>
      <w:pPr>
        <w:ind w:left="8627" w:hanging="360"/>
      </w:pPr>
      <w:rPr>
        <w:rFonts w:ascii="Courier New" w:hAnsi="Courier New" w:cs="Courier New" w:hint="default"/>
      </w:rPr>
    </w:lvl>
    <w:lvl w:ilvl="5" w:tplc="04090005" w:tentative="1">
      <w:start w:val="1"/>
      <w:numFmt w:val="bullet"/>
      <w:lvlText w:val=""/>
      <w:lvlJc w:val="left"/>
      <w:pPr>
        <w:ind w:left="9347" w:hanging="360"/>
      </w:pPr>
      <w:rPr>
        <w:rFonts w:ascii="Wingdings" w:hAnsi="Wingdings" w:hint="default"/>
      </w:rPr>
    </w:lvl>
    <w:lvl w:ilvl="6" w:tplc="04090001" w:tentative="1">
      <w:start w:val="1"/>
      <w:numFmt w:val="bullet"/>
      <w:lvlText w:val=""/>
      <w:lvlJc w:val="left"/>
      <w:pPr>
        <w:ind w:left="10067" w:hanging="360"/>
      </w:pPr>
      <w:rPr>
        <w:rFonts w:ascii="Symbol" w:hAnsi="Symbol" w:hint="default"/>
      </w:rPr>
    </w:lvl>
    <w:lvl w:ilvl="7" w:tplc="04090003" w:tentative="1">
      <w:start w:val="1"/>
      <w:numFmt w:val="bullet"/>
      <w:lvlText w:val="o"/>
      <w:lvlJc w:val="left"/>
      <w:pPr>
        <w:ind w:left="10787" w:hanging="360"/>
      </w:pPr>
      <w:rPr>
        <w:rFonts w:ascii="Courier New" w:hAnsi="Courier New" w:cs="Courier New" w:hint="default"/>
      </w:rPr>
    </w:lvl>
    <w:lvl w:ilvl="8" w:tplc="04090005" w:tentative="1">
      <w:start w:val="1"/>
      <w:numFmt w:val="bullet"/>
      <w:lvlText w:val=""/>
      <w:lvlJc w:val="left"/>
      <w:pPr>
        <w:ind w:left="11507" w:hanging="360"/>
      </w:pPr>
      <w:rPr>
        <w:rFonts w:ascii="Wingdings" w:hAnsi="Wingdings" w:hint="default"/>
      </w:rPr>
    </w:lvl>
  </w:abstractNum>
  <w:abstractNum w:abstractNumId="12" w15:restartNumberingAfterBreak="0">
    <w:nsid w:val="7AB960C6"/>
    <w:multiLevelType w:val="hybridMultilevel"/>
    <w:tmpl w:val="A9C69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
  </w:num>
  <w:num w:numId="4">
    <w:abstractNumId w:val="4"/>
  </w:num>
  <w:num w:numId="5">
    <w:abstractNumId w:val="1"/>
  </w:num>
  <w:num w:numId="6">
    <w:abstractNumId w:val="12"/>
  </w:num>
  <w:num w:numId="7">
    <w:abstractNumId w:val="5"/>
  </w:num>
  <w:num w:numId="8">
    <w:abstractNumId w:val="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6"/>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mirrorMargins/>
  <w:defaultTabStop w:val="720"/>
  <w:evenAndOddHeaders/>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06"/>
    <w:rsid w:val="000009ED"/>
    <w:rsid w:val="000016FE"/>
    <w:rsid w:val="00003FA3"/>
    <w:rsid w:val="0000420E"/>
    <w:rsid w:val="00004259"/>
    <w:rsid w:val="00005040"/>
    <w:rsid w:val="00005212"/>
    <w:rsid w:val="0000579C"/>
    <w:rsid w:val="000057DC"/>
    <w:rsid w:val="0000766C"/>
    <w:rsid w:val="00010568"/>
    <w:rsid w:val="00010C70"/>
    <w:rsid w:val="0001308F"/>
    <w:rsid w:val="00014A23"/>
    <w:rsid w:val="00014EF7"/>
    <w:rsid w:val="0001723D"/>
    <w:rsid w:val="00017C7F"/>
    <w:rsid w:val="00020F9E"/>
    <w:rsid w:val="000247BE"/>
    <w:rsid w:val="0002574D"/>
    <w:rsid w:val="00026557"/>
    <w:rsid w:val="00026692"/>
    <w:rsid w:val="0002762F"/>
    <w:rsid w:val="0003080D"/>
    <w:rsid w:val="000308DE"/>
    <w:rsid w:val="00032BD5"/>
    <w:rsid w:val="00032EAA"/>
    <w:rsid w:val="00033062"/>
    <w:rsid w:val="00033326"/>
    <w:rsid w:val="000337D1"/>
    <w:rsid w:val="000359AC"/>
    <w:rsid w:val="0003624A"/>
    <w:rsid w:val="0003644D"/>
    <w:rsid w:val="000368DE"/>
    <w:rsid w:val="0004163E"/>
    <w:rsid w:val="000416AB"/>
    <w:rsid w:val="00041B69"/>
    <w:rsid w:val="00042865"/>
    <w:rsid w:val="00042D5A"/>
    <w:rsid w:val="00043E00"/>
    <w:rsid w:val="00043EF3"/>
    <w:rsid w:val="00044851"/>
    <w:rsid w:val="00044C54"/>
    <w:rsid w:val="000467E1"/>
    <w:rsid w:val="00046F70"/>
    <w:rsid w:val="000504FE"/>
    <w:rsid w:val="00050BD0"/>
    <w:rsid w:val="000512B0"/>
    <w:rsid w:val="000519B9"/>
    <w:rsid w:val="00051F02"/>
    <w:rsid w:val="00053072"/>
    <w:rsid w:val="00053163"/>
    <w:rsid w:val="000538AB"/>
    <w:rsid w:val="00053A86"/>
    <w:rsid w:val="00054956"/>
    <w:rsid w:val="00056533"/>
    <w:rsid w:val="00061166"/>
    <w:rsid w:val="00064AC9"/>
    <w:rsid w:val="00065057"/>
    <w:rsid w:val="000651F8"/>
    <w:rsid w:val="0006540D"/>
    <w:rsid w:val="00066322"/>
    <w:rsid w:val="000674E1"/>
    <w:rsid w:val="000677A6"/>
    <w:rsid w:val="0006797C"/>
    <w:rsid w:val="000703FF"/>
    <w:rsid w:val="00070DB3"/>
    <w:rsid w:val="00070EC2"/>
    <w:rsid w:val="000717B4"/>
    <w:rsid w:val="000743A2"/>
    <w:rsid w:val="00074B82"/>
    <w:rsid w:val="0007516C"/>
    <w:rsid w:val="0007573A"/>
    <w:rsid w:val="000769A8"/>
    <w:rsid w:val="000819C4"/>
    <w:rsid w:val="00081DD4"/>
    <w:rsid w:val="00081ECB"/>
    <w:rsid w:val="0008265B"/>
    <w:rsid w:val="00083540"/>
    <w:rsid w:val="00084BF8"/>
    <w:rsid w:val="000851CE"/>
    <w:rsid w:val="000857A0"/>
    <w:rsid w:val="000860E5"/>
    <w:rsid w:val="00086CE6"/>
    <w:rsid w:val="00086DD2"/>
    <w:rsid w:val="00087055"/>
    <w:rsid w:val="00087A89"/>
    <w:rsid w:val="0009033A"/>
    <w:rsid w:val="00090ABE"/>
    <w:rsid w:val="00091510"/>
    <w:rsid w:val="00091D07"/>
    <w:rsid w:val="00093CBA"/>
    <w:rsid w:val="00093E16"/>
    <w:rsid w:val="00094DC7"/>
    <w:rsid w:val="00096C47"/>
    <w:rsid w:val="000970A9"/>
    <w:rsid w:val="0009726C"/>
    <w:rsid w:val="000975E0"/>
    <w:rsid w:val="000A02E0"/>
    <w:rsid w:val="000A0503"/>
    <w:rsid w:val="000A409C"/>
    <w:rsid w:val="000A4196"/>
    <w:rsid w:val="000A50C6"/>
    <w:rsid w:val="000A577B"/>
    <w:rsid w:val="000A57F1"/>
    <w:rsid w:val="000A7183"/>
    <w:rsid w:val="000A75E1"/>
    <w:rsid w:val="000A7BAF"/>
    <w:rsid w:val="000B00F9"/>
    <w:rsid w:val="000B0812"/>
    <w:rsid w:val="000B0CA3"/>
    <w:rsid w:val="000B10F7"/>
    <w:rsid w:val="000B1666"/>
    <w:rsid w:val="000B288C"/>
    <w:rsid w:val="000B5823"/>
    <w:rsid w:val="000B77C7"/>
    <w:rsid w:val="000B7A80"/>
    <w:rsid w:val="000C0090"/>
    <w:rsid w:val="000C06F5"/>
    <w:rsid w:val="000C1CAB"/>
    <w:rsid w:val="000C1D36"/>
    <w:rsid w:val="000C23B4"/>
    <w:rsid w:val="000C3838"/>
    <w:rsid w:val="000C4DCD"/>
    <w:rsid w:val="000C5920"/>
    <w:rsid w:val="000C5AD8"/>
    <w:rsid w:val="000C5C39"/>
    <w:rsid w:val="000C6506"/>
    <w:rsid w:val="000C79A3"/>
    <w:rsid w:val="000C7D5B"/>
    <w:rsid w:val="000D1004"/>
    <w:rsid w:val="000D1A43"/>
    <w:rsid w:val="000D1F86"/>
    <w:rsid w:val="000D370E"/>
    <w:rsid w:val="000D3FD7"/>
    <w:rsid w:val="000D41A9"/>
    <w:rsid w:val="000D53EB"/>
    <w:rsid w:val="000D5605"/>
    <w:rsid w:val="000D5687"/>
    <w:rsid w:val="000D57DF"/>
    <w:rsid w:val="000D5952"/>
    <w:rsid w:val="000D623A"/>
    <w:rsid w:val="000D6B8C"/>
    <w:rsid w:val="000D70AC"/>
    <w:rsid w:val="000D74BC"/>
    <w:rsid w:val="000E030C"/>
    <w:rsid w:val="000E0752"/>
    <w:rsid w:val="000E0FBB"/>
    <w:rsid w:val="000E10F6"/>
    <w:rsid w:val="000E1246"/>
    <w:rsid w:val="000E12D2"/>
    <w:rsid w:val="000E168E"/>
    <w:rsid w:val="000E2B1B"/>
    <w:rsid w:val="000E3349"/>
    <w:rsid w:val="000E42A1"/>
    <w:rsid w:val="000E5444"/>
    <w:rsid w:val="000E5F83"/>
    <w:rsid w:val="000E64FA"/>
    <w:rsid w:val="000E674B"/>
    <w:rsid w:val="000E690F"/>
    <w:rsid w:val="000E6DF7"/>
    <w:rsid w:val="000E77BF"/>
    <w:rsid w:val="000E7C33"/>
    <w:rsid w:val="000E7F9B"/>
    <w:rsid w:val="000F00D9"/>
    <w:rsid w:val="000F069A"/>
    <w:rsid w:val="000F10CC"/>
    <w:rsid w:val="000F11D7"/>
    <w:rsid w:val="000F1564"/>
    <w:rsid w:val="000F2AC0"/>
    <w:rsid w:val="000F40FB"/>
    <w:rsid w:val="000F4EBE"/>
    <w:rsid w:val="000F54D5"/>
    <w:rsid w:val="000F5C08"/>
    <w:rsid w:val="000F5F46"/>
    <w:rsid w:val="0010008A"/>
    <w:rsid w:val="00100ED2"/>
    <w:rsid w:val="00101CD9"/>
    <w:rsid w:val="00102273"/>
    <w:rsid w:val="001023DE"/>
    <w:rsid w:val="0010516D"/>
    <w:rsid w:val="0010554B"/>
    <w:rsid w:val="00105C6C"/>
    <w:rsid w:val="001077FE"/>
    <w:rsid w:val="001110C7"/>
    <w:rsid w:val="00111B01"/>
    <w:rsid w:val="00113F78"/>
    <w:rsid w:val="00114A1E"/>
    <w:rsid w:val="00115978"/>
    <w:rsid w:val="001209A1"/>
    <w:rsid w:val="00120A96"/>
    <w:rsid w:val="00120CBC"/>
    <w:rsid w:val="001230AB"/>
    <w:rsid w:val="0012343B"/>
    <w:rsid w:val="00123AAE"/>
    <w:rsid w:val="001246CD"/>
    <w:rsid w:val="00124898"/>
    <w:rsid w:val="00124C58"/>
    <w:rsid w:val="0012539C"/>
    <w:rsid w:val="00127542"/>
    <w:rsid w:val="0013000B"/>
    <w:rsid w:val="0013004C"/>
    <w:rsid w:val="00130AEA"/>
    <w:rsid w:val="00130B18"/>
    <w:rsid w:val="00130FDA"/>
    <w:rsid w:val="001314EF"/>
    <w:rsid w:val="00131DB9"/>
    <w:rsid w:val="00132757"/>
    <w:rsid w:val="00133702"/>
    <w:rsid w:val="00134E52"/>
    <w:rsid w:val="00135719"/>
    <w:rsid w:val="001361C4"/>
    <w:rsid w:val="00136EA2"/>
    <w:rsid w:val="00140663"/>
    <w:rsid w:val="001406C1"/>
    <w:rsid w:val="00142107"/>
    <w:rsid w:val="00145881"/>
    <w:rsid w:val="00145BF6"/>
    <w:rsid w:val="00146CF1"/>
    <w:rsid w:val="00146EEA"/>
    <w:rsid w:val="00146F92"/>
    <w:rsid w:val="00150F1E"/>
    <w:rsid w:val="00151E99"/>
    <w:rsid w:val="00152120"/>
    <w:rsid w:val="001530AA"/>
    <w:rsid w:val="0015502C"/>
    <w:rsid w:val="001550FB"/>
    <w:rsid w:val="00155630"/>
    <w:rsid w:val="00155BAE"/>
    <w:rsid w:val="00160AD5"/>
    <w:rsid w:val="00161C87"/>
    <w:rsid w:val="00162076"/>
    <w:rsid w:val="00163C3D"/>
    <w:rsid w:val="0016533E"/>
    <w:rsid w:val="00165645"/>
    <w:rsid w:val="00165ECA"/>
    <w:rsid w:val="00165FAB"/>
    <w:rsid w:val="00166110"/>
    <w:rsid w:val="00166DC5"/>
    <w:rsid w:val="00167478"/>
    <w:rsid w:val="00170743"/>
    <w:rsid w:val="001714A4"/>
    <w:rsid w:val="00171888"/>
    <w:rsid w:val="00171A9A"/>
    <w:rsid w:val="00174769"/>
    <w:rsid w:val="00174787"/>
    <w:rsid w:val="001758BE"/>
    <w:rsid w:val="00176645"/>
    <w:rsid w:val="00176852"/>
    <w:rsid w:val="0017762C"/>
    <w:rsid w:val="00177E01"/>
    <w:rsid w:val="001809CC"/>
    <w:rsid w:val="00180B68"/>
    <w:rsid w:val="00183F6B"/>
    <w:rsid w:val="00185B28"/>
    <w:rsid w:val="00185FC3"/>
    <w:rsid w:val="00186C12"/>
    <w:rsid w:val="001870AE"/>
    <w:rsid w:val="00190FC4"/>
    <w:rsid w:val="00191EDC"/>
    <w:rsid w:val="001929CC"/>
    <w:rsid w:val="00193ACF"/>
    <w:rsid w:val="00194663"/>
    <w:rsid w:val="00194A87"/>
    <w:rsid w:val="0019541B"/>
    <w:rsid w:val="00195AC7"/>
    <w:rsid w:val="00195DD8"/>
    <w:rsid w:val="00196720"/>
    <w:rsid w:val="00196FAC"/>
    <w:rsid w:val="001979DB"/>
    <w:rsid w:val="00197CEA"/>
    <w:rsid w:val="001A0731"/>
    <w:rsid w:val="001A1574"/>
    <w:rsid w:val="001A1A27"/>
    <w:rsid w:val="001A1D4C"/>
    <w:rsid w:val="001A20A9"/>
    <w:rsid w:val="001A29FE"/>
    <w:rsid w:val="001A34F4"/>
    <w:rsid w:val="001A3AC8"/>
    <w:rsid w:val="001A404B"/>
    <w:rsid w:val="001A4B79"/>
    <w:rsid w:val="001A503C"/>
    <w:rsid w:val="001A5208"/>
    <w:rsid w:val="001A55F3"/>
    <w:rsid w:val="001A5C00"/>
    <w:rsid w:val="001A5C93"/>
    <w:rsid w:val="001A5EEA"/>
    <w:rsid w:val="001B00BB"/>
    <w:rsid w:val="001B0124"/>
    <w:rsid w:val="001B0F37"/>
    <w:rsid w:val="001B1AC6"/>
    <w:rsid w:val="001B2297"/>
    <w:rsid w:val="001B2918"/>
    <w:rsid w:val="001B414F"/>
    <w:rsid w:val="001B41AF"/>
    <w:rsid w:val="001B430C"/>
    <w:rsid w:val="001B4676"/>
    <w:rsid w:val="001B4D56"/>
    <w:rsid w:val="001B4DD9"/>
    <w:rsid w:val="001B62A8"/>
    <w:rsid w:val="001B719D"/>
    <w:rsid w:val="001C005D"/>
    <w:rsid w:val="001C18C2"/>
    <w:rsid w:val="001C1ABA"/>
    <w:rsid w:val="001C253A"/>
    <w:rsid w:val="001C2F9B"/>
    <w:rsid w:val="001C30D7"/>
    <w:rsid w:val="001C36F1"/>
    <w:rsid w:val="001C5D4D"/>
    <w:rsid w:val="001C6061"/>
    <w:rsid w:val="001C648E"/>
    <w:rsid w:val="001C67AA"/>
    <w:rsid w:val="001C796D"/>
    <w:rsid w:val="001D1135"/>
    <w:rsid w:val="001D171B"/>
    <w:rsid w:val="001D1BFB"/>
    <w:rsid w:val="001D3676"/>
    <w:rsid w:val="001D398C"/>
    <w:rsid w:val="001D4181"/>
    <w:rsid w:val="001D42FB"/>
    <w:rsid w:val="001D4876"/>
    <w:rsid w:val="001D4FF1"/>
    <w:rsid w:val="001D6C29"/>
    <w:rsid w:val="001D6F20"/>
    <w:rsid w:val="001E0025"/>
    <w:rsid w:val="001E02C6"/>
    <w:rsid w:val="001E1D40"/>
    <w:rsid w:val="001E2111"/>
    <w:rsid w:val="001E2404"/>
    <w:rsid w:val="001E29C0"/>
    <w:rsid w:val="001E2CC0"/>
    <w:rsid w:val="001E34CC"/>
    <w:rsid w:val="001E389F"/>
    <w:rsid w:val="001E3D28"/>
    <w:rsid w:val="001E59FB"/>
    <w:rsid w:val="001F0639"/>
    <w:rsid w:val="001F07C0"/>
    <w:rsid w:val="001F0BF6"/>
    <w:rsid w:val="001F0E1E"/>
    <w:rsid w:val="001F1315"/>
    <w:rsid w:val="001F1511"/>
    <w:rsid w:val="001F2101"/>
    <w:rsid w:val="001F2855"/>
    <w:rsid w:val="001F2882"/>
    <w:rsid w:val="001F4879"/>
    <w:rsid w:val="001F4AD7"/>
    <w:rsid w:val="001F5492"/>
    <w:rsid w:val="001F579B"/>
    <w:rsid w:val="001F688C"/>
    <w:rsid w:val="001F7599"/>
    <w:rsid w:val="00201608"/>
    <w:rsid w:val="002016D1"/>
    <w:rsid w:val="002019AB"/>
    <w:rsid w:val="0020271C"/>
    <w:rsid w:val="00203AB5"/>
    <w:rsid w:val="002041D4"/>
    <w:rsid w:val="00204ACD"/>
    <w:rsid w:val="00207FB2"/>
    <w:rsid w:val="00211375"/>
    <w:rsid w:val="00211F00"/>
    <w:rsid w:val="002122F9"/>
    <w:rsid w:val="002127DE"/>
    <w:rsid w:val="002128E9"/>
    <w:rsid w:val="002131B9"/>
    <w:rsid w:val="002150B4"/>
    <w:rsid w:val="0021573C"/>
    <w:rsid w:val="00216193"/>
    <w:rsid w:val="002166E3"/>
    <w:rsid w:val="00217377"/>
    <w:rsid w:val="00220741"/>
    <w:rsid w:val="00221D8C"/>
    <w:rsid w:val="0022201F"/>
    <w:rsid w:val="002224F4"/>
    <w:rsid w:val="00225374"/>
    <w:rsid w:val="00227B40"/>
    <w:rsid w:val="00227DF7"/>
    <w:rsid w:val="002301B5"/>
    <w:rsid w:val="00230452"/>
    <w:rsid w:val="00230BCF"/>
    <w:rsid w:val="0023129F"/>
    <w:rsid w:val="00231C91"/>
    <w:rsid w:val="00232305"/>
    <w:rsid w:val="00233242"/>
    <w:rsid w:val="00234E8D"/>
    <w:rsid w:val="00235C2C"/>
    <w:rsid w:val="00235C9A"/>
    <w:rsid w:val="002372E6"/>
    <w:rsid w:val="0024000B"/>
    <w:rsid w:val="00240CBE"/>
    <w:rsid w:val="0024158D"/>
    <w:rsid w:val="00242029"/>
    <w:rsid w:val="002427B4"/>
    <w:rsid w:val="00242EA5"/>
    <w:rsid w:val="002439C2"/>
    <w:rsid w:val="00244C15"/>
    <w:rsid w:val="00244DF1"/>
    <w:rsid w:val="002454BD"/>
    <w:rsid w:val="00246670"/>
    <w:rsid w:val="00246A77"/>
    <w:rsid w:val="00246AB4"/>
    <w:rsid w:val="00246D60"/>
    <w:rsid w:val="00247CB6"/>
    <w:rsid w:val="00250448"/>
    <w:rsid w:val="0025090B"/>
    <w:rsid w:val="0025241A"/>
    <w:rsid w:val="002530C3"/>
    <w:rsid w:val="00254595"/>
    <w:rsid w:val="002547EA"/>
    <w:rsid w:val="00255F78"/>
    <w:rsid w:val="00257C4F"/>
    <w:rsid w:val="002626D3"/>
    <w:rsid w:val="002629F2"/>
    <w:rsid w:val="00262B90"/>
    <w:rsid w:val="002636AB"/>
    <w:rsid w:val="00263FA4"/>
    <w:rsid w:val="00264450"/>
    <w:rsid w:val="00264B07"/>
    <w:rsid w:val="002650AB"/>
    <w:rsid w:val="00265177"/>
    <w:rsid w:val="00266932"/>
    <w:rsid w:val="00266A32"/>
    <w:rsid w:val="00267CC5"/>
    <w:rsid w:val="00267CFD"/>
    <w:rsid w:val="00270B0B"/>
    <w:rsid w:val="0027326C"/>
    <w:rsid w:val="00273D1B"/>
    <w:rsid w:val="00274B50"/>
    <w:rsid w:val="00274F4A"/>
    <w:rsid w:val="002752F1"/>
    <w:rsid w:val="0027547C"/>
    <w:rsid w:val="0027653D"/>
    <w:rsid w:val="00276651"/>
    <w:rsid w:val="00277BC5"/>
    <w:rsid w:val="00280053"/>
    <w:rsid w:val="00280A65"/>
    <w:rsid w:val="00282773"/>
    <w:rsid w:val="00282A2B"/>
    <w:rsid w:val="00283756"/>
    <w:rsid w:val="002842CA"/>
    <w:rsid w:val="002848C9"/>
    <w:rsid w:val="00286644"/>
    <w:rsid w:val="0028776B"/>
    <w:rsid w:val="0029067D"/>
    <w:rsid w:val="002910D0"/>
    <w:rsid w:val="0029124A"/>
    <w:rsid w:val="002916FD"/>
    <w:rsid w:val="002919ED"/>
    <w:rsid w:val="00291D49"/>
    <w:rsid w:val="00292AE0"/>
    <w:rsid w:val="00293151"/>
    <w:rsid w:val="002934E4"/>
    <w:rsid w:val="00295C50"/>
    <w:rsid w:val="00295D2E"/>
    <w:rsid w:val="00296403"/>
    <w:rsid w:val="00296B48"/>
    <w:rsid w:val="00296CAD"/>
    <w:rsid w:val="00297B01"/>
    <w:rsid w:val="002A2252"/>
    <w:rsid w:val="002A2269"/>
    <w:rsid w:val="002A3047"/>
    <w:rsid w:val="002A305D"/>
    <w:rsid w:val="002A39EA"/>
    <w:rsid w:val="002A4D83"/>
    <w:rsid w:val="002A5070"/>
    <w:rsid w:val="002A545A"/>
    <w:rsid w:val="002A6170"/>
    <w:rsid w:val="002A61E1"/>
    <w:rsid w:val="002A6CAF"/>
    <w:rsid w:val="002B0908"/>
    <w:rsid w:val="002B09B3"/>
    <w:rsid w:val="002B0F0E"/>
    <w:rsid w:val="002B117C"/>
    <w:rsid w:val="002B1C21"/>
    <w:rsid w:val="002B2009"/>
    <w:rsid w:val="002B2038"/>
    <w:rsid w:val="002B234C"/>
    <w:rsid w:val="002B2730"/>
    <w:rsid w:val="002B2A4D"/>
    <w:rsid w:val="002B2E6D"/>
    <w:rsid w:val="002B3DBC"/>
    <w:rsid w:val="002B3E40"/>
    <w:rsid w:val="002B4F55"/>
    <w:rsid w:val="002B6624"/>
    <w:rsid w:val="002B7096"/>
    <w:rsid w:val="002C15F3"/>
    <w:rsid w:val="002C1A7A"/>
    <w:rsid w:val="002C1FDC"/>
    <w:rsid w:val="002C22A9"/>
    <w:rsid w:val="002C2763"/>
    <w:rsid w:val="002C38FD"/>
    <w:rsid w:val="002C445A"/>
    <w:rsid w:val="002C45A1"/>
    <w:rsid w:val="002C487B"/>
    <w:rsid w:val="002C4A6D"/>
    <w:rsid w:val="002C5A95"/>
    <w:rsid w:val="002C7D1A"/>
    <w:rsid w:val="002D056D"/>
    <w:rsid w:val="002D0D4E"/>
    <w:rsid w:val="002D0E73"/>
    <w:rsid w:val="002D1444"/>
    <w:rsid w:val="002D1724"/>
    <w:rsid w:val="002D2BC1"/>
    <w:rsid w:val="002D2C82"/>
    <w:rsid w:val="002D338D"/>
    <w:rsid w:val="002D4844"/>
    <w:rsid w:val="002D4B53"/>
    <w:rsid w:val="002D5E24"/>
    <w:rsid w:val="002D7483"/>
    <w:rsid w:val="002D7E55"/>
    <w:rsid w:val="002D7FF2"/>
    <w:rsid w:val="002E01BF"/>
    <w:rsid w:val="002E0A54"/>
    <w:rsid w:val="002E1E8D"/>
    <w:rsid w:val="002E2227"/>
    <w:rsid w:val="002E3534"/>
    <w:rsid w:val="002E392D"/>
    <w:rsid w:val="002E4CFC"/>
    <w:rsid w:val="002E5026"/>
    <w:rsid w:val="002E5CE8"/>
    <w:rsid w:val="002E71EB"/>
    <w:rsid w:val="002E7729"/>
    <w:rsid w:val="002E7AD8"/>
    <w:rsid w:val="002E7B00"/>
    <w:rsid w:val="002E7D48"/>
    <w:rsid w:val="002F016B"/>
    <w:rsid w:val="002F096E"/>
    <w:rsid w:val="002F0E94"/>
    <w:rsid w:val="002F1826"/>
    <w:rsid w:val="002F20BA"/>
    <w:rsid w:val="002F3163"/>
    <w:rsid w:val="002F5E59"/>
    <w:rsid w:val="002F6313"/>
    <w:rsid w:val="002F692E"/>
    <w:rsid w:val="002F753C"/>
    <w:rsid w:val="00301247"/>
    <w:rsid w:val="00302399"/>
    <w:rsid w:val="00302999"/>
    <w:rsid w:val="00303B1E"/>
    <w:rsid w:val="00303DF5"/>
    <w:rsid w:val="00304BBE"/>
    <w:rsid w:val="00304F60"/>
    <w:rsid w:val="00305AB1"/>
    <w:rsid w:val="00305F78"/>
    <w:rsid w:val="00307300"/>
    <w:rsid w:val="00307FBB"/>
    <w:rsid w:val="00311F59"/>
    <w:rsid w:val="0031243C"/>
    <w:rsid w:val="00312446"/>
    <w:rsid w:val="0031276F"/>
    <w:rsid w:val="003131CF"/>
    <w:rsid w:val="0031384F"/>
    <w:rsid w:val="00315ECF"/>
    <w:rsid w:val="00316005"/>
    <w:rsid w:val="00316084"/>
    <w:rsid w:val="00316F56"/>
    <w:rsid w:val="0032005A"/>
    <w:rsid w:val="0032040A"/>
    <w:rsid w:val="0033191B"/>
    <w:rsid w:val="00332016"/>
    <w:rsid w:val="00332296"/>
    <w:rsid w:val="00333AE6"/>
    <w:rsid w:val="003345FF"/>
    <w:rsid w:val="00334EE0"/>
    <w:rsid w:val="00335B35"/>
    <w:rsid w:val="003360D7"/>
    <w:rsid w:val="00336550"/>
    <w:rsid w:val="00341553"/>
    <w:rsid w:val="00341661"/>
    <w:rsid w:val="0034326D"/>
    <w:rsid w:val="00343304"/>
    <w:rsid w:val="003443F9"/>
    <w:rsid w:val="00345164"/>
    <w:rsid w:val="003453D7"/>
    <w:rsid w:val="00346351"/>
    <w:rsid w:val="0035072B"/>
    <w:rsid w:val="003507A1"/>
    <w:rsid w:val="003508D2"/>
    <w:rsid w:val="003511FA"/>
    <w:rsid w:val="00352E3F"/>
    <w:rsid w:val="00353570"/>
    <w:rsid w:val="003536F8"/>
    <w:rsid w:val="003550D6"/>
    <w:rsid w:val="00357F0C"/>
    <w:rsid w:val="00357F6D"/>
    <w:rsid w:val="0036318B"/>
    <w:rsid w:val="003631F8"/>
    <w:rsid w:val="003633EB"/>
    <w:rsid w:val="0036423D"/>
    <w:rsid w:val="00364B44"/>
    <w:rsid w:val="00364BF6"/>
    <w:rsid w:val="00365600"/>
    <w:rsid w:val="00366EB5"/>
    <w:rsid w:val="00367778"/>
    <w:rsid w:val="003700BC"/>
    <w:rsid w:val="00371435"/>
    <w:rsid w:val="003722F4"/>
    <w:rsid w:val="00373127"/>
    <w:rsid w:val="00373778"/>
    <w:rsid w:val="003744BF"/>
    <w:rsid w:val="00375488"/>
    <w:rsid w:val="003768AB"/>
    <w:rsid w:val="003768CB"/>
    <w:rsid w:val="003768D8"/>
    <w:rsid w:val="00376B9A"/>
    <w:rsid w:val="0037798D"/>
    <w:rsid w:val="00380EDD"/>
    <w:rsid w:val="00380FDA"/>
    <w:rsid w:val="00381848"/>
    <w:rsid w:val="003818F5"/>
    <w:rsid w:val="003826AF"/>
    <w:rsid w:val="003844AF"/>
    <w:rsid w:val="00384D6F"/>
    <w:rsid w:val="00384FC9"/>
    <w:rsid w:val="00385FA7"/>
    <w:rsid w:val="003862E1"/>
    <w:rsid w:val="00387836"/>
    <w:rsid w:val="0038792F"/>
    <w:rsid w:val="00387E12"/>
    <w:rsid w:val="00390733"/>
    <w:rsid w:val="00390BF8"/>
    <w:rsid w:val="00391453"/>
    <w:rsid w:val="00392CF9"/>
    <w:rsid w:val="003934A4"/>
    <w:rsid w:val="00394043"/>
    <w:rsid w:val="0039492F"/>
    <w:rsid w:val="0039501C"/>
    <w:rsid w:val="0039541D"/>
    <w:rsid w:val="003978C2"/>
    <w:rsid w:val="003A0BC8"/>
    <w:rsid w:val="003A0C4B"/>
    <w:rsid w:val="003A0D02"/>
    <w:rsid w:val="003A111B"/>
    <w:rsid w:val="003A1F21"/>
    <w:rsid w:val="003A24A5"/>
    <w:rsid w:val="003A2DEE"/>
    <w:rsid w:val="003A31E7"/>
    <w:rsid w:val="003A329C"/>
    <w:rsid w:val="003A5885"/>
    <w:rsid w:val="003A6413"/>
    <w:rsid w:val="003A67E8"/>
    <w:rsid w:val="003A79DF"/>
    <w:rsid w:val="003B03F8"/>
    <w:rsid w:val="003B124D"/>
    <w:rsid w:val="003B13C5"/>
    <w:rsid w:val="003B1FB7"/>
    <w:rsid w:val="003B230E"/>
    <w:rsid w:val="003B4D81"/>
    <w:rsid w:val="003B66C0"/>
    <w:rsid w:val="003B74B5"/>
    <w:rsid w:val="003C11FB"/>
    <w:rsid w:val="003C14D6"/>
    <w:rsid w:val="003C2445"/>
    <w:rsid w:val="003C30FD"/>
    <w:rsid w:val="003C3233"/>
    <w:rsid w:val="003C3925"/>
    <w:rsid w:val="003C44C1"/>
    <w:rsid w:val="003C4778"/>
    <w:rsid w:val="003C58CD"/>
    <w:rsid w:val="003C5B37"/>
    <w:rsid w:val="003C7B49"/>
    <w:rsid w:val="003D0C09"/>
    <w:rsid w:val="003D0C5C"/>
    <w:rsid w:val="003D0E9E"/>
    <w:rsid w:val="003D10A7"/>
    <w:rsid w:val="003D2376"/>
    <w:rsid w:val="003D2D9D"/>
    <w:rsid w:val="003D31BB"/>
    <w:rsid w:val="003D3CF4"/>
    <w:rsid w:val="003D3D44"/>
    <w:rsid w:val="003D3EDE"/>
    <w:rsid w:val="003D440A"/>
    <w:rsid w:val="003D6310"/>
    <w:rsid w:val="003D673B"/>
    <w:rsid w:val="003D68CD"/>
    <w:rsid w:val="003E0BB8"/>
    <w:rsid w:val="003E12C9"/>
    <w:rsid w:val="003E248A"/>
    <w:rsid w:val="003E2E4B"/>
    <w:rsid w:val="003E2FB9"/>
    <w:rsid w:val="003E34BA"/>
    <w:rsid w:val="003E4D9E"/>
    <w:rsid w:val="003E6363"/>
    <w:rsid w:val="003E769A"/>
    <w:rsid w:val="003F03DD"/>
    <w:rsid w:val="003F131B"/>
    <w:rsid w:val="003F2864"/>
    <w:rsid w:val="003F30E7"/>
    <w:rsid w:val="003F4249"/>
    <w:rsid w:val="003F4673"/>
    <w:rsid w:val="003F4ABC"/>
    <w:rsid w:val="003F4F40"/>
    <w:rsid w:val="003F53EA"/>
    <w:rsid w:val="003F6AAA"/>
    <w:rsid w:val="003F749D"/>
    <w:rsid w:val="003F7641"/>
    <w:rsid w:val="003F7E41"/>
    <w:rsid w:val="0040015E"/>
    <w:rsid w:val="00403695"/>
    <w:rsid w:val="004039C7"/>
    <w:rsid w:val="00403F5E"/>
    <w:rsid w:val="00404947"/>
    <w:rsid w:val="00405263"/>
    <w:rsid w:val="004071C8"/>
    <w:rsid w:val="00407BA2"/>
    <w:rsid w:val="00407D89"/>
    <w:rsid w:val="00411275"/>
    <w:rsid w:val="00411CA3"/>
    <w:rsid w:val="0041296A"/>
    <w:rsid w:val="00412F81"/>
    <w:rsid w:val="00412FED"/>
    <w:rsid w:val="00413311"/>
    <w:rsid w:val="00414674"/>
    <w:rsid w:val="00414BFB"/>
    <w:rsid w:val="00415067"/>
    <w:rsid w:val="00416B45"/>
    <w:rsid w:val="00416FEB"/>
    <w:rsid w:val="0041770E"/>
    <w:rsid w:val="0041799D"/>
    <w:rsid w:val="004211B9"/>
    <w:rsid w:val="0042192F"/>
    <w:rsid w:val="004237A9"/>
    <w:rsid w:val="00423CCE"/>
    <w:rsid w:val="004251A7"/>
    <w:rsid w:val="0042578E"/>
    <w:rsid w:val="004279C7"/>
    <w:rsid w:val="0043004F"/>
    <w:rsid w:val="004301DE"/>
    <w:rsid w:val="00432AB8"/>
    <w:rsid w:val="00433BC0"/>
    <w:rsid w:val="0043408B"/>
    <w:rsid w:val="00435E85"/>
    <w:rsid w:val="00437866"/>
    <w:rsid w:val="0044026A"/>
    <w:rsid w:val="004406F8"/>
    <w:rsid w:val="004415F9"/>
    <w:rsid w:val="00441BDC"/>
    <w:rsid w:val="0044265F"/>
    <w:rsid w:val="0044617E"/>
    <w:rsid w:val="004462FB"/>
    <w:rsid w:val="0044662E"/>
    <w:rsid w:val="00446EA6"/>
    <w:rsid w:val="00446FBD"/>
    <w:rsid w:val="0044725D"/>
    <w:rsid w:val="00447D98"/>
    <w:rsid w:val="004509EB"/>
    <w:rsid w:val="00451259"/>
    <w:rsid w:val="00451D5D"/>
    <w:rsid w:val="0045242F"/>
    <w:rsid w:val="00452FC5"/>
    <w:rsid w:val="00453F91"/>
    <w:rsid w:val="004545D6"/>
    <w:rsid w:val="00454621"/>
    <w:rsid w:val="004554B0"/>
    <w:rsid w:val="00456ADD"/>
    <w:rsid w:val="00456CD0"/>
    <w:rsid w:val="0046248B"/>
    <w:rsid w:val="00466706"/>
    <w:rsid w:val="00466DE7"/>
    <w:rsid w:val="00467791"/>
    <w:rsid w:val="004717FC"/>
    <w:rsid w:val="00471C49"/>
    <w:rsid w:val="00471F0B"/>
    <w:rsid w:val="004720BD"/>
    <w:rsid w:val="00473DE2"/>
    <w:rsid w:val="00477B53"/>
    <w:rsid w:val="00477FA3"/>
    <w:rsid w:val="00480DE5"/>
    <w:rsid w:val="004823D2"/>
    <w:rsid w:val="00482F11"/>
    <w:rsid w:val="004845A4"/>
    <w:rsid w:val="00485AFA"/>
    <w:rsid w:val="0048603E"/>
    <w:rsid w:val="004907D8"/>
    <w:rsid w:val="00490961"/>
    <w:rsid w:val="00492335"/>
    <w:rsid w:val="00493428"/>
    <w:rsid w:val="00493535"/>
    <w:rsid w:val="004937CC"/>
    <w:rsid w:val="004941E7"/>
    <w:rsid w:val="004954F3"/>
    <w:rsid w:val="00495650"/>
    <w:rsid w:val="004960DF"/>
    <w:rsid w:val="0049621A"/>
    <w:rsid w:val="00496256"/>
    <w:rsid w:val="00496B98"/>
    <w:rsid w:val="00496E15"/>
    <w:rsid w:val="00497FEB"/>
    <w:rsid w:val="004A075E"/>
    <w:rsid w:val="004A1061"/>
    <w:rsid w:val="004A1246"/>
    <w:rsid w:val="004A147A"/>
    <w:rsid w:val="004A1D7D"/>
    <w:rsid w:val="004A3665"/>
    <w:rsid w:val="004A3D86"/>
    <w:rsid w:val="004A438B"/>
    <w:rsid w:val="004A44BB"/>
    <w:rsid w:val="004A45B0"/>
    <w:rsid w:val="004A4F50"/>
    <w:rsid w:val="004A5CA3"/>
    <w:rsid w:val="004A6965"/>
    <w:rsid w:val="004A7206"/>
    <w:rsid w:val="004A74F3"/>
    <w:rsid w:val="004A7BC6"/>
    <w:rsid w:val="004B2D83"/>
    <w:rsid w:val="004B3AB0"/>
    <w:rsid w:val="004B3DEE"/>
    <w:rsid w:val="004B45B9"/>
    <w:rsid w:val="004B4906"/>
    <w:rsid w:val="004B4DF5"/>
    <w:rsid w:val="004B5BEA"/>
    <w:rsid w:val="004B64E5"/>
    <w:rsid w:val="004B738F"/>
    <w:rsid w:val="004C06DE"/>
    <w:rsid w:val="004C0809"/>
    <w:rsid w:val="004C08F2"/>
    <w:rsid w:val="004C135E"/>
    <w:rsid w:val="004C142D"/>
    <w:rsid w:val="004C15B8"/>
    <w:rsid w:val="004C207B"/>
    <w:rsid w:val="004C251C"/>
    <w:rsid w:val="004C38BF"/>
    <w:rsid w:val="004C39EA"/>
    <w:rsid w:val="004C4007"/>
    <w:rsid w:val="004C438E"/>
    <w:rsid w:val="004C5400"/>
    <w:rsid w:val="004D01A3"/>
    <w:rsid w:val="004D021A"/>
    <w:rsid w:val="004D063B"/>
    <w:rsid w:val="004D12F9"/>
    <w:rsid w:val="004D1888"/>
    <w:rsid w:val="004D19CD"/>
    <w:rsid w:val="004D1AA3"/>
    <w:rsid w:val="004D23D7"/>
    <w:rsid w:val="004D3423"/>
    <w:rsid w:val="004D3B1A"/>
    <w:rsid w:val="004D497B"/>
    <w:rsid w:val="004D4A81"/>
    <w:rsid w:val="004D5D02"/>
    <w:rsid w:val="004D6766"/>
    <w:rsid w:val="004E013E"/>
    <w:rsid w:val="004E1E4C"/>
    <w:rsid w:val="004E3B82"/>
    <w:rsid w:val="004E6D36"/>
    <w:rsid w:val="004E7DBB"/>
    <w:rsid w:val="004F1693"/>
    <w:rsid w:val="004F1812"/>
    <w:rsid w:val="004F22BA"/>
    <w:rsid w:val="004F2418"/>
    <w:rsid w:val="004F2DAB"/>
    <w:rsid w:val="004F3A38"/>
    <w:rsid w:val="004F4C8C"/>
    <w:rsid w:val="004F4ECD"/>
    <w:rsid w:val="004F5714"/>
    <w:rsid w:val="004F5E20"/>
    <w:rsid w:val="004F5F16"/>
    <w:rsid w:val="004F6212"/>
    <w:rsid w:val="004F73DF"/>
    <w:rsid w:val="00500737"/>
    <w:rsid w:val="005010B3"/>
    <w:rsid w:val="00501441"/>
    <w:rsid w:val="00502AD0"/>
    <w:rsid w:val="00503C89"/>
    <w:rsid w:val="00503D3C"/>
    <w:rsid w:val="005051A4"/>
    <w:rsid w:val="0050586D"/>
    <w:rsid w:val="0050630F"/>
    <w:rsid w:val="005102FC"/>
    <w:rsid w:val="00510833"/>
    <w:rsid w:val="005110A6"/>
    <w:rsid w:val="00512E1E"/>
    <w:rsid w:val="005138B6"/>
    <w:rsid w:val="00514240"/>
    <w:rsid w:val="0051464A"/>
    <w:rsid w:val="005150D5"/>
    <w:rsid w:val="0051551F"/>
    <w:rsid w:val="0051645D"/>
    <w:rsid w:val="0051794D"/>
    <w:rsid w:val="00517C6A"/>
    <w:rsid w:val="00520147"/>
    <w:rsid w:val="0052048D"/>
    <w:rsid w:val="00521336"/>
    <w:rsid w:val="00521E60"/>
    <w:rsid w:val="00521F14"/>
    <w:rsid w:val="0052292D"/>
    <w:rsid w:val="00523694"/>
    <w:rsid w:val="0052369B"/>
    <w:rsid w:val="00524B45"/>
    <w:rsid w:val="00525C16"/>
    <w:rsid w:val="00526BC5"/>
    <w:rsid w:val="00526D3A"/>
    <w:rsid w:val="00526E2A"/>
    <w:rsid w:val="0052723D"/>
    <w:rsid w:val="00527E6F"/>
    <w:rsid w:val="005311E8"/>
    <w:rsid w:val="005331B9"/>
    <w:rsid w:val="00533FE6"/>
    <w:rsid w:val="005348A9"/>
    <w:rsid w:val="00534F19"/>
    <w:rsid w:val="005352E7"/>
    <w:rsid w:val="00537745"/>
    <w:rsid w:val="00537EDF"/>
    <w:rsid w:val="00540451"/>
    <w:rsid w:val="005407ED"/>
    <w:rsid w:val="00540C23"/>
    <w:rsid w:val="00542B79"/>
    <w:rsid w:val="00542C3E"/>
    <w:rsid w:val="0054460C"/>
    <w:rsid w:val="00546183"/>
    <w:rsid w:val="00546A27"/>
    <w:rsid w:val="005471C8"/>
    <w:rsid w:val="0055060B"/>
    <w:rsid w:val="00550BAA"/>
    <w:rsid w:val="00551BCE"/>
    <w:rsid w:val="00552983"/>
    <w:rsid w:val="0055298E"/>
    <w:rsid w:val="005529B6"/>
    <w:rsid w:val="00553766"/>
    <w:rsid w:val="0055401F"/>
    <w:rsid w:val="005544D4"/>
    <w:rsid w:val="0055453F"/>
    <w:rsid w:val="00554C55"/>
    <w:rsid w:val="005551BD"/>
    <w:rsid w:val="00555366"/>
    <w:rsid w:val="00557817"/>
    <w:rsid w:val="00560CDB"/>
    <w:rsid w:val="00562685"/>
    <w:rsid w:val="0056369C"/>
    <w:rsid w:val="005663FF"/>
    <w:rsid w:val="00566E19"/>
    <w:rsid w:val="0056707E"/>
    <w:rsid w:val="00567536"/>
    <w:rsid w:val="0057034B"/>
    <w:rsid w:val="00570519"/>
    <w:rsid w:val="005710B0"/>
    <w:rsid w:val="00571488"/>
    <w:rsid w:val="005720F3"/>
    <w:rsid w:val="00573E1B"/>
    <w:rsid w:val="00573F41"/>
    <w:rsid w:val="00575563"/>
    <w:rsid w:val="00576274"/>
    <w:rsid w:val="00576794"/>
    <w:rsid w:val="00576C94"/>
    <w:rsid w:val="00576D35"/>
    <w:rsid w:val="00577A92"/>
    <w:rsid w:val="005804FF"/>
    <w:rsid w:val="00580760"/>
    <w:rsid w:val="0058128B"/>
    <w:rsid w:val="00581855"/>
    <w:rsid w:val="00581EC6"/>
    <w:rsid w:val="00582771"/>
    <w:rsid w:val="00583992"/>
    <w:rsid w:val="00583F50"/>
    <w:rsid w:val="00584883"/>
    <w:rsid w:val="0058494B"/>
    <w:rsid w:val="00584A5F"/>
    <w:rsid w:val="00584D01"/>
    <w:rsid w:val="0058524B"/>
    <w:rsid w:val="005855AF"/>
    <w:rsid w:val="00585AFD"/>
    <w:rsid w:val="00586B18"/>
    <w:rsid w:val="00586C4D"/>
    <w:rsid w:val="0058713A"/>
    <w:rsid w:val="005900CF"/>
    <w:rsid w:val="005901DA"/>
    <w:rsid w:val="005905BC"/>
    <w:rsid w:val="00590DC7"/>
    <w:rsid w:val="00591020"/>
    <w:rsid w:val="005922D0"/>
    <w:rsid w:val="005923FA"/>
    <w:rsid w:val="00593356"/>
    <w:rsid w:val="00593803"/>
    <w:rsid w:val="00595507"/>
    <w:rsid w:val="0059624C"/>
    <w:rsid w:val="0059632B"/>
    <w:rsid w:val="00596C08"/>
    <w:rsid w:val="00597111"/>
    <w:rsid w:val="00597119"/>
    <w:rsid w:val="005971B0"/>
    <w:rsid w:val="00597AA7"/>
    <w:rsid w:val="005A01DB"/>
    <w:rsid w:val="005A16EE"/>
    <w:rsid w:val="005A1FE3"/>
    <w:rsid w:val="005A298A"/>
    <w:rsid w:val="005A34A1"/>
    <w:rsid w:val="005A4282"/>
    <w:rsid w:val="005A50CD"/>
    <w:rsid w:val="005A595D"/>
    <w:rsid w:val="005A5DD3"/>
    <w:rsid w:val="005A68B7"/>
    <w:rsid w:val="005A7B96"/>
    <w:rsid w:val="005B062A"/>
    <w:rsid w:val="005B1A5D"/>
    <w:rsid w:val="005B48AC"/>
    <w:rsid w:val="005B48F7"/>
    <w:rsid w:val="005B4F92"/>
    <w:rsid w:val="005B6E03"/>
    <w:rsid w:val="005C1032"/>
    <w:rsid w:val="005C245E"/>
    <w:rsid w:val="005C36E7"/>
    <w:rsid w:val="005C426F"/>
    <w:rsid w:val="005C4360"/>
    <w:rsid w:val="005D07A1"/>
    <w:rsid w:val="005D0B28"/>
    <w:rsid w:val="005D1C73"/>
    <w:rsid w:val="005D1D68"/>
    <w:rsid w:val="005D1DBD"/>
    <w:rsid w:val="005D257C"/>
    <w:rsid w:val="005D299B"/>
    <w:rsid w:val="005D2B90"/>
    <w:rsid w:val="005D331D"/>
    <w:rsid w:val="005D3750"/>
    <w:rsid w:val="005D3898"/>
    <w:rsid w:val="005D41DE"/>
    <w:rsid w:val="005D50D4"/>
    <w:rsid w:val="005D57A4"/>
    <w:rsid w:val="005D6524"/>
    <w:rsid w:val="005D74FD"/>
    <w:rsid w:val="005D7745"/>
    <w:rsid w:val="005E0C50"/>
    <w:rsid w:val="005E1316"/>
    <w:rsid w:val="005E14FE"/>
    <w:rsid w:val="005E1622"/>
    <w:rsid w:val="005E1B97"/>
    <w:rsid w:val="005E1C22"/>
    <w:rsid w:val="005E40A9"/>
    <w:rsid w:val="005E5173"/>
    <w:rsid w:val="005E5CF0"/>
    <w:rsid w:val="005E63F4"/>
    <w:rsid w:val="005E721B"/>
    <w:rsid w:val="005E7284"/>
    <w:rsid w:val="005E72D1"/>
    <w:rsid w:val="005F051E"/>
    <w:rsid w:val="005F0EF0"/>
    <w:rsid w:val="005F116C"/>
    <w:rsid w:val="005F187B"/>
    <w:rsid w:val="005F3B09"/>
    <w:rsid w:val="005F5132"/>
    <w:rsid w:val="005F54EF"/>
    <w:rsid w:val="005F5E21"/>
    <w:rsid w:val="005F743B"/>
    <w:rsid w:val="00601375"/>
    <w:rsid w:val="00603B2B"/>
    <w:rsid w:val="00603C96"/>
    <w:rsid w:val="00604869"/>
    <w:rsid w:val="00605AC3"/>
    <w:rsid w:val="00606830"/>
    <w:rsid w:val="006075EE"/>
    <w:rsid w:val="00607D9E"/>
    <w:rsid w:val="00610A83"/>
    <w:rsid w:val="00611613"/>
    <w:rsid w:val="006125F0"/>
    <w:rsid w:val="00612AEA"/>
    <w:rsid w:val="00614AFC"/>
    <w:rsid w:val="006157DB"/>
    <w:rsid w:val="006158DB"/>
    <w:rsid w:val="00615C20"/>
    <w:rsid w:val="00615F7D"/>
    <w:rsid w:val="006172E6"/>
    <w:rsid w:val="00620B48"/>
    <w:rsid w:val="00620E2D"/>
    <w:rsid w:val="00621015"/>
    <w:rsid w:val="00621353"/>
    <w:rsid w:val="00622FB3"/>
    <w:rsid w:val="00623253"/>
    <w:rsid w:val="00623854"/>
    <w:rsid w:val="00624616"/>
    <w:rsid w:val="006253E4"/>
    <w:rsid w:val="00625F38"/>
    <w:rsid w:val="00625F8E"/>
    <w:rsid w:val="0063121C"/>
    <w:rsid w:val="0063277D"/>
    <w:rsid w:val="00633254"/>
    <w:rsid w:val="00633683"/>
    <w:rsid w:val="00633738"/>
    <w:rsid w:val="006342C1"/>
    <w:rsid w:val="00634FD4"/>
    <w:rsid w:val="00636349"/>
    <w:rsid w:val="006374A9"/>
    <w:rsid w:val="00640058"/>
    <w:rsid w:val="0064051A"/>
    <w:rsid w:val="00642392"/>
    <w:rsid w:val="00642917"/>
    <w:rsid w:val="00642D44"/>
    <w:rsid w:val="006435A0"/>
    <w:rsid w:val="00643F05"/>
    <w:rsid w:val="006453DC"/>
    <w:rsid w:val="00645835"/>
    <w:rsid w:val="00645A0E"/>
    <w:rsid w:val="00645DC2"/>
    <w:rsid w:val="00646176"/>
    <w:rsid w:val="0064690A"/>
    <w:rsid w:val="006472BD"/>
    <w:rsid w:val="00647A20"/>
    <w:rsid w:val="00647DEE"/>
    <w:rsid w:val="0065018E"/>
    <w:rsid w:val="00650BE8"/>
    <w:rsid w:val="00650C10"/>
    <w:rsid w:val="00650CFB"/>
    <w:rsid w:val="00651161"/>
    <w:rsid w:val="00651B09"/>
    <w:rsid w:val="00652028"/>
    <w:rsid w:val="00653985"/>
    <w:rsid w:val="006564B8"/>
    <w:rsid w:val="0066010C"/>
    <w:rsid w:val="0066125E"/>
    <w:rsid w:val="00661521"/>
    <w:rsid w:val="006616A7"/>
    <w:rsid w:val="006620D9"/>
    <w:rsid w:val="00663F68"/>
    <w:rsid w:val="006661A7"/>
    <w:rsid w:val="00666482"/>
    <w:rsid w:val="006700ED"/>
    <w:rsid w:val="006704A7"/>
    <w:rsid w:val="006704D5"/>
    <w:rsid w:val="0067190B"/>
    <w:rsid w:val="00671D55"/>
    <w:rsid w:val="00671EDC"/>
    <w:rsid w:val="00680DD3"/>
    <w:rsid w:val="0068113A"/>
    <w:rsid w:val="00685749"/>
    <w:rsid w:val="0068610F"/>
    <w:rsid w:val="006870F5"/>
    <w:rsid w:val="00687473"/>
    <w:rsid w:val="0068764D"/>
    <w:rsid w:val="00687B41"/>
    <w:rsid w:val="00690045"/>
    <w:rsid w:val="006900D5"/>
    <w:rsid w:val="00691041"/>
    <w:rsid w:val="00691F03"/>
    <w:rsid w:val="0069226D"/>
    <w:rsid w:val="006922D6"/>
    <w:rsid w:val="00692AD4"/>
    <w:rsid w:val="00692C44"/>
    <w:rsid w:val="00693629"/>
    <w:rsid w:val="00694282"/>
    <w:rsid w:val="00694650"/>
    <w:rsid w:val="00694F7F"/>
    <w:rsid w:val="00695938"/>
    <w:rsid w:val="006972A6"/>
    <w:rsid w:val="00697A72"/>
    <w:rsid w:val="006A2746"/>
    <w:rsid w:val="006A3B72"/>
    <w:rsid w:val="006A415B"/>
    <w:rsid w:val="006A5916"/>
    <w:rsid w:val="006A6036"/>
    <w:rsid w:val="006A702D"/>
    <w:rsid w:val="006A7396"/>
    <w:rsid w:val="006A7BE3"/>
    <w:rsid w:val="006B0918"/>
    <w:rsid w:val="006B0BE6"/>
    <w:rsid w:val="006B0C38"/>
    <w:rsid w:val="006B189E"/>
    <w:rsid w:val="006B1E5F"/>
    <w:rsid w:val="006B256D"/>
    <w:rsid w:val="006B2C60"/>
    <w:rsid w:val="006B2CA3"/>
    <w:rsid w:val="006B2FAE"/>
    <w:rsid w:val="006B51D0"/>
    <w:rsid w:val="006B5844"/>
    <w:rsid w:val="006B5DF4"/>
    <w:rsid w:val="006B6414"/>
    <w:rsid w:val="006B706A"/>
    <w:rsid w:val="006C0116"/>
    <w:rsid w:val="006C2728"/>
    <w:rsid w:val="006C3156"/>
    <w:rsid w:val="006C73A9"/>
    <w:rsid w:val="006C74F0"/>
    <w:rsid w:val="006D0AB3"/>
    <w:rsid w:val="006D0F2C"/>
    <w:rsid w:val="006D1284"/>
    <w:rsid w:val="006D18B5"/>
    <w:rsid w:val="006D2216"/>
    <w:rsid w:val="006D2397"/>
    <w:rsid w:val="006D4892"/>
    <w:rsid w:val="006D4BE2"/>
    <w:rsid w:val="006D6899"/>
    <w:rsid w:val="006D7F1A"/>
    <w:rsid w:val="006D7FC2"/>
    <w:rsid w:val="006E1084"/>
    <w:rsid w:val="006E3D57"/>
    <w:rsid w:val="006E5D42"/>
    <w:rsid w:val="006E6CA5"/>
    <w:rsid w:val="006E7625"/>
    <w:rsid w:val="006F0D0B"/>
    <w:rsid w:val="006F18D3"/>
    <w:rsid w:val="006F1B26"/>
    <w:rsid w:val="006F399B"/>
    <w:rsid w:val="006F45DE"/>
    <w:rsid w:val="006F57C6"/>
    <w:rsid w:val="00700528"/>
    <w:rsid w:val="00701421"/>
    <w:rsid w:val="00701781"/>
    <w:rsid w:val="00701B1F"/>
    <w:rsid w:val="00702066"/>
    <w:rsid w:val="007029D4"/>
    <w:rsid w:val="007031DB"/>
    <w:rsid w:val="00704368"/>
    <w:rsid w:val="00705ABB"/>
    <w:rsid w:val="00706EB7"/>
    <w:rsid w:val="00706ED4"/>
    <w:rsid w:val="007110DC"/>
    <w:rsid w:val="007111EC"/>
    <w:rsid w:val="00711648"/>
    <w:rsid w:val="0071187C"/>
    <w:rsid w:val="0071231F"/>
    <w:rsid w:val="00713504"/>
    <w:rsid w:val="0071424E"/>
    <w:rsid w:val="00715E38"/>
    <w:rsid w:val="00716AA8"/>
    <w:rsid w:val="0072011B"/>
    <w:rsid w:val="007205E2"/>
    <w:rsid w:val="00720C78"/>
    <w:rsid w:val="00722066"/>
    <w:rsid w:val="0072226A"/>
    <w:rsid w:val="00722EB7"/>
    <w:rsid w:val="0072302E"/>
    <w:rsid w:val="0072321A"/>
    <w:rsid w:val="0072353F"/>
    <w:rsid w:val="00724025"/>
    <w:rsid w:val="00724351"/>
    <w:rsid w:val="00724452"/>
    <w:rsid w:val="00725D4F"/>
    <w:rsid w:val="0072792C"/>
    <w:rsid w:val="0073084D"/>
    <w:rsid w:val="00730D72"/>
    <w:rsid w:val="00731365"/>
    <w:rsid w:val="007328B8"/>
    <w:rsid w:val="0073301E"/>
    <w:rsid w:val="007336D4"/>
    <w:rsid w:val="007343B7"/>
    <w:rsid w:val="00741624"/>
    <w:rsid w:val="007420E7"/>
    <w:rsid w:val="00742C56"/>
    <w:rsid w:val="0074329C"/>
    <w:rsid w:val="00743B49"/>
    <w:rsid w:val="00743BA3"/>
    <w:rsid w:val="007441D8"/>
    <w:rsid w:val="007445FC"/>
    <w:rsid w:val="00744864"/>
    <w:rsid w:val="00746F29"/>
    <w:rsid w:val="00747277"/>
    <w:rsid w:val="00747346"/>
    <w:rsid w:val="00750F77"/>
    <w:rsid w:val="00751646"/>
    <w:rsid w:val="007521B2"/>
    <w:rsid w:val="007535D6"/>
    <w:rsid w:val="0075413E"/>
    <w:rsid w:val="0075475A"/>
    <w:rsid w:val="00754E89"/>
    <w:rsid w:val="00755121"/>
    <w:rsid w:val="00755CA9"/>
    <w:rsid w:val="00756D44"/>
    <w:rsid w:val="00760246"/>
    <w:rsid w:val="0076076E"/>
    <w:rsid w:val="00760D13"/>
    <w:rsid w:val="007610BA"/>
    <w:rsid w:val="00761407"/>
    <w:rsid w:val="007632DF"/>
    <w:rsid w:val="007635B7"/>
    <w:rsid w:val="007649FF"/>
    <w:rsid w:val="00764D24"/>
    <w:rsid w:val="00765998"/>
    <w:rsid w:val="00766B23"/>
    <w:rsid w:val="00767115"/>
    <w:rsid w:val="00770194"/>
    <w:rsid w:val="00771C15"/>
    <w:rsid w:val="007724F6"/>
    <w:rsid w:val="00772CCD"/>
    <w:rsid w:val="00773125"/>
    <w:rsid w:val="00773B22"/>
    <w:rsid w:val="00773CE1"/>
    <w:rsid w:val="0077477E"/>
    <w:rsid w:val="00781B74"/>
    <w:rsid w:val="00783A4D"/>
    <w:rsid w:val="00784DC8"/>
    <w:rsid w:val="00785CA1"/>
    <w:rsid w:val="007864DD"/>
    <w:rsid w:val="00786831"/>
    <w:rsid w:val="00786B8D"/>
    <w:rsid w:val="007905BF"/>
    <w:rsid w:val="00791E89"/>
    <w:rsid w:val="007924D0"/>
    <w:rsid w:val="007934C5"/>
    <w:rsid w:val="0079354A"/>
    <w:rsid w:val="007950FC"/>
    <w:rsid w:val="00795714"/>
    <w:rsid w:val="00795E82"/>
    <w:rsid w:val="00797A81"/>
    <w:rsid w:val="00797F9B"/>
    <w:rsid w:val="007A0F00"/>
    <w:rsid w:val="007A1138"/>
    <w:rsid w:val="007A25CE"/>
    <w:rsid w:val="007A3AB9"/>
    <w:rsid w:val="007A4A3C"/>
    <w:rsid w:val="007A504D"/>
    <w:rsid w:val="007A52B0"/>
    <w:rsid w:val="007A54C6"/>
    <w:rsid w:val="007A6F4C"/>
    <w:rsid w:val="007A7B73"/>
    <w:rsid w:val="007B18C3"/>
    <w:rsid w:val="007B1987"/>
    <w:rsid w:val="007B4C78"/>
    <w:rsid w:val="007B5771"/>
    <w:rsid w:val="007B61AE"/>
    <w:rsid w:val="007B6F7A"/>
    <w:rsid w:val="007B711A"/>
    <w:rsid w:val="007C0782"/>
    <w:rsid w:val="007C129F"/>
    <w:rsid w:val="007C3793"/>
    <w:rsid w:val="007C4697"/>
    <w:rsid w:val="007C4E6F"/>
    <w:rsid w:val="007C72C8"/>
    <w:rsid w:val="007D0D11"/>
    <w:rsid w:val="007D164E"/>
    <w:rsid w:val="007D3943"/>
    <w:rsid w:val="007D44E2"/>
    <w:rsid w:val="007D5000"/>
    <w:rsid w:val="007D5D5F"/>
    <w:rsid w:val="007D6A82"/>
    <w:rsid w:val="007D7218"/>
    <w:rsid w:val="007D76E3"/>
    <w:rsid w:val="007E11A9"/>
    <w:rsid w:val="007E1D88"/>
    <w:rsid w:val="007E212C"/>
    <w:rsid w:val="007E2272"/>
    <w:rsid w:val="007E27C9"/>
    <w:rsid w:val="007E3E7D"/>
    <w:rsid w:val="007E50D6"/>
    <w:rsid w:val="007E5AB0"/>
    <w:rsid w:val="007E64C8"/>
    <w:rsid w:val="007E6F89"/>
    <w:rsid w:val="007E788A"/>
    <w:rsid w:val="007F036E"/>
    <w:rsid w:val="007F18F2"/>
    <w:rsid w:val="007F290D"/>
    <w:rsid w:val="007F2E58"/>
    <w:rsid w:val="007F30C5"/>
    <w:rsid w:val="007F37D0"/>
    <w:rsid w:val="007F3891"/>
    <w:rsid w:val="007F3A06"/>
    <w:rsid w:val="007F3AEE"/>
    <w:rsid w:val="007F525D"/>
    <w:rsid w:val="007F55BD"/>
    <w:rsid w:val="007F67D1"/>
    <w:rsid w:val="007F7712"/>
    <w:rsid w:val="00800AC4"/>
    <w:rsid w:val="00803140"/>
    <w:rsid w:val="00803F7D"/>
    <w:rsid w:val="008043AD"/>
    <w:rsid w:val="00806171"/>
    <w:rsid w:val="0080704C"/>
    <w:rsid w:val="008108B4"/>
    <w:rsid w:val="0081114B"/>
    <w:rsid w:val="00814507"/>
    <w:rsid w:val="008148A4"/>
    <w:rsid w:val="00815186"/>
    <w:rsid w:val="008155A5"/>
    <w:rsid w:val="00815B72"/>
    <w:rsid w:val="0082043A"/>
    <w:rsid w:val="00820E0F"/>
    <w:rsid w:val="0082220F"/>
    <w:rsid w:val="00822A08"/>
    <w:rsid w:val="00822A13"/>
    <w:rsid w:val="00822F9B"/>
    <w:rsid w:val="00823117"/>
    <w:rsid w:val="00823339"/>
    <w:rsid w:val="00825194"/>
    <w:rsid w:val="00825C42"/>
    <w:rsid w:val="00825DEC"/>
    <w:rsid w:val="00826972"/>
    <w:rsid w:val="008278C6"/>
    <w:rsid w:val="00827C7C"/>
    <w:rsid w:val="008312B2"/>
    <w:rsid w:val="00831D23"/>
    <w:rsid w:val="00831DB1"/>
    <w:rsid w:val="00833D7E"/>
    <w:rsid w:val="00833E7F"/>
    <w:rsid w:val="0083406F"/>
    <w:rsid w:val="00834534"/>
    <w:rsid w:val="00835BB5"/>
    <w:rsid w:val="008376EE"/>
    <w:rsid w:val="00841953"/>
    <w:rsid w:val="008422E2"/>
    <w:rsid w:val="0084232C"/>
    <w:rsid w:val="0084269A"/>
    <w:rsid w:val="00842759"/>
    <w:rsid w:val="008430BB"/>
    <w:rsid w:val="0084359E"/>
    <w:rsid w:val="00843EF5"/>
    <w:rsid w:val="00843FE9"/>
    <w:rsid w:val="0084580D"/>
    <w:rsid w:val="00846AE2"/>
    <w:rsid w:val="00851499"/>
    <w:rsid w:val="00851F97"/>
    <w:rsid w:val="00853451"/>
    <w:rsid w:val="00854A5A"/>
    <w:rsid w:val="00854CD9"/>
    <w:rsid w:val="008569A1"/>
    <w:rsid w:val="00861E00"/>
    <w:rsid w:val="00862C10"/>
    <w:rsid w:val="00862E1F"/>
    <w:rsid w:val="00863182"/>
    <w:rsid w:val="008650C7"/>
    <w:rsid w:val="00866706"/>
    <w:rsid w:val="00867E0E"/>
    <w:rsid w:val="008707FF"/>
    <w:rsid w:val="00871152"/>
    <w:rsid w:val="0087128E"/>
    <w:rsid w:val="008723B2"/>
    <w:rsid w:val="00872EFA"/>
    <w:rsid w:val="008731D7"/>
    <w:rsid w:val="00873E01"/>
    <w:rsid w:val="00873E69"/>
    <w:rsid w:val="00874916"/>
    <w:rsid w:val="008751C7"/>
    <w:rsid w:val="00877E61"/>
    <w:rsid w:val="008806BD"/>
    <w:rsid w:val="00880874"/>
    <w:rsid w:val="0088111D"/>
    <w:rsid w:val="008815B3"/>
    <w:rsid w:val="0088184E"/>
    <w:rsid w:val="0088309B"/>
    <w:rsid w:val="00884FFA"/>
    <w:rsid w:val="0088510D"/>
    <w:rsid w:val="008871B5"/>
    <w:rsid w:val="008900D0"/>
    <w:rsid w:val="008916D5"/>
    <w:rsid w:val="00892236"/>
    <w:rsid w:val="008935C8"/>
    <w:rsid w:val="00893696"/>
    <w:rsid w:val="00893E32"/>
    <w:rsid w:val="0089407F"/>
    <w:rsid w:val="008A0B91"/>
    <w:rsid w:val="008A0D4B"/>
    <w:rsid w:val="008A0DA3"/>
    <w:rsid w:val="008A201D"/>
    <w:rsid w:val="008A353D"/>
    <w:rsid w:val="008A3AEF"/>
    <w:rsid w:val="008A464C"/>
    <w:rsid w:val="008A467E"/>
    <w:rsid w:val="008A51A7"/>
    <w:rsid w:val="008B0A9F"/>
    <w:rsid w:val="008B3012"/>
    <w:rsid w:val="008B3355"/>
    <w:rsid w:val="008B3814"/>
    <w:rsid w:val="008B3915"/>
    <w:rsid w:val="008B4202"/>
    <w:rsid w:val="008B50D5"/>
    <w:rsid w:val="008B54AE"/>
    <w:rsid w:val="008B71BC"/>
    <w:rsid w:val="008B7D3B"/>
    <w:rsid w:val="008C06C3"/>
    <w:rsid w:val="008C16E9"/>
    <w:rsid w:val="008C1D6C"/>
    <w:rsid w:val="008C27AB"/>
    <w:rsid w:val="008C370E"/>
    <w:rsid w:val="008C378B"/>
    <w:rsid w:val="008C387E"/>
    <w:rsid w:val="008C3D5D"/>
    <w:rsid w:val="008C5261"/>
    <w:rsid w:val="008C5DBD"/>
    <w:rsid w:val="008C68EF"/>
    <w:rsid w:val="008C7149"/>
    <w:rsid w:val="008D0417"/>
    <w:rsid w:val="008D0F4A"/>
    <w:rsid w:val="008D1814"/>
    <w:rsid w:val="008D1D87"/>
    <w:rsid w:val="008D2CE3"/>
    <w:rsid w:val="008D4333"/>
    <w:rsid w:val="008D532E"/>
    <w:rsid w:val="008D54D2"/>
    <w:rsid w:val="008D5EB4"/>
    <w:rsid w:val="008D78E5"/>
    <w:rsid w:val="008D7B8C"/>
    <w:rsid w:val="008D7BE9"/>
    <w:rsid w:val="008E0444"/>
    <w:rsid w:val="008E0AB0"/>
    <w:rsid w:val="008E0C18"/>
    <w:rsid w:val="008E0FAF"/>
    <w:rsid w:val="008E1D3D"/>
    <w:rsid w:val="008E27B1"/>
    <w:rsid w:val="008E4869"/>
    <w:rsid w:val="008E5A07"/>
    <w:rsid w:val="008E5F00"/>
    <w:rsid w:val="008E6183"/>
    <w:rsid w:val="008E6784"/>
    <w:rsid w:val="008F13AF"/>
    <w:rsid w:val="008F1E1C"/>
    <w:rsid w:val="008F265F"/>
    <w:rsid w:val="008F5D9C"/>
    <w:rsid w:val="008F6742"/>
    <w:rsid w:val="008F67E8"/>
    <w:rsid w:val="008F6F5B"/>
    <w:rsid w:val="009021F6"/>
    <w:rsid w:val="00902FE3"/>
    <w:rsid w:val="009038F2"/>
    <w:rsid w:val="009043CF"/>
    <w:rsid w:val="00905255"/>
    <w:rsid w:val="00905B35"/>
    <w:rsid w:val="00906438"/>
    <w:rsid w:val="0090654F"/>
    <w:rsid w:val="00910241"/>
    <w:rsid w:val="00910993"/>
    <w:rsid w:val="00910A2C"/>
    <w:rsid w:val="00910D4E"/>
    <w:rsid w:val="00911F87"/>
    <w:rsid w:val="00912442"/>
    <w:rsid w:val="00913678"/>
    <w:rsid w:val="009141AE"/>
    <w:rsid w:val="0091491F"/>
    <w:rsid w:val="0091571E"/>
    <w:rsid w:val="009158C7"/>
    <w:rsid w:val="009160FA"/>
    <w:rsid w:val="009161E6"/>
    <w:rsid w:val="0091712A"/>
    <w:rsid w:val="00920340"/>
    <w:rsid w:val="0092114B"/>
    <w:rsid w:val="0092218C"/>
    <w:rsid w:val="0092358F"/>
    <w:rsid w:val="00923AE1"/>
    <w:rsid w:val="00925045"/>
    <w:rsid w:val="0092728F"/>
    <w:rsid w:val="00930D4A"/>
    <w:rsid w:val="00930FE6"/>
    <w:rsid w:val="009313DD"/>
    <w:rsid w:val="00931497"/>
    <w:rsid w:val="009314BB"/>
    <w:rsid w:val="00937C76"/>
    <w:rsid w:val="00937D43"/>
    <w:rsid w:val="009412E7"/>
    <w:rsid w:val="00941D4D"/>
    <w:rsid w:val="00943AF1"/>
    <w:rsid w:val="00945227"/>
    <w:rsid w:val="00946D2C"/>
    <w:rsid w:val="00946DE0"/>
    <w:rsid w:val="00950DA4"/>
    <w:rsid w:val="00951119"/>
    <w:rsid w:val="009530B2"/>
    <w:rsid w:val="00954D97"/>
    <w:rsid w:val="0095501E"/>
    <w:rsid w:val="0095576D"/>
    <w:rsid w:val="009564F1"/>
    <w:rsid w:val="00956641"/>
    <w:rsid w:val="00957834"/>
    <w:rsid w:val="00961935"/>
    <w:rsid w:val="00963346"/>
    <w:rsid w:val="0096366A"/>
    <w:rsid w:val="0096380C"/>
    <w:rsid w:val="00965E25"/>
    <w:rsid w:val="00966233"/>
    <w:rsid w:val="00966369"/>
    <w:rsid w:val="009665AD"/>
    <w:rsid w:val="00967437"/>
    <w:rsid w:val="009677AB"/>
    <w:rsid w:val="00967B33"/>
    <w:rsid w:val="009716C7"/>
    <w:rsid w:val="00971E10"/>
    <w:rsid w:val="00971E31"/>
    <w:rsid w:val="0097232D"/>
    <w:rsid w:val="00973E49"/>
    <w:rsid w:val="00975303"/>
    <w:rsid w:val="00975391"/>
    <w:rsid w:val="00975AC8"/>
    <w:rsid w:val="00976530"/>
    <w:rsid w:val="00976E9F"/>
    <w:rsid w:val="00976F6F"/>
    <w:rsid w:val="009772C5"/>
    <w:rsid w:val="009775A1"/>
    <w:rsid w:val="00981AE0"/>
    <w:rsid w:val="00982234"/>
    <w:rsid w:val="00982430"/>
    <w:rsid w:val="009826E2"/>
    <w:rsid w:val="00984545"/>
    <w:rsid w:val="00984AE2"/>
    <w:rsid w:val="00985CD7"/>
    <w:rsid w:val="00986174"/>
    <w:rsid w:val="009869F7"/>
    <w:rsid w:val="00987139"/>
    <w:rsid w:val="00987520"/>
    <w:rsid w:val="009906F2"/>
    <w:rsid w:val="0099183C"/>
    <w:rsid w:val="0099296F"/>
    <w:rsid w:val="00992FF9"/>
    <w:rsid w:val="0099673E"/>
    <w:rsid w:val="00996925"/>
    <w:rsid w:val="00997E06"/>
    <w:rsid w:val="00997E53"/>
    <w:rsid w:val="009A1677"/>
    <w:rsid w:val="009A1B5F"/>
    <w:rsid w:val="009A1E2F"/>
    <w:rsid w:val="009A1E70"/>
    <w:rsid w:val="009A43C2"/>
    <w:rsid w:val="009A55FE"/>
    <w:rsid w:val="009A6DB9"/>
    <w:rsid w:val="009A7C10"/>
    <w:rsid w:val="009B1018"/>
    <w:rsid w:val="009B1F02"/>
    <w:rsid w:val="009B28E0"/>
    <w:rsid w:val="009B3109"/>
    <w:rsid w:val="009B3484"/>
    <w:rsid w:val="009B41D5"/>
    <w:rsid w:val="009B49BA"/>
    <w:rsid w:val="009B568C"/>
    <w:rsid w:val="009B7AF1"/>
    <w:rsid w:val="009B7B44"/>
    <w:rsid w:val="009C0123"/>
    <w:rsid w:val="009C059A"/>
    <w:rsid w:val="009C0708"/>
    <w:rsid w:val="009C08CB"/>
    <w:rsid w:val="009C1610"/>
    <w:rsid w:val="009C1B47"/>
    <w:rsid w:val="009C2D55"/>
    <w:rsid w:val="009C3678"/>
    <w:rsid w:val="009C3D2E"/>
    <w:rsid w:val="009C3EB2"/>
    <w:rsid w:val="009C5D44"/>
    <w:rsid w:val="009C5E35"/>
    <w:rsid w:val="009C7283"/>
    <w:rsid w:val="009C76DD"/>
    <w:rsid w:val="009D058C"/>
    <w:rsid w:val="009D090E"/>
    <w:rsid w:val="009D0EA5"/>
    <w:rsid w:val="009D128B"/>
    <w:rsid w:val="009D2E23"/>
    <w:rsid w:val="009D5198"/>
    <w:rsid w:val="009D7291"/>
    <w:rsid w:val="009D73AC"/>
    <w:rsid w:val="009E0C06"/>
    <w:rsid w:val="009E0D57"/>
    <w:rsid w:val="009E2471"/>
    <w:rsid w:val="009E30C6"/>
    <w:rsid w:val="009E4057"/>
    <w:rsid w:val="009E4723"/>
    <w:rsid w:val="009E580A"/>
    <w:rsid w:val="009E6E9A"/>
    <w:rsid w:val="009E7887"/>
    <w:rsid w:val="009F0F17"/>
    <w:rsid w:val="009F1C13"/>
    <w:rsid w:val="009F3788"/>
    <w:rsid w:val="009F4EE9"/>
    <w:rsid w:val="009F5BA7"/>
    <w:rsid w:val="009F6C2A"/>
    <w:rsid w:val="009F7B6C"/>
    <w:rsid w:val="009F7FCF"/>
    <w:rsid w:val="00A00E0C"/>
    <w:rsid w:val="00A01487"/>
    <w:rsid w:val="00A023F4"/>
    <w:rsid w:val="00A02995"/>
    <w:rsid w:val="00A04148"/>
    <w:rsid w:val="00A042E0"/>
    <w:rsid w:val="00A04928"/>
    <w:rsid w:val="00A04AAA"/>
    <w:rsid w:val="00A05A01"/>
    <w:rsid w:val="00A05EEA"/>
    <w:rsid w:val="00A065B6"/>
    <w:rsid w:val="00A06DD4"/>
    <w:rsid w:val="00A103CB"/>
    <w:rsid w:val="00A11981"/>
    <w:rsid w:val="00A12265"/>
    <w:rsid w:val="00A12956"/>
    <w:rsid w:val="00A14070"/>
    <w:rsid w:val="00A141C9"/>
    <w:rsid w:val="00A143B4"/>
    <w:rsid w:val="00A14502"/>
    <w:rsid w:val="00A14AFB"/>
    <w:rsid w:val="00A15401"/>
    <w:rsid w:val="00A15DB4"/>
    <w:rsid w:val="00A15E89"/>
    <w:rsid w:val="00A16834"/>
    <w:rsid w:val="00A2024E"/>
    <w:rsid w:val="00A20358"/>
    <w:rsid w:val="00A21908"/>
    <w:rsid w:val="00A21A31"/>
    <w:rsid w:val="00A2268E"/>
    <w:rsid w:val="00A2455D"/>
    <w:rsid w:val="00A256FF"/>
    <w:rsid w:val="00A25F53"/>
    <w:rsid w:val="00A2604E"/>
    <w:rsid w:val="00A275D5"/>
    <w:rsid w:val="00A30B19"/>
    <w:rsid w:val="00A30B37"/>
    <w:rsid w:val="00A30BAD"/>
    <w:rsid w:val="00A321A4"/>
    <w:rsid w:val="00A32278"/>
    <w:rsid w:val="00A3304A"/>
    <w:rsid w:val="00A34B91"/>
    <w:rsid w:val="00A35AAB"/>
    <w:rsid w:val="00A372DE"/>
    <w:rsid w:val="00A377F1"/>
    <w:rsid w:val="00A37BEF"/>
    <w:rsid w:val="00A4000D"/>
    <w:rsid w:val="00A40936"/>
    <w:rsid w:val="00A41536"/>
    <w:rsid w:val="00A41E8C"/>
    <w:rsid w:val="00A420A7"/>
    <w:rsid w:val="00A44016"/>
    <w:rsid w:val="00A454D7"/>
    <w:rsid w:val="00A4586D"/>
    <w:rsid w:val="00A464CA"/>
    <w:rsid w:val="00A50DC3"/>
    <w:rsid w:val="00A50E20"/>
    <w:rsid w:val="00A51ADB"/>
    <w:rsid w:val="00A5220B"/>
    <w:rsid w:val="00A52A71"/>
    <w:rsid w:val="00A5309B"/>
    <w:rsid w:val="00A53C1A"/>
    <w:rsid w:val="00A53D07"/>
    <w:rsid w:val="00A541E1"/>
    <w:rsid w:val="00A54646"/>
    <w:rsid w:val="00A56C52"/>
    <w:rsid w:val="00A57341"/>
    <w:rsid w:val="00A57563"/>
    <w:rsid w:val="00A57B74"/>
    <w:rsid w:val="00A60E11"/>
    <w:rsid w:val="00A60F36"/>
    <w:rsid w:val="00A61118"/>
    <w:rsid w:val="00A6208A"/>
    <w:rsid w:val="00A625B1"/>
    <w:rsid w:val="00A63260"/>
    <w:rsid w:val="00A634C5"/>
    <w:rsid w:val="00A6367F"/>
    <w:rsid w:val="00A70443"/>
    <w:rsid w:val="00A713DF"/>
    <w:rsid w:val="00A71F2F"/>
    <w:rsid w:val="00A72A29"/>
    <w:rsid w:val="00A72AFB"/>
    <w:rsid w:val="00A7319A"/>
    <w:rsid w:val="00A732BF"/>
    <w:rsid w:val="00A743DC"/>
    <w:rsid w:val="00A74559"/>
    <w:rsid w:val="00A7460B"/>
    <w:rsid w:val="00A75BCC"/>
    <w:rsid w:val="00A76781"/>
    <w:rsid w:val="00A77E2B"/>
    <w:rsid w:val="00A80B4F"/>
    <w:rsid w:val="00A814B5"/>
    <w:rsid w:val="00A825B6"/>
    <w:rsid w:val="00A83D9F"/>
    <w:rsid w:val="00A84E94"/>
    <w:rsid w:val="00A8685D"/>
    <w:rsid w:val="00A86CB9"/>
    <w:rsid w:val="00A86ED4"/>
    <w:rsid w:val="00A90A03"/>
    <w:rsid w:val="00A91834"/>
    <w:rsid w:val="00A93BF8"/>
    <w:rsid w:val="00A96683"/>
    <w:rsid w:val="00AA1389"/>
    <w:rsid w:val="00AA1963"/>
    <w:rsid w:val="00AA2E3D"/>
    <w:rsid w:val="00AA3137"/>
    <w:rsid w:val="00AA4062"/>
    <w:rsid w:val="00AA4509"/>
    <w:rsid w:val="00AA47AD"/>
    <w:rsid w:val="00AA55FA"/>
    <w:rsid w:val="00AA55FD"/>
    <w:rsid w:val="00AA56B0"/>
    <w:rsid w:val="00AA65B5"/>
    <w:rsid w:val="00AA7BE6"/>
    <w:rsid w:val="00AB0CC5"/>
    <w:rsid w:val="00AB1AB5"/>
    <w:rsid w:val="00AB23BD"/>
    <w:rsid w:val="00AB38AB"/>
    <w:rsid w:val="00AB495B"/>
    <w:rsid w:val="00AB6337"/>
    <w:rsid w:val="00AB742C"/>
    <w:rsid w:val="00AC157F"/>
    <w:rsid w:val="00AC21BC"/>
    <w:rsid w:val="00AC221E"/>
    <w:rsid w:val="00AC6C6F"/>
    <w:rsid w:val="00AC77FE"/>
    <w:rsid w:val="00AD026E"/>
    <w:rsid w:val="00AD12BC"/>
    <w:rsid w:val="00AD1880"/>
    <w:rsid w:val="00AD1B36"/>
    <w:rsid w:val="00AD213D"/>
    <w:rsid w:val="00AD223F"/>
    <w:rsid w:val="00AD2B18"/>
    <w:rsid w:val="00AD3409"/>
    <w:rsid w:val="00AD34AB"/>
    <w:rsid w:val="00AD3B91"/>
    <w:rsid w:val="00AD3ED5"/>
    <w:rsid w:val="00AD431C"/>
    <w:rsid w:val="00AD5390"/>
    <w:rsid w:val="00AD692D"/>
    <w:rsid w:val="00AE0889"/>
    <w:rsid w:val="00AE08EC"/>
    <w:rsid w:val="00AE0DC2"/>
    <w:rsid w:val="00AE0F90"/>
    <w:rsid w:val="00AE25B5"/>
    <w:rsid w:val="00AE2FAA"/>
    <w:rsid w:val="00AE3BBE"/>
    <w:rsid w:val="00AE4A96"/>
    <w:rsid w:val="00AE4ECB"/>
    <w:rsid w:val="00AE72C5"/>
    <w:rsid w:val="00AE7482"/>
    <w:rsid w:val="00AE7A3F"/>
    <w:rsid w:val="00AF040C"/>
    <w:rsid w:val="00AF0D66"/>
    <w:rsid w:val="00AF176C"/>
    <w:rsid w:val="00AF1AC4"/>
    <w:rsid w:val="00AF215A"/>
    <w:rsid w:val="00AF26A2"/>
    <w:rsid w:val="00AF2AC8"/>
    <w:rsid w:val="00AF6FB3"/>
    <w:rsid w:val="00AF7343"/>
    <w:rsid w:val="00AF799B"/>
    <w:rsid w:val="00AF7BDE"/>
    <w:rsid w:val="00AF7DC8"/>
    <w:rsid w:val="00AF7F04"/>
    <w:rsid w:val="00B001AB"/>
    <w:rsid w:val="00B0046F"/>
    <w:rsid w:val="00B008CC"/>
    <w:rsid w:val="00B00D0F"/>
    <w:rsid w:val="00B012AC"/>
    <w:rsid w:val="00B013D5"/>
    <w:rsid w:val="00B0166C"/>
    <w:rsid w:val="00B02C2E"/>
    <w:rsid w:val="00B0583E"/>
    <w:rsid w:val="00B06A1D"/>
    <w:rsid w:val="00B06E18"/>
    <w:rsid w:val="00B06F91"/>
    <w:rsid w:val="00B101B6"/>
    <w:rsid w:val="00B1253F"/>
    <w:rsid w:val="00B126F0"/>
    <w:rsid w:val="00B1285C"/>
    <w:rsid w:val="00B12B12"/>
    <w:rsid w:val="00B12C37"/>
    <w:rsid w:val="00B13CF3"/>
    <w:rsid w:val="00B13ED2"/>
    <w:rsid w:val="00B1477C"/>
    <w:rsid w:val="00B14B7A"/>
    <w:rsid w:val="00B14C6C"/>
    <w:rsid w:val="00B15DE6"/>
    <w:rsid w:val="00B16D92"/>
    <w:rsid w:val="00B170A1"/>
    <w:rsid w:val="00B1748B"/>
    <w:rsid w:val="00B20D7B"/>
    <w:rsid w:val="00B218DD"/>
    <w:rsid w:val="00B21A5B"/>
    <w:rsid w:val="00B21E55"/>
    <w:rsid w:val="00B22A42"/>
    <w:rsid w:val="00B23900"/>
    <w:rsid w:val="00B241E7"/>
    <w:rsid w:val="00B24230"/>
    <w:rsid w:val="00B268A6"/>
    <w:rsid w:val="00B26F56"/>
    <w:rsid w:val="00B26FE8"/>
    <w:rsid w:val="00B27B1A"/>
    <w:rsid w:val="00B32A27"/>
    <w:rsid w:val="00B33102"/>
    <w:rsid w:val="00B34AF7"/>
    <w:rsid w:val="00B3572B"/>
    <w:rsid w:val="00B36007"/>
    <w:rsid w:val="00B375CE"/>
    <w:rsid w:val="00B4001D"/>
    <w:rsid w:val="00B41882"/>
    <w:rsid w:val="00B421DC"/>
    <w:rsid w:val="00B423C0"/>
    <w:rsid w:val="00B42B94"/>
    <w:rsid w:val="00B446F9"/>
    <w:rsid w:val="00B44C22"/>
    <w:rsid w:val="00B45345"/>
    <w:rsid w:val="00B46F04"/>
    <w:rsid w:val="00B5030C"/>
    <w:rsid w:val="00B51BA8"/>
    <w:rsid w:val="00B524A5"/>
    <w:rsid w:val="00B5256F"/>
    <w:rsid w:val="00B535E9"/>
    <w:rsid w:val="00B53C5C"/>
    <w:rsid w:val="00B54008"/>
    <w:rsid w:val="00B54222"/>
    <w:rsid w:val="00B54CF1"/>
    <w:rsid w:val="00B5527F"/>
    <w:rsid w:val="00B55414"/>
    <w:rsid w:val="00B57F92"/>
    <w:rsid w:val="00B6025D"/>
    <w:rsid w:val="00B60C62"/>
    <w:rsid w:val="00B612B3"/>
    <w:rsid w:val="00B62748"/>
    <w:rsid w:val="00B636D0"/>
    <w:rsid w:val="00B660F7"/>
    <w:rsid w:val="00B66FC2"/>
    <w:rsid w:val="00B67E75"/>
    <w:rsid w:val="00B70BA0"/>
    <w:rsid w:val="00B71946"/>
    <w:rsid w:val="00B71E2A"/>
    <w:rsid w:val="00B72875"/>
    <w:rsid w:val="00B7367F"/>
    <w:rsid w:val="00B74095"/>
    <w:rsid w:val="00B74B41"/>
    <w:rsid w:val="00B74C0F"/>
    <w:rsid w:val="00B755D8"/>
    <w:rsid w:val="00B80A54"/>
    <w:rsid w:val="00B80DF5"/>
    <w:rsid w:val="00B843DA"/>
    <w:rsid w:val="00B856EC"/>
    <w:rsid w:val="00B857EC"/>
    <w:rsid w:val="00B863E2"/>
    <w:rsid w:val="00B90B74"/>
    <w:rsid w:val="00B91C2A"/>
    <w:rsid w:val="00B93994"/>
    <w:rsid w:val="00B93E56"/>
    <w:rsid w:val="00B94242"/>
    <w:rsid w:val="00B94D45"/>
    <w:rsid w:val="00B96836"/>
    <w:rsid w:val="00BA018E"/>
    <w:rsid w:val="00BA0B90"/>
    <w:rsid w:val="00BA1241"/>
    <w:rsid w:val="00BA1FB9"/>
    <w:rsid w:val="00BA24BD"/>
    <w:rsid w:val="00BA3858"/>
    <w:rsid w:val="00BA42A9"/>
    <w:rsid w:val="00BA46D4"/>
    <w:rsid w:val="00BA5309"/>
    <w:rsid w:val="00BA535F"/>
    <w:rsid w:val="00BA5742"/>
    <w:rsid w:val="00BB0137"/>
    <w:rsid w:val="00BB0D24"/>
    <w:rsid w:val="00BB2A84"/>
    <w:rsid w:val="00BB4AAD"/>
    <w:rsid w:val="00BB58C7"/>
    <w:rsid w:val="00BB5B28"/>
    <w:rsid w:val="00BB5E56"/>
    <w:rsid w:val="00BB7D74"/>
    <w:rsid w:val="00BC04AA"/>
    <w:rsid w:val="00BC06A3"/>
    <w:rsid w:val="00BC088A"/>
    <w:rsid w:val="00BC2DFE"/>
    <w:rsid w:val="00BC33C1"/>
    <w:rsid w:val="00BC3E94"/>
    <w:rsid w:val="00BC3F25"/>
    <w:rsid w:val="00BC67CC"/>
    <w:rsid w:val="00BD008B"/>
    <w:rsid w:val="00BD0C39"/>
    <w:rsid w:val="00BD0F8E"/>
    <w:rsid w:val="00BD3656"/>
    <w:rsid w:val="00BD41D1"/>
    <w:rsid w:val="00BD71DA"/>
    <w:rsid w:val="00BD7538"/>
    <w:rsid w:val="00BD7799"/>
    <w:rsid w:val="00BD7EFB"/>
    <w:rsid w:val="00BE0D4A"/>
    <w:rsid w:val="00BE1021"/>
    <w:rsid w:val="00BE1941"/>
    <w:rsid w:val="00BE233F"/>
    <w:rsid w:val="00BE243F"/>
    <w:rsid w:val="00BE26C8"/>
    <w:rsid w:val="00BE37D7"/>
    <w:rsid w:val="00BE37EF"/>
    <w:rsid w:val="00BE4458"/>
    <w:rsid w:val="00BE5BD6"/>
    <w:rsid w:val="00BE61BA"/>
    <w:rsid w:val="00BE7F4C"/>
    <w:rsid w:val="00BF0761"/>
    <w:rsid w:val="00BF18F1"/>
    <w:rsid w:val="00BF1D5A"/>
    <w:rsid w:val="00BF347D"/>
    <w:rsid w:val="00BF4973"/>
    <w:rsid w:val="00BF669F"/>
    <w:rsid w:val="00BF78F9"/>
    <w:rsid w:val="00BF7CA9"/>
    <w:rsid w:val="00BF7CD8"/>
    <w:rsid w:val="00C00510"/>
    <w:rsid w:val="00C0080B"/>
    <w:rsid w:val="00C01426"/>
    <w:rsid w:val="00C017FB"/>
    <w:rsid w:val="00C02C89"/>
    <w:rsid w:val="00C03137"/>
    <w:rsid w:val="00C03729"/>
    <w:rsid w:val="00C03917"/>
    <w:rsid w:val="00C03B5E"/>
    <w:rsid w:val="00C04309"/>
    <w:rsid w:val="00C048D3"/>
    <w:rsid w:val="00C04BCB"/>
    <w:rsid w:val="00C05010"/>
    <w:rsid w:val="00C0646B"/>
    <w:rsid w:val="00C064E6"/>
    <w:rsid w:val="00C068BC"/>
    <w:rsid w:val="00C0773C"/>
    <w:rsid w:val="00C122D0"/>
    <w:rsid w:val="00C13566"/>
    <w:rsid w:val="00C13569"/>
    <w:rsid w:val="00C1469C"/>
    <w:rsid w:val="00C146D6"/>
    <w:rsid w:val="00C155D7"/>
    <w:rsid w:val="00C15621"/>
    <w:rsid w:val="00C15BCF"/>
    <w:rsid w:val="00C15C22"/>
    <w:rsid w:val="00C1628A"/>
    <w:rsid w:val="00C16323"/>
    <w:rsid w:val="00C16BDC"/>
    <w:rsid w:val="00C16FCA"/>
    <w:rsid w:val="00C1707B"/>
    <w:rsid w:val="00C17F5D"/>
    <w:rsid w:val="00C201FC"/>
    <w:rsid w:val="00C20571"/>
    <w:rsid w:val="00C2216E"/>
    <w:rsid w:val="00C225C1"/>
    <w:rsid w:val="00C23D3F"/>
    <w:rsid w:val="00C23EC5"/>
    <w:rsid w:val="00C24768"/>
    <w:rsid w:val="00C24C87"/>
    <w:rsid w:val="00C25861"/>
    <w:rsid w:val="00C2592B"/>
    <w:rsid w:val="00C25BC5"/>
    <w:rsid w:val="00C25D70"/>
    <w:rsid w:val="00C27432"/>
    <w:rsid w:val="00C30D47"/>
    <w:rsid w:val="00C31CEC"/>
    <w:rsid w:val="00C33F6D"/>
    <w:rsid w:val="00C342D3"/>
    <w:rsid w:val="00C3442D"/>
    <w:rsid w:val="00C3524A"/>
    <w:rsid w:val="00C35971"/>
    <w:rsid w:val="00C35E6B"/>
    <w:rsid w:val="00C36431"/>
    <w:rsid w:val="00C36979"/>
    <w:rsid w:val="00C36C7B"/>
    <w:rsid w:val="00C36DE3"/>
    <w:rsid w:val="00C36E0D"/>
    <w:rsid w:val="00C40AB6"/>
    <w:rsid w:val="00C40C43"/>
    <w:rsid w:val="00C40C58"/>
    <w:rsid w:val="00C42FD3"/>
    <w:rsid w:val="00C43724"/>
    <w:rsid w:val="00C44404"/>
    <w:rsid w:val="00C44E1E"/>
    <w:rsid w:val="00C460F1"/>
    <w:rsid w:val="00C46295"/>
    <w:rsid w:val="00C46823"/>
    <w:rsid w:val="00C470B8"/>
    <w:rsid w:val="00C47B3A"/>
    <w:rsid w:val="00C50586"/>
    <w:rsid w:val="00C506AD"/>
    <w:rsid w:val="00C50734"/>
    <w:rsid w:val="00C519CA"/>
    <w:rsid w:val="00C51ECE"/>
    <w:rsid w:val="00C52627"/>
    <w:rsid w:val="00C52B42"/>
    <w:rsid w:val="00C52F04"/>
    <w:rsid w:val="00C532F6"/>
    <w:rsid w:val="00C54266"/>
    <w:rsid w:val="00C54433"/>
    <w:rsid w:val="00C5490A"/>
    <w:rsid w:val="00C5500C"/>
    <w:rsid w:val="00C55233"/>
    <w:rsid w:val="00C55399"/>
    <w:rsid w:val="00C55AF2"/>
    <w:rsid w:val="00C56BC3"/>
    <w:rsid w:val="00C605F8"/>
    <w:rsid w:val="00C611EE"/>
    <w:rsid w:val="00C615F3"/>
    <w:rsid w:val="00C61BF8"/>
    <w:rsid w:val="00C627B2"/>
    <w:rsid w:val="00C63086"/>
    <w:rsid w:val="00C632A3"/>
    <w:rsid w:val="00C63D55"/>
    <w:rsid w:val="00C63E3E"/>
    <w:rsid w:val="00C64083"/>
    <w:rsid w:val="00C64458"/>
    <w:rsid w:val="00C65B6D"/>
    <w:rsid w:val="00C65D79"/>
    <w:rsid w:val="00C67056"/>
    <w:rsid w:val="00C67208"/>
    <w:rsid w:val="00C67DB0"/>
    <w:rsid w:val="00C70CBF"/>
    <w:rsid w:val="00C72679"/>
    <w:rsid w:val="00C730A6"/>
    <w:rsid w:val="00C732F0"/>
    <w:rsid w:val="00C736C1"/>
    <w:rsid w:val="00C74D03"/>
    <w:rsid w:val="00C74FB6"/>
    <w:rsid w:val="00C764C7"/>
    <w:rsid w:val="00C8240A"/>
    <w:rsid w:val="00C82AB3"/>
    <w:rsid w:val="00C82B91"/>
    <w:rsid w:val="00C833A5"/>
    <w:rsid w:val="00C83AAF"/>
    <w:rsid w:val="00C85D3E"/>
    <w:rsid w:val="00C90392"/>
    <w:rsid w:val="00C90DDC"/>
    <w:rsid w:val="00C934C4"/>
    <w:rsid w:val="00C93E34"/>
    <w:rsid w:val="00C94A20"/>
    <w:rsid w:val="00C94B58"/>
    <w:rsid w:val="00C9560E"/>
    <w:rsid w:val="00C96E60"/>
    <w:rsid w:val="00C979CB"/>
    <w:rsid w:val="00CA0C2F"/>
    <w:rsid w:val="00CA1380"/>
    <w:rsid w:val="00CA1A90"/>
    <w:rsid w:val="00CA3997"/>
    <w:rsid w:val="00CA3EA8"/>
    <w:rsid w:val="00CA3ED1"/>
    <w:rsid w:val="00CA54D9"/>
    <w:rsid w:val="00CA597B"/>
    <w:rsid w:val="00CA6DAA"/>
    <w:rsid w:val="00CA7BAE"/>
    <w:rsid w:val="00CA7CA2"/>
    <w:rsid w:val="00CB01C0"/>
    <w:rsid w:val="00CB04ED"/>
    <w:rsid w:val="00CB0688"/>
    <w:rsid w:val="00CB0786"/>
    <w:rsid w:val="00CB0A1F"/>
    <w:rsid w:val="00CB10FE"/>
    <w:rsid w:val="00CB168D"/>
    <w:rsid w:val="00CB325A"/>
    <w:rsid w:val="00CB38D1"/>
    <w:rsid w:val="00CB5669"/>
    <w:rsid w:val="00CB5BCC"/>
    <w:rsid w:val="00CB5CEE"/>
    <w:rsid w:val="00CB7AAA"/>
    <w:rsid w:val="00CC034A"/>
    <w:rsid w:val="00CC0780"/>
    <w:rsid w:val="00CC0AC5"/>
    <w:rsid w:val="00CC0B66"/>
    <w:rsid w:val="00CC1B10"/>
    <w:rsid w:val="00CC1BEA"/>
    <w:rsid w:val="00CC3A8B"/>
    <w:rsid w:val="00CC4100"/>
    <w:rsid w:val="00CC55D1"/>
    <w:rsid w:val="00CC5E28"/>
    <w:rsid w:val="00CC6B2B"/>
    <w:rsid w:val="00CC7B21"/>
    <w:rsid w:val="00CC7DDF"/>
    <w:rsid w:val="00CD0A13"/>
    <w:rsid w:val="00CD0E63"/>
    <w:rsid w:val="00CD11AD"/>
    <w:rsid w:val="00CD315E"/>
    <w:rsid w:val="00CD41F4"/>
    <w:rsid w:val="00CD47FB"/>
    <w:rsid w:val="00CD4A8B"/>
    <w:rsid w:val="00CD5043"/>
    <w:rsid w:val="00CD54E1"/>
    <w:rsid w:val="00CD579F"/>
    <w:rsid w:val="00CD76C2"/>
    <w:rsid w:val="00CD7DBF"/>
    <w:rsid w:val="00CE16EF"/>
    <w:rsid w:val="00CE2C39"/>
    <w:rsid w:val="00CE348F"/>
    <w:rsid w:val="00CE3F6C"/>
    <w:rsid w:val="00CE42CD"/>
    <w:rsid w:val="00CE4477"/>
    <w:rsid w:val="00CE4490"/>
    <w:rsid w:val="00CE53FE"/>
    <w:rsid w:val="00CE67A8"/>
    <w:rsid w:val="00CE7103"/>
    <w:rsid w:val="00CF1487"/>
    <w:rsid w:val="00CF3288"/>
    <w:rsid w:val="00CF35CB"/>
    <w:rsid w:val="00CF629A"/>
    <w:rsid w:val="00CF688C"/>
    <w:rsid w:val="00D00A87"/>
    <w:rsid w:val="00D010B8"/>
    <w:rsid w:val="00D01982"/>
    <w:rsid w:val="00D04EBE"/>
    <w:rsid w:val="00D063D7"/>
    <w:rsid w:val="00D0676D"/>
    <w:rsid w:val="00D07CCE"/>
    <w:rsid w:val="00D1294D"/>
    <w:rsid w:val="00D12BFC"/>
    <w:rsid w:val="00D12E23"/>
    <w:rsid w:val="00D12F70"/>
    <w:rsid w:val="00D135AF"/>
    <w:rsid w:val="00D13760"/>
    <w:rsid w:val="00D15494"/>
    <w:rsid w:val="00D157B5"/>
    <w:rsid w:val="00D201E0"/>
    <w:rsid w:val="00D20C04"/>
    <w:rsid w:val="00D20F45"/>
    <w:rsid w:val="00D216F0"/>
    <w:rsid w:val="00D22C3C"/>
    <w:rsid w:val="00D22CE3"/>
    <w:rsid w:val="00D23FEE"/>
    <w:rsid w:val="00D25B59"/>
    <w:rsid w:val="00D26136"/>
    <w:rsid w:val="00D2662A"/>
    <w:rsid w:val="00D26730"/>
    <w:rsid w:val="00D26B8D"/>
    <w:rsid w:val="00D271CF"/>
    <w:rsid w:val="00D275CE"/>
    <w:rsid w:val="00D30D2E"/>
    <w:rsid w:val="00D32145"/>
    <w:rsid w:val="00D32B87"/>
    <w:rsid w:val="00D32BDF"/>
    <w:rsid w:val="00D339E5"/>
    <w:rsid w:val="00D34164"/>
    <w:rsid w:val="00D34761"/>
    <w:rsid w:val="00D34CA7"/>
    <w:rsid w:val="00D358CE"/>
    <w:rsid w:val="00D373FE"/>
    <w:rsid w:val="00D37BAD"/>
    <w:rsid w:val="00D4063F"/>
    <w:rsid w:val="00D41304"/>
    <w:rsid w:val="00D42155"/>
    <w:rsid w:val="00D42969"/>
    <w:rsid w:val="00D42DE2"/>
    <w:rsid w:val="00D43032"/>
    <w:rsid w:val="00D43925"/>
    <w:rsid w:val="00D4452F"/>
    <w:rsid w:val="00D45441"/>
    <w:rsid w:val="00D464F5"/>
    <w:rsid w:val="00D467D5"/>
    <w:rsid w:val="00D47F18"/>
    <w:rsid w:val="00D50869"/>
    <w:rsid w:val="00D50AFA"/>
    <w:rsid w:val="00D50B50"/>
    <w:rsid w:val="00D51727"/>
    <w:rsid w:val="00D517F7"/>
    <w:rsid w:val="00D51809"/>
    <w:rsid w:val="00D51A31"/>
    <w:rsid w:val="00D537A8"/>
    <w:rsid w:val="00D5418F"/>
    <w:rsid w:val="00D56B3F"/>
    <w:rsid w:val="00D574AD"/>
    <w:rsid w:val="00D57833"/>
    <w:rsid w:val="00D5796F"/>
    <w:rsid w:val="00D57BF2"/>
    <w:rsid w:val="00D60F28"/>
    <w:rsid w:val="00D612DA"/>
    <w:rsid w:val="00D627EA"/>
    <w:rsid w:val="00D62DB4"/>
    <w:rsid w:val="00D631B0"/>
    <w:rsid w:val="00D632DC"/>
    <w:rsid w:val="00D634C1"/>
    <w:rsid w:val="00D65B5A"/>
    <w:rsid w:val="00D663AC"/>
    <w:rsid w:val="00D70379"/>
    <w:rsid w:val="00D71304"/>
    <w:rsid w:val="00D7159F"/>
    <w:rsid w:val="00D71FD7"/>
    <w:rsid w:val="00D73BA7"/>
    <w:rsid w:val="00D74198"/>
    <w:rsid w:val="00D7490A"/>
    <w:rsid w:val="00D74C8D"/>
    <w:rsid w:val="00D754F8"/>
    <w:rsid w:val="00D75979"/>
    <w:rsid w:val="00D7600E"/>
    <w:rsid w:val="00D76919"/>
    <w:rsid w:val="00D77291"/>
    <w:rsid w:val="00D77B85"/>
    <w:rsid w:val="00D817D9"/>
    <w:rsid w:val="00D81CBD"/>
    <w:rsid w:val="00D838EC"/>
    <w:rsid w:val="00D83BBC"/>
    <w:rsid w:val="00D83FCE"/>
    <w:rsid w:val="00D843F1"/>
    <w:rsid w:val="00D849FD"/>
    <w:rsid w:val="00D84EE9"/>
    <w:rsid w:val="00D86422"/>
    <w:rsid w:val="00D86A07"/>
    <w:rsid w:val="00D86D7C"/>
    <w:rsid w:val="00D872F0"/>
    <w:rsid w:val="00D91A4B"/>
    <w:rsid w:val="00D91BFA"/>
    <w:rsid w:val="00D92106"/>
    <w:rsid w:val="00D92ED4"/>
    <w:rsid w:val="00D93D35"/>
    <w:rsid w:val="00D94096"/>
    <w:rsid w:val="00D94E0E"/>
    <w:rsid w:val="00D96FBA"/>
    <w:rsid w:val="00D97DD2"/>
    <w:rsid w:val="00D97EE1"/>
    <w:rsid w:val="00DA1A36"/>
    <w:rsid w:val="00DA1CE9"/>
    <w:rsid w:val="00DA2D37"/>
    <w:rsid w:val="00DA30D0"/>
    <w:rsid w:val="00DA4482"/>
    <w:rsid w:val="00DA768C"/>
    <w:rsid w:val="00DA7D93"/>
    <w:rsid w:val="00DB01C3"/>
    <w:rsid w:val="00DB03F7"/>
    <w:rsid w:val="00DB0D4B"/>
    <w:rsid w:val="00DB116A"/>
    <w:rsid w:val="00DB372C"/>
    <w:rsid w:val="00DB494B"/>
    <w:rsid w:val="00DB5218"/>
    <w:rsid w:val="00DB5D55"/>
    <w:rsid w:val="00DB5EEC"/>
    <w:rsid w:val="00DB5EFC"/>
    <w:rsid w:val="00DB79A4"/>
    <w:rsid w:val="00DC0C36"/>
    <w:rsid w:val="00DC1449"/>
    <w:rsid w:val="00DC1A7E"/>
    <w:rsid w:val="00DC1E42"/>
    <w:rsid w:val="00DC429A"/>
    <w:rsid w:val="00DC504E"/>
    <w:rsid w:val="00DC51DA"/>
    <w:rsid w:val="00DC59DD"/>
    <w:rsid w:val="00DC6722"/>
    <w:rsid w:val="00DC77E4"/>
    <w:rsid w:val="00DC7CC8"/>
    <w:rsid w:val="00DC7EEA"/>
    <w:rsid w:val="00DC7F8C"/>
    <w:rsid w:val="00DD0401"/>
    <w:rsid w:val="00DD0C09"/>
    <w:rsid w:val="00DD0F58"/>
    <w:rsid w:val="00DD17AD"/>
    <w:rsid w:val="00DD1850"/>
    <w:rsid w:val="00DD2240"/>
    <w:rsid w:val="00DD2EFD"/>
    <w:rsid w:val="00DD322E"/>
    <w:rsid w:val="00DD3CF8"/>
    <w:rsid w:val="00DD5A9A"/>
    <w:rsid w:val="00DD617E"/>
    <w:rsid w:val="00DE14B7"/>
    <w:rsid w:val="00DE1CBE"/>
    <w:rsid w:val="00DE3566"/>
    <w:rsid w:val="00DE38C2"/>
    <w:rsid w:val="00DE47EE"/>
    <w:rsid w:val="00DE5970"/>
    <w:rsid w:val="00DE5B0C"/>
    <w:rsid w:val="00DE7E84"/>
    <w:rsid w:val="00DF0415"/>
    <w:rsid w:val="00DF12FB"/>
    <w:rsid w:val="00DF1564"/>
    <w:rsid w:val="00DF2CCB"/>
    <w:rsid w:val="00DF3816"/>
    <w:rsid w:val="00DF3986"/>
    <w:rsid w:val="00DF3AD2"/>
    <w:rsid w:val="00DF42B7"/>
    <w:rsid w:val="00DF478E"/>
    <w:rsid w:val="00DF56EA"/>
    <w:rsid w:val="00DF60FF"/>
    <w:rsid w:val="00DF61F5"/>
    <w:rsid w:val="00DF7497"/>
    <w:rsid w:val="00E002A5"/>
    <w:rsid w:val="00E0312A"/>
    <w:rsid w:val="00E04BC5"/>
    <w:rsid w:val="00E04C2A"/>
    <w:rsid w:val="00E069CE"/>
    <w:rsid w:val="00E079DC"/>
    <w:rsid w:val="00E07FB6"/>
    <w:rsid w:val="00E10420"/>
    <w:rsid w:val="00E134D3"/>
    <w:rsid w:val="00E136FD"/>
    <w:rsid w:val="00E15BC5"/>
    <w:rsid w:val="00E15CDB"/>
    <w:rsid w:val="00E16439"/>
    <w:rsid w:val="00E16589"/>
    <w:rsid w:val="00E17FE1"/>
    <w:rsid w:val="00E201E3"/>
    <w:rsid w:val="00E20E0F"/>
    <w:rsid w:val="00E23622"/>
    <w:rsid w:val="00E238AC"/>
    <w:rsid w:val="00E23F0D"/>
    <w:rsid w:val="00E25CA4"/>
    <w:rsid w:val="00E2713F"/>
    <w:rsid w:val="00E276D5"/>
    <w:rsid w:val="00E278C2"/>
    <w:rsid w:val="00E31B33"/>
    <w:rsid w:val="00E31FBB"/>
    <w:rsid w:val="00E32EEE"/>
    <w:rsid w:val="00E333AF"/>
    <w:rsid w:val="00E33B5B"/>
    <w:rsid w:val="00E3434F"/>
    <w:rsid w:val="00E35244"/>
    <w:rsid w:val="00E35314"/>
    <w:rsid w:val="00E35E0E"/>
    <w:rsid w:val="00E3603B"/>
    <w:rsid w:val="00E37C4C"/>
    <w:rsid w:val="00E37FEF"/>
    <w:rsid w:val="00E434E4"/>
    <w:rsid w:val="00E43741"/>
    <w:rsid w:val="00E45BED"/>
    <w:rsid w:val="00E46037"/>
    <w:rsid w:val="00E463F9"/>
    <w:rsid w:val="00E46748"/>
    <w:rsid w:val="00E47F27"/>
    <w:rsid w:val="00E51039"/>
    <w:rsid w:val="00E53C13"/>
    <w:rsid w:val="00E5457F"/>
    <w:rsid w:val="00E55A69"/>
    <w:rsid w:val="00E560B1"/>
    <w:rsid w:val="00E5731A"/>
    <w:rsid w:val="00E57A8A"/>
    <w:rsid w:val="00E57A9E"/>
    <w:rsid w:val="00E60287"/>
    <w:rsid w:val="00E629C8"/>
    <w:rsid w:val="00E63DBF"/>
    <w:rsid w:val="00E66BD7"/>
    <w:rsid w:val="00E66DD5"/>
    <w:rsid w:val="00E679A3"/>
    <w:rsid w:val="00E7105F"/>
    <w:rsid w:val="00E710EB"/>
    <w:rsid w:val="00E719EB"/>
    <w:rsid w:val="00E72481"/>
    <w:rsid w:val="00E7258E"/>
    <w:rsid w:val="00E72923"/>
    <w:rsid w:val="00E732DB"/>
    <w:rsid w:val="00E73E6C"/>
    <w:rsid w:val="00E74B34"/>
    <w:rsid w:val="00E74F4D"/>
    <w:rsid w:val="00E762F8"/>
    <w:rsid w:val="00E76692"/>
    <w:rsid w:val="00E81C62"/>
    <w:rsid w:val="00E83EC0"/>
    <w:rsid w:val="00E84781"/>
    <w:rsid w:val="00E84B02"/>
    <w:rsid w:val="00E85A6E"/>
    <w:rsid w:val="00E901FE"/>
    <w:rsid w:val="00E9188F"/>
    <w:rsid w:val="00E91AB9"/>
    <w:rsid w:val="00E936DC"/>
    <w:rsid w:val="00EA0BAE"/>
    <w:rsid w:val="00EA2B1E"/>
    <w:rsid w:val="00EA2DE3"/>
    <w:rsid w:val="00EA4027"/>
    <w:rsid w:val="00EA654E"/>
    <w:rsid w:val="00EA6E7C"/>
    <w:rsid w:val="00EA746B"/>
    <w:rsid w:val="00EA76F0"/>
    <w:rsid w:val="00EB176E"/>
    <w:rsid w:val="00EB2517"/>
    <w:rsid w:val="00EB27CA"/>
    <w:rsid w:val="00EB2829"/>
    <w:rsid w:val="00EB2942"/>
    <w:rsid w:val="00EB2CBE"/>
    <w:rsid w:val="00EB39B6"/>
    <w:rsid w:val="00EB39DF"/>
    <w:rsid w:val="00EB48BB"/>
    <w:rsid w:val="00EB7A6A"/>
    <w:rsid w:val="00EC015C"/>
    <w:rsid w:val="00EC08AA"/>
    <w:rsid w:val="00EC0B87"/>
    <w:rsid w:val="00EC2508"/>
    <w:rsid w:val="00EC2606"/>
    <w:rsid w:val="00EC2AD6"/>
    <w:rsid w:val="00EC2E6D"/>
    <w:rsid w:val="00EC31C8"/>
    <w:rsid w:val="00EC43CA"/>
    <w:rsid w:val="00EC4B58"/>
    <w:rsid w:val="00EC5556"/>
    <w:rsid w:val="00ED0833"/>
    <w:rsid w:val="00ED1877"/>
    <w:rsid w:val="00ED3261"/>
    <w:rsid w:val="00ED3EA8"/>
    <w:rsid w:val="00ED4C18"/>
    <w:rsid w:val="00ED52E2"/>
    <w:rsid w:val="00ED5371"/>
    <w:rsid w:val="00ED5DB5"/>
    <w:rsid w:val="00ED67C8"/>
    <w:rsid w:val="00ED6CB5"/>
    <w:rsid w:val="00ED7FC6"/>
    <w:rsid w:val="00EE09FB"/>
    <w:rsid w:val="00EE12B3"/>
    <w:rsid w:val="00EE15CD"/>
    <w:rsid w:val="00EE1EC1"/>
    <w:rsid w:val="00EE2344"/>
    <w:rsid w:val="00EE2D33"/>
    <w:rsid w:val="00EE3919"/>
    <w:rsid w:val="00EE3D55"/>
    <w:rsid w:val="00EE4262"/>
    <w:rsid w:val="00EE4762"/>
    <w:rsid w:val="00EE49AE"/>
    <w:rsid w:val="00EE5264"/>
    <w:rsid w:val="00EE558E"/>
    <w:rsid w:val="00EE590A"/>
    <w:rsid w:val="00EE63AC"/>
    <w:rsid w:val="00EE7A3E"/>
    <w:rsid w:val="00EF1F51"/>
    <w:rsid w:val="00EF213E"/>
    <w:rsid w:val="00EF2220"/>
    <w:rsid w:val="00EF3113"/>
    <w:rsid w:val="00EF3846"/>
    <w:rsid w:val="00EF4FFF"/>
    <w:rsid w:val="00EF60A8"/>
    <w:rsid w:val="00EF60C5"/>
    <w:rsid w:val="00EF6291"/>
    <w:rsid w:val="00EF6394"/>
    <w:rsid w:val="00EF792B"/>
    <w:rsid w:val="00F00E89"/>
    <w:rsid w:val="00F01866"/>
    <w:rsid w:val="00F02C58"/>
    <w:rsid w:val="00F056C9"/>
    <w:rsid w:val="00F056E9"/>
    <w:rsid w:val="00F076AB"/>
    <w:rsid w:val="00F107B6"/>
    <w:rsid w:val="00F11D58"/>
    <w:rsid w:val="00F13F26"/>
    <w:rsid w:val="00F144B5"/>
    <w:rsid w:val="00F14869"/>
    <w:rsid w:val="00F14B6D"/>
    <w:rsid w:val="00F15FC4"/>
    <w:rsid w:val="00F20B0A"/>
    <w:rsid w:val="00F21517"/>
    <w:rsid w:val="00F219A9"/>
    <w:rsid w:val="00F22008"/>
    <w:rsid w:val="00F221E8"/>
    <w:rsid w:val="00F23297"/>
    <w:rsid w:val="00F2678C"/>
    <w:rsid w:val="00F271F0"/>
    <w:rsid w:val="00F3026C"/>
    <w:rsid w:val="00F3028E"/>
    <w:rsid w:val="00F303E9"/>
    <w:rsid w:val="00F3046D"/>
    <w:rsid w:val="00F30946"/>
    <w:rsid w:val="00F33E5A"/>
    <w:rsid w:val="00F35150"/>
    <w:rsid w:val="00F35D09"/>
    <w:rsid w:val="00F365E8"/>
    <w:rsid w:val="00F36A3E"/>
    <w:rsid w:val="00F40974"/>
    <w:rsid w:val="00F4129B"/>
    <w:rsid w:val="00F42DD6"/>
    <w:rsid w:val="00F4333E"/>
    <w:rsid w:val="00F445A7"/>
    <w:rsid w:val="00F445BB"/>
    <w:rsid w:val="00F4641A"/>
    <w:rsid w:val="00F530CD"/>
    <w:rsid w:val="00F53197"/>
    <w:rsid w:val="00F53528"/>
    <w:rsid w:val="00F53F4F"/>
    <w:rsid w:val="00F542B2"/>
    <w:rsid w:val="00F54A0F"/>
    <w:rsid w:val="00F557EC"/>
    <w:rsid w:val="00F61D9C"/>
    <w:rsid w:val="00F623FB"/>
    <w:rsid w:val="00F63649"/>
    <w:rsid w:val="00F638B4"/>
    <w:rsid w:val="00F6429B"/>
    <w:rsid w:val="00F6454B"/>
    <w:rsid w:val="00F65803"/>
    <w:rsid w:val="00F65A44"/>
    <w:rsid w:val="00F65C5C"/>
    <w:rsid w:val="00F6659F"/>
    <w:rsid w:val="00F679AA"/>
    <w:rsid w:val="00F71C42"/>
    <w:rsid w:val="00F727F3"/>
    <w:rsid w:val="00F74256"/>
    <w:rsid w:val="00F74EDF"/>
    <w:rsid w:val="00F75065"/>
    <w:rsid w:val="00F7647A"/>
    <w:rsid w:val="00F76D8F"/>
    <w:rsid w:val="00F76E75"/>
    <w:rsid w:val="00F77435"/>
    <w:rsid w:val="00F80349"/>
    <w:rsid w:val="00F81C3C"/>
    <w:rsid w:val="00F81F98"/>
    <w:rsid w:val="00F85B5C"/>
    <w:rsid w:val="00F866A9"/>
    <w:rsid w:val="00F9016E"/>
    <w:rsid w:val="00F903CC"/>
    <w:rsid w:val="00F907EA"/>
    <w:rsid w:val="00F90CDA"/>
    <w:rsid w:val="00F90E66"/>
    <w:rsid w:val="00F91719"/>
    <w:rsid w:val="00F92C34"/>
    <w:rsid w:val="00F93D60"/>
    <w:rsid w:val="00F93D91"/>
    <w:rsid w:val="00F93FDA"/>
    <w:rsid w:val="00F95267"/>
    <w:rsid w:val="00F953F7"/>
    <w:rsid w:val="00FA095B"/>
    <w:rsid w:val="00FA0BA0"/>
    <w:rsid w:val="00FA2B58"/>
    <w:rsid w:val="00FA2D07"/>
    <w:rsid w:val="00FA2DB5"/>
    <w:rsid w:val="00FA352E"/>
    <w:rsid w:val="00FA3D1F"/>
    <w:rsid w:val="00FA5CE5"/>
    <w:rsid w:val="00FA7930"/>
    <w:rsid w:val="00FB0EF8"/>
    <w:rsid w:val="00FB1340"/>
    <w:rsid w:val="00FB14CE"/>
    <w:rsid w:val="00FB33EE"/>
    <w:rsid w:val="00FB48A8"/>
    <w:rsid w:val="00FB55F8"/>
    <w:rsid w:val="00FB5739"/>
    <w:rsid w:val="00FC0A6D"/>
    <w:rsid w:val="00FC0D24"/>
    <w:rsid w:val="00FC15BB"/>
    <w:rsid w:val="00FC1ADF"/>
    <w:rsid w:val="00FC2CA0"/>
    <w:rsid w:val="00FC33E5"/>
    <w:rsid w:val="00FC3A86"/>
    <w:rsid w:val="00FC3B1D"/>
    <w:rsid w:val="00FC558B"/>
    <w:rsid w:val="00FC6163"/>
    <w:rsid w:val="00FC64AD"/>
    <w:rsid w:val="00FC6682"/>
    <w:rsid w:val="00FC6ECD"/>
    <w:rsid w:val="00FC6FFC"/>
    <w:rsid w:val="00FC7165"/>
    <w:rsid w:val="00FC7A06"/>
    <w:rsid w:val="00FD0F1B"/>
    <w:rsid w:val="00FD0FDC"/>
    <w:rsid w:val="00FD1CEB"/>
    <w:rsid w:val="00FD1E13"/>
    <w:rsid w:val="00FD2417"/>
    <w:rsid w:val="00FD27E9"/>
    <w:rsid w:val="00FD36DA"/>
    <w:rsid w:val="00FD374F"/>
    <w:rsid w:val="00FD40CE"/>
    <w:rsid w:val="00FD41AF"/>
    <w:rsid w:val="00FD4DB4"/>
    <w:rsid w:val="00FD53E7"/>
    <w:rsid w:val="00FD58F7"/>
    <w:rsid w:val="00FD5FF6"/>
    <w:rsid w:val="00FD67C9"/>
    <w:rsid w:val="00FD7F86"/>
    <w:rsid w:val="00FE22B6"/>
    <w:rsid w:val="00FE27A0"/>
    <w:rsid w:val="00FE3696"/>
    <w:rsid w:val="00FE36C0"/>
    <w:rsid w:val="00FE5291"/>
    <w:rsid w:val="00FE52C4"/>
    <w:rsid w:val="00FE5AD9"/>
    <w:rsid w:val="00FE6052"/>
    <w:rsid w:val="00FE6F54"/>
    <w:rsid w:val="00FF0696"/>
    <w:rsid w:val="00FF070A"/>
    <w:rsid w:val="00FF080F"/>
    <w:rsid w:val="00FF15E1"/>
    <w:rsid w:val="00FF33FD"/>
    <w:rsid w:val="00FF3644"/>
    <w:rsid w:val="00FF3CBD"/>
    <w:rsid w:val="00FF48BB"/>
    <w:rsid w:val="00FF505B"/>
    <w:rsid w:val="00FF5226"/>
    <w:rsid w:val="00FF59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FF9005"/>
  <w15:docId w15:val="{8F791C12-6A68-406B-86A0-A7D22C06E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6A2"/>
    <w:pPr>
      <w:spacing w:after="0" w:line="240" w:lineRule="auto"/>
    </w:pPr>
    <w:rPr>
      <w:rFonts w:asciiTheme="majorBidi" w:hAnsiTheme="majorBidi"/>
      <w:sz w:val="24"/>
      <w:szCs w:val="24"/>
    </w:rPr>
  </w:style>
  <w:style w:type="paragraph" w:styleId="1">
    <w:name w:val="heading 1"/>
    <w:aliases w:val=" תו"/>
    <w:basedOn w:val="a"/>
    <w:link w:val="10"/>
    <w:qFormat/>
    <w:rsid w:val="006A415B"/>
    <w:pPr>
      <w:numPr>
        <w:numId w:val="1"/>
      </w:numPr>
      <w:bidi/>
      <w:spacing w:line="360" w:lineRule="auto"/>
      <w:ind w:right="340"/>
      <w:jc w:val="both"/>
      <w:outlineLvl w:val="0"/>
    </w:pPr>
    <w:rPr>
      <w:rFonts w:ascii="Times New Roman" w:eastAsia="Times New Roman" w:hAnsi="Times New Roman" w:cs="David"/>
      <w:kern w:val="28"/>
      <w:lang w:eastAsia="he-IL"/>
    </w:rPr>
  </w:style>
  <w:style w:type="paragraph" w:styleId="2">
    <w:name w:val="heading 2"/>
    <w:basedOn w:val="1"/>
    <w:link w:val="20"/>
    <w:qFormat/>
    <w:rsid w:val="006A415B"/>
    <w:pPr>
      <w:numPr>
        <w:ilvl w:val="1"/>
      </w:numPr>
      <w:tabs>
        <w:tab w:val="num" w:pos="360"/>
      </w:tabs>
      <w:ind w:right="680"/>
      <w:outlineLvl w:val="1"/>
    </w:pPr>
  </w:style>
  <w:style w:type="paragraph" w:styleId="3">
    <w:name w:val="heading 3"/>
    <w:basedOn w:val="2"/>
    <w:link w:val="30"/>
    <w:qFormat/>
    <w:rsid w:val="006A415B"/>
    <w:pPr>
      <w:keepNext/>
      <w:numPr>
        <w:ilvl w:val="2"/>
      </w:numPr>
      <w:tabs>
        <w:tab w:val="num" w:pos="360"/>
      </w:tabs>
      <w:ind w:right="1020"/>
      <w:outlineLvl w:val="2"/>
    </w:pPr>
  </w:style>
  <w:style w:type="paragraph" w:styleId="4">
    <w:name w:val="heading 4"/>
    <w:basedOn w:val="3"/>
    <w:link w:val="40"/>
    <w:qFormat/>
    <w:rsid w:val="006A415B"/>
    <w:pPr>
      <w:keepNext w:val="0"/>
      <w:numPr>
        <w:ilvl w:val="3"/>
      </w:numPr>
      <w:tabs>
        <w:tab w:val="num" w:pos="360"/>
      </w:tabs>
      <w:ind w:right="1360"/>
      <w:outlineLvl w:val="3"/>
    </w:pPr>
  </w:style>
  <w:style w:type="paragraph" w:styleId="5">
    <w:name w:val="heading 5"/>
    <w:basedOn w:val="4"/>
    <w:link w:val="50"/>
    <w:qFormat/>
    <w:rsid w:val="006A415B"/>
    <w:pPr>
      <w:numPr>
        <w:ilvl w:val="4"/>
      </w:numPr>
      <w:tabs>
        <w:tab w:val="num" w:pos="360"/>
      </w:tabs>
      <w:ind w:right="2068"/>
      <w:outlineLvl w:val="4"/>
    </w:pPr>
  </w:style>
  <w:style w:type="paragraph" w:styleId="6">
    <w:name w:val="heading 6"/>
    <w:basedOn w:val="a"/>
    <w:next w:val="a"/>
    <w:link w:val="60"/>
    <w:qFormat/>
    <w:rsid w:val="006A415B"/>
    <w:pPr>
      <w:numPr>
        <w:ilvl w:val="5"/>
        <w:numId w:val="1"/>
      </w:numPr>
      <w:bidi/>
      <w:spacing w:before="240" w:after="60" w:line="360" w:lineRule="auto"/>
      <w:ind w:right="2776"/>
      <w:jc w:val="both"/>
      <w:outlineLvl w:val="5"/>
    </w:pPr>
    <w:rPr>
      <w:rFonts w:ascii="Arial" w:eastAsia="Times New Roman" w:hAnsi="Arial" w:cs="Arial"/>
      <w:i/>
      <w:iCs/>
      <w:szCs w:val="22"/>
      <w:lang w:eastAsia="he-IL"/>
    </w:rPr>
  </w:style>
  <w:style w:type="paragraph" w:styleId="7">
    <w:name w:val="heading 7"/>
    <w:basedOn w:val="a"/>
    <w:next w:val="a"/>
    <w:link w:val="70"/>
    <w:qFormat/>
    <w:rsid w:val="006A415B"/>
    <w:pPr>
      <w:numPr>
        <w:ilvl w:val="6"/>
        <w:numId w:val="1"/>
      </w:numPr>
      <w:bidi/>
      <w:spacing w:before="240" w:after="60" w:line="360" w:lineRule="auto"/>
      <w:ind w:right="3484"/>
      <w:jc w:val="both"/>
      <w:outlineLvl w:val="6"/>
    </w:pPr>
    <w:rPr>
      <w:rFonts w:ascii="Arial" w:eastAsia="Times New Roman" w:hAnsi="Arial" w:cs="Arial"/>
      <w:sz w:val="20"/>
      <w:szCs w:val="20"/>
      <w:lang w:eastAsia="he-IL"/>
    </w:rPr>
  </w:style>
  <w:style w:type="paragraph" w:styleId="8">
    <w:name w:val="heading 8"/>
    <w:basedOn w:val="a"/>
    <w:next w:val="a"/>
    <w:link w:val="80"/>
    <w:qFormat/>
    <w:rsid w:val="006A415B"/>
    <w:pPr>
      <w:numPr>
        <w:ilvl w:val="7"/>
        <w:numId w:val="1"/>
      </w:numPr>
      <w:bidi/>
      <w:spacing w:before="240" w:after="60" w:line="360" w:lineRule="auto"/>
      <w:ind w:right="4192"/>
      <w:jc w:val="both"/>
      <w:outlineLvl w:val="7"/>
    </w:pPr>
    <w:rPr>
      <w:rFonts w:ascii="Arial" w:eastAsia="Times New Roman" w:hAnsi="Arial" w:cs="Arial"/>
      <w:i/>
      <w:iCs/>
      <w:sz w:val="20"/>
      <w:szCs w:val="20"/>
      <w:lang w:eastAsia="he-IL"/>
    </w:rPr>
  </w:style>
  <w:style w:type="paragraph" w:styleId="9">
    <w:name w:val="heading 9"/>
    <w:basedOn w:val="a"/>
    <w:next w:val="a"/>
    <w:link w:val="90"/>
    <w:qFormat/>
    <w:rsid w:val="006A415B"/>
    <w:pPr>
      <w:numPr>
        <w:ilvl w:val="8"/>
        <w:numId w:val="1"/>
      </w:numPr>
      <w:bidi/>
      <w:spacing w:before="240" w:after="60" w:line="360" w:lineRule="auto"/>
      <w:ind w:right="4900"/>
      <w:jc w:val="both"/>
      <w:outlineLvl w:val="8"/>
    </w:pPr>
    <w:rPr>
      <w:rFonts w:ascii="Arial" w:eastAsia="Times New Roman" w:hAnsi="Arial" w:cs="Arial"/>
      <w:i/>
      <w:iCs/>
      <w:sz w:val="18"/>
      <w:szCs w:val="18"/>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2DEE"/>
    <w:rPr>
      <w:rFonts w:ascii="Tahoma" w:hAnsi="Tahoma" w:cs="Tahoma"/>
      <w:sz w:val="16"/>
      <w:szCs w:val="16"/>
    </w:rPr>
  </w:style>
  <w:style w:type="character" w:customStyle="1" w:styleId="a4">
    <w:name w:val="טקסט בלונים תו"/>
    <w:basedOn w:val="a0"/>
    <w:link w:val="a3"/>
    <w:uiPriority w:val="99"/>
    <w:semiHidden/>
    <w:rsid w:val="003A2DEE"/>
    <w:rPr>
      <w:rFonts w:ascii="Tahoma" w:hAnsi="Tahoma" w:cs="Tahoma"/>
      <w:sz w:val="16"/>
      <w:szCs w:val="16"/>
    </w:rPr>
  </w:style>
  <w:style w:type="character" w:styleId="a5">
    <w:name w:val="annotation reference"/>
    <w:basedOn w:val="a0"/>
    <w:uiPriority w:val="99"/>
    <w:semiHidden/>
    <w:unhideWhenUsed/>
    <w:rsid w:val="009021F6"/>
    <w:rPr>
      <w:sz w:val="16"/>
      <w:szCs w:val="16"/>
    </w:rPr>
  </w:style>
  <w:style w:type="paragraph" w:styleId="a6">
    <w:name w:val="annotation text"/>
    <w:basedOn w:val="a"/>
    <w:link w:val="a7"/>
    <w:uiPriority w:val="99"/>
    <w:semiHidden/>
    <w:unhideWhenUsed/>
    <w:rsid w:val="009021F6"/>
    <w:rPr>
      <w:sz w:val="20"/>
      <w:szCs w:val="20"/>
    </w:rPr>
  </w:style>
  <w:style w:type="character" w:customStyle="1" w:styleId="a7">
    <w:name w:val="טקסט הערה תו"/>
    <w:basedOn w:val="a0"/>
    <w:link w:val="a6"/>
    <w:uiPriority w:val="99"/>
    <w:semiHidden/>
    <w:rsid w:val="009021F6"/>
    <w:rPr>
      <w:rFonts w:asciiTheme="majorBidi" w:hAnsiTheme="majorBidi"/>
      <w:sz w:val="20"/>
      <w:szCs w:val="20"/>
    </w:rPr>
  </w:style>
  <w:style w:type="paragraph" w:styleId="a8">
    <w:name w:val="annotation subject"/>
    <w:basedOn w:val="a6"/>
    <w:next w:val="a6"/>
    <w:link w:val="a9"/>
    <w:uiPriority w:val="99"/>
    <w:semiHidden/>
    <w:unhideWhenUsed/>
    <w:rsid w:val="009021F6"/>
    <w:rPr>
      <w:b/>
      <w:bCs/>
    </w:rPr>
  </w:style>
  <w:style w:type="character" w:customStyle="1" w:styleId="a9">
    <w:name w:val="נושא הערה תו"/>
    <w:basedOn w:val="a7"/>
    <w:link w:val="a8"/>
    <w:uiPriority w:val="99"/>
    <w:semiHidden/>
    <w:rsid w:val="009021F6"/>
    <w:rPr>
      <w:rFonts w:asciiTheme="majorBidi" w:hAnsiTheme="majorBidi"/>
      <w:b/>
      <w:bCs/>
      <w:sz w:val="20"/>
      <w:szCs w:val="20"/>
    </w:rPr>
  </w:style>
  <w:style w:type="character" w:customStyle="1" w:styleId="10">
    <w:name w:val="כותרת 1 תו"/>
    <w:aliases w:val=" תו תו"/>
    <w:basedOn w:val="a0"/>
    <w:link w:val="1"/>
    <w:rsid w:val="006A415B"/>
    <w:rPr>
      <w:rFonts w:ascii="Times New Roman" w:eastAsia="Times New Roman" w:hAnsi="Times New Roman" w:cs="David"/>
      <w:kern w:val="28"/>
      <w:sz w:val="24"/>
      <w:szCs w:val="24"/>
      <w:lang w:eastAsia="he-IL"/>
    </w:rPr>
  </w:style>
  <w:style w:type="character" w:customStyle="1" w:styleId="20">
    <w:name w:val="כותרת 2 תו"/>
    <w:basedOn w:val="a0"/>
    <w:link w:val="2"/>
    <w:rsid w:val="006A415B"/>
    <w:rPr>
      <w:rFonts w:ascii="Times New Roman" w:eastAsia="Times New Roman" w:hAnsi="Times New Roman" w:cs="David"/>
      <w:kern w:val="28"/>
      <w:sz w:val="24"/>
      <w:szCs w:val="24"/>
      <w:lang w:eastAsia="he-IL"/>
    </w:rPr>
  </w:style>
  <w:style w:type="character" w:customStyle="1" w:styleId="30">
    <w:name w:val="כותרת 3 תו"/>
    <w:basedOn w:val="a0"/>
    <w:link w:val="3"/>
    <w:rsid w:val="006A415B"/>
    <w:rPr>
      <w:rFonts w:ascii="Times New Roman" w:eastAsia="Times New Roman" w:hAnsi="Times New Roman" w:cs="David"/>
      <w:kern w:val="28"/>
      <w:sz w:val="24"/>
      <w:szCs w:val="24"/>
      <w:lang w:eastAsia="he-IL"/>
    </w:rPr>
  </w:style>
  <w:style w:type="character" w:customStyle="1" w:styleId="40">
    <w:name w:val="כותרת 4 תו"/>
    <w:basedOn w:val="a0"/>
    <w:link w:val="4"/>
    <w:rsid w:val="006A415B"/>
    <w:rPr>
      <w:rFonts w:ascii="Times New Roman" w:eastAsia="Times New Roman" w:hAnsi="Times New Roman" w:cs="David"/>
      <w:kern w:val="28"/>
      <w:sz w:val="24"/>
      <w:szCs w:val="24"/>
      <w:lang w:eastAsia="he-IL"/>
    </w:rPr>
  </w:style>
  <w:style w:type="character" w:customStyle="1" w:styleId="50">
    <w:name w:val="כותרת 5 תו"/>
    <w:basedOn w:val="a0"/>
    <w:link w:val="5"/>
    <w:rsid w:val="006A415B"/>
    <w:rPr>
      <w:rFonts w:ascii="Times New Roman" w:eastAsia="Times New Roman" w:hAnsi="Times New Roman" w:cs="David"/>
      <w:kern w:val="28"/>
      <w:sz w:val="24"/>
      <w:szCs w:val="24"/>
      <w:lang w:eastAsia="he-IL"/>
    </w:rPr>
  </w:style>
  <w:style w:type="character" w:customStyle="1" w:styleId="60">
    <w:name w:val="כותרת 6 תו"/>
    <w:basedOn w:val="a0"/>
    <w:link w:val="6"/>
    <w:rsid w:val="006A415B"/>
    <w:rPr>
      <w:rFonts w:ascii="Arial" w:eastAsia="Times New Roman" w:hAnsi="Arial" w:cs="Arial"/>
      <w:i/>
      <w:iCs/>
      <w:sz w:val="24"/>
      <w:lang w:eastAsia="he-IL"/>
    </w:rPr>
  </w:style>
  <w:style w:type="character" w:customStyle="1" w:styleId="70">
    <w:name w:val="כותרת 7 תו"/>
    <w:basedOn w:val="a0"/>
    <w:link w:val="7"/>
    <w:rsid w:val="006A415B"/>
    <w:rPr>
      <w:rFonts w:ascii="Arial" w:eastAsia="Times New Roman" w:hAnsi="Arial" w:cs="Arial"/>
      <w:sz w:val="20"/>
      <w:szCs w:val="20"/>
      <w:lang w:eastAsia="he-IL"/>
    </w:rPr>
  </w:style>
  <w:style w:type="character" w:customStyle="1" w:styleId="80">
    <w:name w:val="כותרת 8 תו"/>
    <w:basedOn w:val="a0"/>
    <w:link w:val="8"/>
    <w:rsid w:val="006A415B"/>
    <w:rPr>
      <w:rFonts w:ascii="Arial" w:eastAsia="Times New Roman" w:hAnsi="Arial" w:cs="Arial"/>
      <w:i/>
      <w:iCs/>
      <w:sz w:val="20"/>
      <w:szCs w:val="20"/>
      <w:lang w:eastAsia="he-IL"/>
    </w:rPr>
  </w:style>
  <w:style w:type="character" w:customStyle="1" w:styleId="90">
    <w:name w:val="כותרת 9 תו"/>
    <w:basedOn w:val="a0"/>
    <w:link w:val="9"/>
    <w:rsid w:val="006A415B"/>
    <w:rPr>
      <w:rFonts w:ascii="Arial" w:eastAsia="Times New Roman" w:hAnsi="Arial" w:cs="Arial"/>
      <w:i/>
      <w:iCs/>
      <w:sz w:val="18"/>
      <w:szCs w:val="18"/>
      <w:lang w:eastAsia="he-IL"/>
    </w:rPr>
  </w:style>
  <w:style w:type="paragraph" w:styleId="aa">
    <w:name w:val="header"/>
    <w:basedOn w:val="a"/>
    <w:link w:val="ab"/>
    <w:rsid w:val="006A415B"/>
    <w:pPr>
      <w:tabs>
        <w:tab w:val="center" w:pos="4153"/>
        <w:tab w:val="right" w:pos="8306"/>
      </w:tabs>
      <w:bidi/>
      <w:spacing w:line="360" w:lineRule="auto"/>
      <w:jc w:val="both"/>
    </w:pPr>
    <w:rPr>
      <w:rFonts w:ascii="Times New Roman" w:eastAsia="Times New Roman" w:hAnsi="Times New Roman" w:cs="David"/>
      <w:lang w:eastAsia="he-IL"/>
    </w:rPr>
  </w:style>
  <w:style w:type="character" w:customStyle="1" w:styleId="ab">
    <w:name w:val="כותרת עליונה תו"/>
    <w:basedOn w:val="a0"/>
    <w:link w:val="aa"/>
    <w:rsid w:val="006A415B"/>
    <w:rPr>
      <w:rFonts w:ascii="Times New Roman" w:eastAsia="Times New Roman" w:hAnsi="Times New Roman" w:cs="David"/>
      <w:sz w:val="24"/>
      <w:szCs w:val="24"/>
      <w:lang w:eastAsia="he-IL"/>
    </w:rPr>
  </w:style>
  <w:style w:type="paragraph" w:styleId="ac">
    <w:name w:val="List Paragraph"/>
    <w:basedOn w:val="a"/>
    <w:uiPriority w:val="34"/>
    <w:qFormat/>
    <w:rsid w:val="006A415B"/>
    <w:pPr>
      <w:bidi/>
      <w:spacing w:line="360" w:lineRule="auto"/>
      <w:ind w:left="720"/>
      <w:contextualSpacing/>
      <w:jc w:val="both"/>
    </w:pPr>
    <w:rPr>
      <w:rFonts w:ascii="Times New Roman" w:eastAsia="Times New Roman" w:hAnsi="Times New Roman" w:cs="David"/>
      <w:lang w:eastAsia="he-IL"/>
    </w:rPr>
  </w:style>
  <w:style w:type="paragraph" w:styleId="ad">
    <w:name w:val="footer"/>
    <w:basedOn w:val="a"/>
    <w:link w:val="ae"/>
    <w:uiPriority w:val="99"/>
    <w:unhideWhenUsed/>
    <w:rsid w:val="006A415B"/>
    <w:pPr>
      <w:tabs>
        <w:tab w:val="center" w:pos="4320"/>
        <w:tab w:val="right" w:pos="8640"/>
      </w:tabs>
    </w:pPr>
  </w:style>
  <w:style w:type="character" w:customStyle="1" w:styleId="ae">
    <w:name w:val="כותרת תחתונה תו"/>
    <w:basedOn w:val="a0"/>
    <w:link w:val="ad"/>
    <w:uiPriority w:val="99"/>
    <w:rsid w:val="006A415B"/>
    <w:rPr>
      <w:rFonts w:asciiTheme="majorBidi" w:hAnsiTheme="majorBidi"/>
      <w:sz w:val="24"/>
      <w:szCs w:val="24"/>
    </w:rPr>
  </w:style>
  <w:style w:type="paragraph" w:customStyle="1" w:styleId="regpar">
    <w:name w:val="regpar"/>
    <w:basedOn w:val="a"/>
    <w:rsid w:val="006A415B"/>
    <w:pPr>
      <w:spacing w:line="300" w:lineRule="exact"/>
      <w:ind w:firstLine="240"/>
      <w:jc w:val="both"/>
    </w:pPr>
    <w:rPr>
      <w:rFonts w:ascii="Times" w:eastAsia="Times New Roman" w:hAnsi="Times" w:cs="Times"/>
    </w:rPr>
  </w:style>
  <w:style w:type="paragraph" w:styleId="af">
    <w:name w:val="Revision"/>
    <w:hidden/>
    <w:uiPriority w:val="99"/>
    <w:semiHidden/>
    <w:rsid w:val="002530C3"/>
    <w:pPr>
      <w:spacing w:after="0" w:line="240" w:lineRule="auto"/>
    </w:pPr>
    <w:rPr>
      <w:rFonts w:asciiTheme="majorBidi" w:hAnsiTheme="majorBidi"/>
      <w:sz w:val="24"/>
      <w:szCs w:val="24"/>
    </w:rPr>
  </w:style>
  <w:style w:type="paragraph" w:styleId="af0">
    <w:name w:val="footnote text"/>
    <w:basedOn w:val="a"/>
    <w:link w:val="af1"/>
    <w:uiPriority w:val="99"/>
    <w:semiHidden/>
    <w:unhideWhenUsed/>
    <w:rsid w:val="00701421"/>
    <w:rPr>
      <w:sz w:val="20"/>
      <w:szCs w:val="20"/>
    </w:rPr>
  </w:style>
  <w:style w:type="character" w:customStyle="1" w:styleId="af1">
    <w:name w:val="טקסט הערת שוליים תו"/>
    <w:basedOn w:val="a0"/>
    <w:link w:val="af0"/>
    <w:uiPriority w:val="99"/>
    <w:semiHidden/>
    <w:rsid w:val="00701421"/>
    <w:rPr>
      <w:rFonts w:asciiTheme="majorBidi" w:hAnsiTheme="majorBidi"/>
      <w:sz w:val="20"/>
      <w:szCs w:val="20"/>
    </w:rPr>
  </w:style>
  <w:style w:type="character" w:styleId="af2">
    <w:name w:val="footnote reference"/>
    <w:basedOn w:val="a0"/>
    <w:uiPriority w:val="99"/>
    <w:semiHidden/>
    <w:unhideWhenUsed/>
    <w:rsid w:val="00701421"/>
    <w:rPr>
      <w:vertAlign w:val="superscript"/>
    </w:rPr>
  </w:style>
  <w:style w:type="character" w:styleId="Hyperlink">
    <w:name w:val="Hyperlink"/>
    <w:basedOn w:val="a0"/>
    <w:uiPriority w:val="99"/>
    <w:unhideWhenUsed/>
    <w:rsid w:val="00B21E55"/>
    <w:rPr>
      <w:color w:val="0563C1"/>
      <w:u w:val="single"/>
    </w:rPr>
  </w:style>
  <w:style w:type="character" w:styleId="FollowedHyperlink">
    <w:name w:val="FollowedHyperlink"/>
    <w:basedOn w:val="a0"/>
    <w:uiPriority w:val="99"/>
    <w:semiHidden/>
    <w:unhideWhenUsed/>
    <w:rsid w:val="00606830"/>
    <w:rPr>
      <w:color w:val="800080" w:themeColor="followedHyperlink"/>
      <w:u w:val="single"/>
    </w:rPr>
  </w:style>
  <w:style w:type="paragraph" w:styleId="NormalWeb">
    <w:name w:val="Normal (Web)"/>
    <w:basedOn w:val="a"/>
    <w:uiPriority w:val="99"/>
    <w:semiHidden/>
    <w:unhideWhenUsed/>
    <w:rsid w:val="00D32BD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10710">
      <w:bodyDiv w:val="1"/>
      <w:marLeft w:val="0"/>
      <w:marRight w:val="0"/>
      <w:marTop w:val="0"/>
      <w:marBottom w:val="0"/>
      <w:divBdr>
        <w:top w:val="none" w:sz="0" w:space="0" w:color="auto"/>
        <w:left w:val="none" w:sz="0" w:space="0" w:color="auto"/>
        <w:bottom w:val="none" w:sz="0" w:space="0" w:color="auto"/>
        <w:right w:val="none" w:sz="0" w:space="0" w:color="auto"/>
      </w:divBdr>
    </w:div>
    <w:div w:id="378628959">
      <w:bodyDiv w:val="1"/>
      <w:marLeft w:val="0"/>
      <w:marRight w:val="0"/>
      <w:marTop w:val="0"/>
      <w:marBottom w:val="0"/>
      <w:divBdr>
        <w:top w:val="none" w:sz="0" w:space="0" w:color="auto"/>
        <w:left w:val="none" w:sz="0" w:space="0" w:color="auto"/>
        <w:bottom w:val="none" w:sz="0" w:space="0" w:color="auto"/>
        <w:right w:val="none" w:sz="0" w:space="0" w:color="auto"/>
      </w:divBdr>
    </w:div>
    <w:div w:id="182781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C40642F-A029-44FB-8C16-06BFD3BB4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1765</Words>
  <Characters>8827</Characters>
  <Application>Microsoft Office Word</Application>
  <DocSecurity>0</DocSecurity>
  <Lines>73</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יהודה פאש</dc:creator>
  <cp:lastModifiedBy>מיטל רולניצקי</cp:lastModifiedBy>
  <cp:revision>4</cp:revision>
  <cp:lastPrinted>2025-02-24T11:13:00Z</cp:lastPrinted>
  <dcterms:created xsi:type="dcterms:W3CDTF">2025-02-24T12:09:00Z</dcterms:created>
  <dcterms:modified xsi:type="dcterms:W3CDTF">2025-02-24T12:30:00Z</dcterms:modified>
</cp:coreProperties>
</file>