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bookmarkStart w:id="0" w:name="_GoBack"/>
            <w:bookmarkEnd w:id="0"/>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87676">
            <w:pPr>
              <w:jc w:val="center"/>
            </w:pPr>
            <w:r>
              <w:rPr>
                <w:noProof/>
                <w:lang w:eastAsia="en-US"/>
              </w:rPr>
              <w:drawing>
                <wp:inline distT="0" distB="0" distL="0" distR="0">
                  <wp:extent cx="1035170" cy="1216325"/>
                  <wp:effectExtent l="0" t="0" r="0" b="3175"/>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lum bright="-2000" contrast="-62000"/>
                            <a:extLst>
                              <a:ext uri="{28A0092B-C50C-407E-A947-70E740481C1C}">
                                <a14:useLocalDpi xmlns:a14="http://schemas.microsoft.com/office/drawing/2010/main" val="0"/>
                              </a:ext>
                            </a:extLst>
                          </a:blip>
                          <a:srcRect/>
                          <a:stretch>
                            <a:fillRect/>
                          </a:stretch>
                        </pic:blipFill>
                        <pic:spPr bwMode="auto">
                          <a:xfrm>
                            <a:off x="0" y="0"/>
                            <a:ext cx="1043625" cy="122626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DD5923">
            <w:pPr>
              <w:spacing w:line="480" w:lineRule="auto"/>
              <w:rPr>
                <w:rFonts w:cs="David"/>
                <w:sz w:val="24"/>
                <w:szCs w:val="24"/>
                <w:rtl/>
              </w:rPr>
            </w:pPr>
            <w:r>
              <w:rPr>
                <w:rFonts w:cs="David" w:hint="eastAsia"/>
                <w:sz w:val="24"/>
                <w:szCs w:val="24"/>
                <w:rtl/>
              </w:rPr>
              <w:t>‏</w:t>
            </w:r>
            <w:r>
              <w:rPr>
                <w:rFonts w:cs="David" w:hint="cs"/>
                <w:sz w:val="24"/>
                <w:szCs w:val="24"/>
                <w:rtl/>
              </w:rPr>
              <w:t>י</w:t>
            </w:r>
            <w:r w:rsidR="00FF7EE4">
              <w:rPr>
                <w:rFonts w:cs="David" w:hint="cs"/>
                <w:sz w:val="24"/>
                <w:szCs w:val="24"/>
                <w:rtl/>
              </w:rPr>
              <w:t>"ז</w:t>
            </w:r>
            <w:r>
              <w:rPr>
                <w:rFonts w:cs="David"/>
                <w:sz w:val="24"/>
                <w:szCs w:val="24"/>
                <w:rtl/>
              </w:rPr>
              <w:t xml:space="preserve"> </w:t>
            </w:r>
            <w:r>
              <w:rPr>
                <w:rFonts w:cs="David" w:hint="cs"/>
                <w:sz w:val="24"/>
                <w:szCs w:val="24"/>
                <w:rtl/>
              </w:rPr>
              <w:t>ב</w:t>
            </w:r>
            <w:r>
              <w:rPr>
                <w:rFonts w:cs="David"/>
                <w:sz w:val="24"/>
                <w:szCs w:val="24"/>
                <w:rtl/>
              </w:rPr>
              <w:t>תמוז, תשע"ג</w:t>
            </w:r>
          </w:p>
          <w:p w:rsidR="00DD5923" w:rsidRPr="00DF107C" w:rsidRDefault="00DD5923" w:rsidP="00FF7EE4">
            <w:pPr>
              <w:spacing w:line="480" w:lineRule="auto"/>
              <w:rPr>
                <w:rFonts w:cs="David"/>
                <w:sz w:val="24"/>
                <w:szCs w:val="24"/>
              </w:rPr>
            </w:pPr>
            <w:r>
              <w:rPr>
                <w:rFonts w:cs="David" w:hint="eastAsia"/>
                <w:sz w:val="24"/>
                <w:szCs w:val="24"/>
                <w:rtl/>
              </w:rPr>
              <w:t>‏‏</w:t>
            </w:r>
            <w:r w:rsidR="00FF7EE4">
              <w:rPr>
                <w:rFonts w:cs="David" w:hint="cs"/>
                <w:sz w:val="24"/>
                <w:szCs w:val="24"/>
                <w:rtl/>
              </w:rPr>
              <w:t>25</w:t>
            </w:r>
            <w:r>
              <w:rPr>
                <w:rFonts w:cs="David"/>
                <w:sz w:val="24"/>
                <w:szCs w:val="24"/>
                <w:rtl/>
              </w:rPr>
              <w:t xml:space="preserve"> יוני, 2013</w:t>
            </w:r>
          </w:p>
        </w:tc>
      </w:tr>
    </w:tbl>
    <w:p w:rsidR="00FE034E" w:rsidRDefault="00FE034E" w:rsidP="00AB26A9">
      <w:pPr>
        <w:bidi/>
        <w:rPr>
          <w:rtl/>
        </w:rPr>
      </w:pPr>
    </w:p>
    <w:p w:rsidR="00AB26A9" w:rsidRDefault="00AB26A9" w:rsidP="00AB26A9">
      <w:pPr>
        <w:jc w:val="center"/>
        <w:rPr>
          <w:rFonts w:ascii="Arial" w:hAnsi="Arial" w:cs="David"/>
          <w:b/>
          <w:bCs/>
          <w:sz w:val="28"/>
          <w:szCs w:val="28"/>
          <w:lang w:eastAsia="en-US"/>
        </w:rPr>
      </w:pPr>
    </w:p>
    <w:p w:rsidR="00AB26A9" w:rsidRPr="00AB26A9" w:rsidRDefault="00AB26A9" w:rsidP="00AB26A9">
      <w:pPr>
        <w:bidi/>
        <w:rPr>
          <w:rFonts w:ascii="Arial" w:hAnsi="Arial" w:cs="David"/>
          <w:sz w:val="28"/>
          <w:szCs w:val="28"/>
          <w:rtl/>
          <w:lang w:eastAsia="en-US"/>
        </w:rPr>
      </w:pPr>
      <w:r w:rsidRPr="00AB26A9">
        <w:rPr>
          <w:rFonts w:ascii="Arial" w:hAnsi="Arial" w:cs="David" w:hint="cs"/>
          <w:sz w:val="28"/>
          <w:szCs w:val="28"/>
          <w:rtl/>
          <w:lang w:eastAsia="en-US"/>
        </w:rPr>
        <w:t>הודעה לעיתונות:</w:t>
      </w:r>
    </w:p>
    <w:p w:rsidR="00AB26A9" w:rsidRDefault="00AB26A9" w:rsidP="00AB26A9">
      <w:pPr>
        <w:bidi/>
        <w:rPr>
          <w:rFonts w:ascii="Arial" w:hAnsi="Arial" w:cs="David"/>
          <w:b/>
          <w:bCs/>
          <w:sz w:val="28"/>
          <w:szCs w:val="28"/>
          <w:rtl/>
          <w:lang w:eastAsia="en-US"/>
        </w:rPr>
      </w:pPr>
    </w:p>
    <w:p w:rsidR="00AB26A9" w:rsidRDefault="00AB26A9" w:rsidP="00AB26A9">
      <w:pPr>
        <w:jc w:val="center"/>
        <w:rPr>
          <w:rFonts w:cs="David"/>
          <w:b/>
          <w:bCs/>
          <w:sz w:val="28"/>
          <w:szCs w:val="28"/>
        </w:rPr>
      </w:pPr>
      <w:r w:rsidRPr="00CF2347">
        <w:rPr>
          <w:rFonts w:ascii="Arial" w:hAnsi="Arial" w:cs="David" w:hint="cs"/>
          <w:b/>
          <w:bCs/>
          <w:sz w:val="28"/>
          <w:szCs w:val="28"/>
          <w:rtl/>
          <w:lang w:eastAsia="en-US"/>
        </w:rPr>
        <w:t xml:space="preserve">הפיקוח על הבנקים </w:t>
      </w:r>
      <w:r w:rsidRPr="00CF2347">
        <w:rPr>
          <w:rFonts w:cs="David" w:hint="cs"/>
          <w:b/>
          <w:bCs/>
          <w:sz w:val="28"/>
          <w:szCs w:val="28"/>
          <w:rtl/>
        </w:rPr>
        <w:t xml:space="preserve">מקדם </w:t>
      </w:r>
      <w:r>
        <w:rPr>
          <w:rFonts w:cs="David" w:hint="cs"/>
          <w:b/>
          <w:bCs/>
          <w:sz w:val="28"/>
          <w:szCs w:val="28"/>
          <w:rtl/>
        </w:rPr>
        <w:t xml:space="preserve">קביעת סל שירותים אחיד לניהול חשבון עובר ושב </w:t>
      </w:r>
    </w:p>
    <w:p w:rsidR="00AB26A9" w:rsidRPr="00CF2347" w:rsidRDefault="00AB26A9" w:rsidP="00AB26A9">
      <w:pPr>
        <w:jc w:val="center"/>
        <w:rPr>
          <w:rFonts w:cs="David"/>
          <w:b/>
          <w:bCs/>
          <w:sz w:val="28"/>
          <w:szCs w:val="28"/>
          <w:rtl/>
        </w:rPr>
      </w:pPr>
    </w:p>
    <w:p w:rsidR="00AB26A9" w:rsidRPr="001F18AE" w:rsidRDefault="00AB26A9" w:rsidP="00AB26A9">
      <w:pPr>
        <w:jc w:val="both"/>
        <w:rPr>
          <w:rFonts w:cs="David"/>
          <w:sz w:val="26"/>
          <w:szCs w:val="26"/>
          <w:u w:val="single"/>
          <w:rtl/>
        </w:rPr>
      </w:pPr>
    </w:p>
    <w:p w:rsidR="00AB26A9" w:rsidRDefault="00AB26A9" w:rsidP="00AB26A9">
      <w:pPr>
        <w:bidi/>
        <w:spacing w:line="360" w:lineRule="auto"/>
        <w:ind w:left="29"/>
        <w:jc w:val="both"/>
        <w:rPr>
          <w:rFonts w:ascii="Arial" w:eastAsia="Calibri" w:hAnsi="Arial" w:cs="David"/>
          <w:sz w:val="24"/>
          <w:szCs w:val="24"/>
          <w:rtl/>
          <w:lang w:eastAsia="en-US"/>
        </w:rPr>
      </w:pPr>
      <w:r w:rsidRPr="00D84231">
        <w:rPr>
          <w:rFonts w:ascii="Arial" w:eastAsia="Calibri" w:hAnsi="Arial" w:cs="David" w:hint="cs"/>
          <w:b/>
          <w:bCs/>
          <w:sz w:val="24"/>
          <w:szCs w:val="24"/>
          <w:rtl/>
          <w:lang w:eastAsia="en-US"/>
        </w:rPr>
        <w:t>הפיקוח על הבנקים בבנק ישראל</w:t>
      </w:r>
      <w:r w:rsidRPr="00D84231">
        <w:rPr>
          <w:rFonts w:ascii="Arial" w:eastAsia="Calibri" w:hAnsi="Arial" w:cs="David" w:hint="cs"/>
          <w:sz w:val="24"/>
          <w:szCs w:val="24"/>
          <w:rtl/>
          <w:lang w:eastAsia="en-US"/>
        </w:rPr>
        <w:t xml:space="preserve"> </w:t>
      </w:r>
      <w:r>
        <w:rPr>
          <w:rFonts w:ascii="Arial" w:eastAsia="Calibri" w:hAnsi="Arial" w:cs="David" w:hint="cs"/>
          <w:sz w:val="24"/>
          <w:szCs w:val="24"/>
          <w:rtl/>
          <w:lang w:eastAsia="en-US"/>
        </w:rPr>
        <w:t>מודיע</w:t>
      </w:r>
      <w:r w:rsidRPr="00D84231">
        <w:rPr>
          <w:rFonts w:ascii="Arial" w:eastAsia="Calibri" w:hAnsi="Arial" w:cs="David" w:hint="cs"/>
          <w:sz w:val="24"/>
          <w:szCs w:val="24"/>
          <w:rtl/>
          <w:lang w:eastAsia="en-US"/>
        </w:rPr>
        <w:t xml:space="preserve"> על כוונתו לצאת בצעד נוסף </w:t>
      </w:r>
      <w:r>
        <w:rPr>
          <w:rFonts w:ascii="Arial" w:eastAsia="Calibri" w:hAnsi="Arial" w:cs="David" w:hint="cs"/>
          <w:sz w:val="24"/>
          <w:szCs w:val="24"/>
          <w:rtl/>
          <w:lang w:eastAsia="en-US"/>
        </w:rPr>
        <w:t>לשיפור התחרות והגברת השקיפות</w:t>
      </w:r>
      <w:r w:rsidRPr="00D84231">
        <w:rPr>
          <w:rFonts w:ascii="Arial" w:eastAsia="Calibri" w:hAnsi="Arial" w:cs="David" w:hint="cs"/>
          <w:sz w:val="24"/>
          <w:szCs w:val="24"/>
          <w:rtl/>
          <w:lang w:eastAsia="en-US"/>
        </w:rPr>
        <w:t xml:space="preserve"> </w:t>
      </w:r>
      <w:r>
        <w:rPr>
          <w:rFonts w:ascii="Arial" w:eastAsia="Calibri" w:hAnsi="Arial" w:cs="David" w:hint="cs"/>
          <w:sz w:val="24"/>
          <w:szCs w:val="24"/>
          <w:rtl/>
          <w:lang w:eastAsia="en-US"/>
        </w:rPr>
        <w:t xml:space="preserve">בניהול חשבון עו"ש, </w:t>
      </w:r>
      <w:r w:rsidRPr="00D84231">
        <w:rPr>
          <w:rFonts w:ascii="Arial" w:eastAsia="Calibri" w:hAnsi="Arial" w:cs="David" w:hint="cs"/>
          <w:sz w:val="24"/>
          <w:szCs w:val="24"/>
          <w:rtl/>
          <w:lang w:eastAsia="en-US"/>
        </w:rPr>
        <w:t xml:space="preserve">במסגרתו ייזום </w:t>
      </w:r>
      <w:r>
        <w:rPr>
          <w:rFonts w:ascii="Arial" w:eastAsia="Calibri" w:hAnsi="Arial" w:cs="David" w:hint="cs"/>
          <w:b/>
          <w:bCs/>
          <w:sz w:val="24"/>
          <w:szCs w:val="24"/>
          <w:rtl/>
          <w:lang w:eastAsia="en-US"/>
        </w:rPr>
        <w:t>מהלך</w:t>
      </w:r>
      <w:r w:rsidRPr="00D84231">
        <w:rPr>
          <w:rFonts w:ascii="Arial" w:eastAsia="Calibri" w:hAnsi="Arial" w:cs="David" w:hint="cs"/>
          <w:b/>
          <w:bCs/>
          <w:sz w:val="24"/>
          <w:szCs w:val="24"/>
          <w:rtl/>
          <w:lang w:eastAsia="en-US"/>
        </w:rPr>
        <w:t xml:space="preserve"> לקביעת </w:t>
      </w:r>
      <w:r>
        <w:rPr>
          <w:rFonts w:ascii="Arial" w:eastAsia="Calibri" w:hAnsi="Arial" w:cs="David" w:hint="cs"/>
          <w:b/>
          <w:bCs/>
          <w:sz w:val="24"/>
          <w:szCs w:val="24"/>
          <w:rtl/>
          <w:lang w:eastAsia="en-US"/>
        </w:rPr>
        <w:t>סל שירותים אחיד</w:t>
      </w:r>
      <w:r w:rsidRPr="00D84231">
        <w:rPr>
          <w:rFonts w:ascii="Arial" w:eastAsia="Calibri" w:hAnsi="Arial" w:cs="David" w:hint="cs"/>
          <w:b/>
          <w:bCs/>
          <w:sz w:val="24"/>
          <w:szCs w:val="24"/>
          <w:rtl/>
          <w:lang w:eastAsia="en-US"/>
        </w:rPr>
        <w:t xml:space="preserve"> לניהול חשבון העובר ושב. </w:t>
      </w:r>
      <w:r w:rsidRPr="00D84231">
        <w:rPr>
          <w:rFonts w:ascii="Arial" w:eastAsia="Calibri" w:hAnsi="Arial" w:cs="David" w:hint="cs"/>
          <w:sz w:val="24"/>
          <w:szCs w:val="24"/>
          <w:rtl/>
          <w:lang w:eastAsia="en-US"/>
        </w:rPr>
        <w:t>מטרת צעד זה של ה</w:t>
      </w:r>
      <w:r>
        <w:rPr>
          <w:rFonts w:ascii="Arial" w:eastAsia="Calibri" w:hAnsi="Arial" w:cs="David" w:hint="cs"/>
          <w:sz w:val="24"/>
          <w:szCs w:val="24"/>
          <w:rtl/>
          <w:lang w:eastAsia="en-US"/>
        </w:rPr>
        <w:t>פיקוח</w:t>
      </w:r>
      <w:r w:rsidRPr="00D84231">
        <w:rPr>
          <w:rFonts w:ascii="Arial" w:eastAsia="Calibri" w:hAnsi="Arial" w:cs="David" w:hint="cs"/>
          <w:sz w:val="24"/>
          <w:szCs w:val="24"/>
          <w:rtl/>
          <w:lang w:eastAsia="en-US"/>
        </w:rPr>
        <w:t xml:space="preserve"> </w:t>
      </w:r>
      <w:r>
        <w:rPr>
          <w:rFonts w:ascii="Arial" w:eastAsia="Calibri" w:hAnsi="Arial" w:cs="David" w:hint="cs"/>
          <w:sz w:val="24"/>
          <w:szCs w:val="24"/>
          <w:rtl/>
          <w:lang w:eastAsia="en-US"/>
        </w:rPr>
        <w:t>היא לחייב כל בנק להציע ללקוחותיו מחיר אחד לכל השירותים הבסיסיים הנלווים לניהול חשבון העו"ש, ובכך ל</w:t>
      </w:r>
      <w:r w:rsidRPr="00D84231">
        <w:rPr>
          <w:rFonts w:ascii="Arial" w:eastAsia="Calibri" w:hAnsi="Arial" w:cs="David" w:hint="cs"/>
          <w:sz w:val="24"/>
          <w:szCs w:val="24"/>
          <w:rtl/>
          <w:lang w:eastAsia="en-US"/>
        </w:rPr>
        <w:t>ה</w:t>
      </w:r>
      <w:r>
        <w:rPr>
          <w:rFonts w:ascii="Arial" w:eastAsia="Calibri" w:hAnsi="Arial" w:cs="David" w:hint="cs"/>
          <w:sz w:val="24"/>
          <w:szCs w:val="24"/>
          <w:rtl/>
          <w:lang w:eastAsia="en-US"/>
        </w:rPr>
        <w:t>קל באופן משמעותי על יכולת ההשוואה של הלקוח. הפיקוח יחייב את הבנקים לקבוע מחיר אחד וכולל, אולם התמחור עצמו יתבצע על ידי כל בנק בנפרד.</w:t>
      </w:r>
    </w:p>
    <w:p w:rsidR="00AB26A9" w:rsidRDefault="00AB26A9" w:rsidP="00AB26A9">
      <w:pPr>
        <w:bidi/>
        <w:spacing w:line="360" w:lineRule="auto"/>
        <w:ind w:left="29"/>
        <w:jc w:val="both"/>
        <w:rPr>
          <w:rFonts w:ascii="Arial" w:eastAsia="Calibri" w:hAnsi="Arial" w:cs="David"/>
          <w:sz w:val="24"/>
          <w:szCs w:val="24"/>
          <w:rtl/>
          <w:lang w:eastAsia="en-US"/>
        </w:rPr>
      </w:pPr>
      <w:r>
        <w:rPr>
          <w:rFonts w:ascii="Arial" w:eastAsia="Calibri" w:hAnsi="Arial" w:cs="David"/>
          <w:b/>
          <w:bCs/>
          <w:sz w:val="24"/>
          <w:szCs w:val="24"/>
          <w:rtl/>
          <w:lang w:eastAsia="en-US"/>
        </w:rPr>
        <w:br/>
      </w:r>
      <w:r>
        <w:rPr>
          <w:rFonts w:ascii="Arial" w:eastAsia="Calibri" w:hAnsi="Arial" w:cs="David" w:hint="cs"/>
          <w:sz w:val="24"/>
          <w:szCs w:val="24"/>
          <w:rtl/>
          <w:lang w:eastAsia="en-US"/>
        </w:rPr>
        <w:t>כיום</w:t>
      </w:r>
      <w:r w:rsidRPr="00D84231">
        <w:rPr>
          <w:rFonts w:ascii="Arial" w:eastAsia="Calibri" w:hAnsi="Arial" w:cs="David" w:hint="cs"/>
          <w:sz w:val="24"/>
          <w:szCs w:val="24"/>
          <w:rtl/>
          <w:lang w:eastAsia="en-US"/>
        </w:rPr>
        <w:t xml:space="preserve"> </w:t>
      </w:r>
      <w:r>
        <w:rPr>
          <w:rFonts w:ascii="Arial" w:eastAsia="Calibri" w:hAnsi="Arial" w:cs="David" w:hint="cs"/>
          <w:sz w:val="24"/>
          <w:szCs w:val="24"/>
          <w:rtl/>
          <w:lang w:eastAsia="en-US"/>
        </w:rPr>
        <w:t xml:space="preserve">קיימת </w:t>
      </w:r>
      <w:r w:rsidRPr="00D84231">
        <w:rPr>
          <w:rFonts w:ascii="Arial" w:eastAsia="Calibri" w:hAnsi="Arial" w:cs="David" w:hint="cs"/>
          <w:sz w:val="24"/>
          <w:szCs w:val="24"/>
          <w:rtl/>
          <w:lang w:eastAsia="en-US"/>
        </w:rPr>
        <w:t>עמלה עבור כל פעולה בחשבון עובר ושב, בין אם הפעולה בוצעה על ידי פקיד ובין אם הפעולה בוצעה בערוץ ישיר (פירוט של הפעולות הנכללות בהגדרה של פעולות בערוצים אלה נמצא בנספח א'). בהתאם לכך, התשלום החודשי משתנה מדי חודש בחודשו בהתאמה למספר הפע</w:t>
      </w:r>
      <w:r>
        <w:rPr>
          <w:rFonts w:ascii="Arial" w:eastAsia="Calibri" w:hAnsi="Arial" w:cs="David" w:hint="cs"/>
          <w:sz w:val="24"/>
          <w:szCs w:val="24"/>
          <w:rtl/>
          <w:lang w:eastAsia="en-US"/>
        </w:rPr>
        <w:t>ולות שבוצעו בפועל על ידי הלקוח.</w:t>
      </w:r>
    </w:p>
    <w:p w:rsidR="00AB26A9" w:rsidRDefault="00AB26A9" w:rsidP="00AB26A9">
      <w:pPr>
        <w:bidi/>
        <w:spacing w:line="360" w:lineRule="auto"/>
        <w:ind w:left="29"/>
        <w:jc w:val="both"/>
        <w:rPr>
          <w:rFonts w:ascii="Arial" w:eastAsia="Calibri" w:hAnsi="Arial" w:cs="David"/>
          <w:sz w:val="24"/>
          <w:szCs w:val="24"/>
          <w:rtl/>
          <w:lang w:eastAsia="en-US"/>
        </w:rPr>
      </w:pPr>
      <w:r>
        <w:rPr>
          <w:rFonts w:ascii="Arial" w:eastAsia="Calibri" w:hAnsi="Arial" w:cs="David"/>
          <w:sz w:val="24"/>
          <w:szCs w:val="24"/>
          <w:rtl/>
          <w:lang w:eastAsia="en-US"/>
        </w:rPr>
        <w:br/>
      </w:r>
      <w:r w:rsidRPr="00D84231">
        <w:rPr>
          <w:rFonts w:ascii="Arial" w:eastAsia="Calibri" w:hAnsi="Arial" w:cs="David" w:hint="cs"/>
          <w:sz w:val="24"/>
          <w:szCs w:val="24"/>
          <w:rtl/>
          <w:lang w:eastAsia="en-US"/>
        </w:rPr>
        <w:t xml:space="preserve">במסגרת צעד זה, אשר </w:t>
      </w:r>
      <w:r>
        <w:rPr>
          <w:rFonts w:ascii="Arial" w:eastAsia="Calibri" w:hAnsi="Arial" w:cs="David" w:hint="cs"/>
          <w:sz w:val="24"/>
          <w:szCs w:val="24"/>
          <w:rtl/>
          <w:lang w:eastAsia="en-US"/>
        </w:rPr>
        <w:t>מתוכנן להתבצע</w:t>
      </w:r>
      <w:r w:rsidRPr="00D84231">
        <w:rPr>
          <w:rFonts w:ascii="Arial" w:eastAsia="Calibri" w:hAnsi="Arial" w:cs="David" w:hint="cs"/>
          <w:sz w:val="24"/>
          <w:szCs w:val="24"/>
          <w:rtl/>
          <w:lang w:eastAsia="en-US"/>
        </w:rPr>
        <w:t xml:space="preserve"> בדרך של תיקון כללי הבנקאות (שירות ללקוח)(עמלות) התשס"ח -</w:t>
      </w:r>
      <w:r>
        <w:rPr>
          <w:rFonts w:ascii="Arial" w:eastAsia="Calibri" w:hAnsi="Arial" w:cs="David" w:hint="cs"/>
          <w:sz w:val="24"/>
          <w:szCs w:val="24"/>
          <w:rtl/>
          <w:lang w:eastAsia="en-US"/>
        </w:rPr>
        <w:t xml:space="preserve"> </w:t>
      </w:r>
      <w:r w:rsidRPr="00D84231">
        <w:rPr>
          <w:rFonts w:ascii="Arial" w:eastAsia="Calibri" w:hAnsi="Arial" w:cs="David" w:hint="cs"/>
          <w:sz w:val="24"/>
          <w:szCs w:val="24"/>
          <w:rtl/>
          <w:lang w:eastAsia="en-US"/>
        </w:rPr>
        <w:t xml:space="preserve">2008, יחויבו הבנקים לקבוע מחיר אחד לניהול חשבון עובר ושב </w:t>
      </w:r>
      <w:r>
        <w:rPr>
          <w:rFonts w:ascii="Arial" w:eastAsia="Calibri" w:hAnsi="Arial" w:cs="David" w:hint="cs"/>
          <w:sz w:val="24"/>
          <w:szCs w:val="24"/>
          <w:rtl/>
          <w:lang w:eastAsia="en-US"/>
        </w:rPr>
        <w:t>לשלושה מסלולים: בסיסי, מורחב וחופשי.</w:t>
      </w:r>
      <w:r w:rsidRPr="00D84231">
        <w:rPr>
          <w:rFonts w:ascii="Arial" w:eastAsia="Calibri" w:hAnsi="Arial" w:cs="David" w:hint="cs"/>
          <w:sz w:val="24"/>
          <w:szCs w:val="24"/>
          <w:rtl/>
          <w:lang w:eastAsia="en-US"/>
        </w:rPr>
        <w:t xml:space="preserve"> בכל מסלול יכללו </w:t>
      </w:r>
      <w:r>
        <w:rPr>
          <w:rFonts w:ascii="Arial" w:eastAsia="Calibri" w:hAnsi="Arial" w:cs="David" w:hint="cs"/>
          <w:sz w:val="24"/>
          <w:szCs w:val="24"/>
          <w:rtl/>
          <w:lang w:eastAsia="en-US"/>
        </w:rPr>
        <w:t>ה</w:t>
      </w:r>
      <w:r w:rsidRPr="00D84231">
        <w:rPr>
          <w:rFonts w:ascii="Arial" w:eastAsia="Calibri" w:hAnsi="Arial" w:cs="David" w:hint="cs"/>
          <w:sz w:val="24"/>
          <w:szCs w:val="24"/>
          <w:rtl/>
          <w:lang w:eastAsia="en-US"/>
        </w:rPr>
        <w:t xml:space="preserve">פעולות אותן יוכל לבצע הלקוח בחודש תמורת מחיר קבוע מראש. </w:t>
      </w:r>
      <w:r>
        <w:rPr>
          <w:rFonts w:ascii="Arial" w:eastAsia="Calibri" w:hAnsi="Arial" w:cs="David"/>
          <w:sz w:val="24"/>
          <w:szCs w:val="24"/>
          <w:rtl/>
          <w:lang w:eastAsia="en-US"/>
        </w:rPr>
        <w:br/>
      </w:r>
    </w:p>
    <w:p w:rsidR="00AB26A9" w:rsidRDefault="00AB26A9" w:rsidP="00AB26A9">
      <w:pPr>
        <w:pStyle w:val="1"/>
        <w:numPr>
          <w:ilvl w:val="0"/>
          <w:numId w:val="2"/>
        </w:numPr>
        <w:spacing w:line="360" w:lineRule="auto"/>
        <w:jc w:val="both"/>
        <w:rPr>
          <w:rFonts w:ascii="Arial" w:eastAsia="Calibri" w:hAnsi="Arial" w:cs="David"/>
          <w:sz w:val="24"/>
          <w:szCs w:val="24"/>
        </w:rPr>
      </w:pPr>
      <w:r w:rsidRPr="00AB26A9">
        <w:rPr>
          <w:rFonts w:ascii="Arial" w:eastAsia="Calibri" w:hAnsi="Arial" w:cs="David" w:hint="cs"/>
          <w:sz w:val="24"/>
          <w:szCs w:val="24"/>
          <w:u w:val="single"/>
          <w:rtl/>
        </w:rPr>
        <w:t>המסלול הבסיסי</w:t>
      </w:r>
      <w:r w:rsidRPr="00AB26A9">
        <w:rPr>
          <w:rFonts w:ascii="Arial" w:eastAsia="Calibri" w:hAnsi="Arial" w:cs="David" w:hint="cs"/>
          <w:sz w:val="24"/>
          <w:szCs w:val="24"/>
          <w:rtl/>
        </w:rPr>
        <w:t xml:space="preserve"> </w:t>
      </w:r>
      <w:r w:rsidRPr="00AB26A9">
        <w:rPr>
          <w:rFonts w:ascii="Arial" w:eastAsia="Calibri" w:hAnsi="Arial" w:cs="David"/>
          <w:sz w:val="24"/>
          <w:szCs w:val="24"/>
          <w:rtl/>
        </w:rPr>
        <w:t>–</w:t>
      </w:r>
      <w:r w:rsidRPr="00AB26A9">
        <w:rPr>
          <w:rFonts w:ascii="Arial" w:eastAsia="Calibri" w:hAnsi="Arial" w:cs="David" w:hint="cs"/>
          <w:sz w:val="24"/>
          <w:szCs w:val="24"/>
          <w:rtl/>
        </w:rPr>
        <w:t xml:space="preserve"> יכלול מספר שירותי פעולת פקיד ומספר שירותי פעולה בערוץ ישיר, וישקף את פעילותו של לקוח שפרופיל פעילותו ממוצע.</w:t>
      </w:r>
    </w:p>
    <w:p w:rsidR="00AB26A9" w:rsidRPr="00AB26A9" w:rsidRDefault="00AB26A9" w:rsidP="00AB26A9">
      <w:pPr>
        <w:pStyle w:val="1"/>
        <w:spacing w:line="360" w:lineRule="auto"/>
        <w:ind w:left="389"/>
        <w:jc w:val="both"/>
        <w:rPr>
          <w:rFonts w:ascii="Arial" w:eastAsia="Calibri" w:hAnsi="Arial" w:cs="David"/>
          <w:sz w:val="24"/>
          <w:szCs w:val="24"/>
        </w:rPr>
      </w:pPr>
    </w:p>
    <w:p w:rsidR="00AB26A9" w:rsidRDefault="00AB26A9" w:rsidP="00AB26A9">
      <w:pPr>
        <w:pStyle w:val="1"/>
        <w:numPr>
          <w:ilvl w:val="0"/>
          <w:numId w:val="2"/>
        </w:numPr>
        <w:spacing w:line="360" w:lineRule="auto"/>
        <w:jc w:val="both"/>
        <w:rPr>
          <w:rFonts w:ascii="Arial" w:eastAsia="Calibri" w:hAnsi="Arial" w:cs="David"/>
          <w:sz w:val="24"/>
          <w:szCs w:val="24"/>
        </w:rPr>
      </w:pPr>
      <w:r w:rsidRPr="00AB26A9">
        <w:rPr>
          <w:rFonts w:ascii="Arial" w:eastAsia="Calibri" w:hAnsi="Arial" w:cs="David" w:hint="cs"/>
          <w:sz w:val="24"/>
          <w:szCs w:val="24"/>
          <w:u w:val="single"/>
          <w:rtl/>
        </w:rPr>
        <w:t>המסלול המורחב</w:t>
      </w:r>
      <w:r w:rsidRPr="00AB26A9">
        <w:rPr>
          <w:rFonts w:ascii="Arial" w:eastAsia="Calibri" w:hAnsi="Arial" w:cs="David" w:hint="cs"/>
          <w:sz w:val="24"/>
          <w:szCs w:val="24"/>
          <w:rtl/>
        </w:rPr>
        <w:t xml:space="preserve"> </w:t>
      </w:r>
      <w:r w:rsidRPr="00AB26A9">
        <w:rPr>
          <w:rFonts w:ascii="Arial" w:eastAsia="Calibri" w:hAnsi="Arial" w:cs="David"/>
          <w:sz w:val="24"/>
          <w:szCs w:val="24"/>
          <w:rtl/>
        </w:rPr>
        <w:t>–</w:t>
      </w:r>
      <w:r w:rsidRPr="00AB26A9">
        <w:rPr>
          <w:rFonts w:ascii="Arial" w:eastAsia="Calibri" w:hAnsi="Arial" w:cs="David" w:hint="cs"/>
          <w:sz w:val="24"/>
          <w:szCs w:val="24"/>
          <w:rtl/>
        </w:rPr>
        <w:t xml:space="preserve"> יכלול שירותים מסוג פעולת פקיד ופעולה בערוץ ישיר, ללא הגבלה. מסלול זה מיועד בעיקר ללקוחות שצורכים שירותים אלו מעל הממוצע.</w:t>
      </w:r>
    </w:p>
    <w:p w:rsidR="00AB26A9" w:rsidRDefault="00AB26A9" w:rsidP="00AB26A9">
      <w:pPr>
        <w:pStyle w:val="a5"/>
        <w:rPr>
          <w:rFonts w:ascii="Arial" w:eastAsia="Calibri" w:hAnsi="Arial" w:cs="David"/>
          <w:sz w:val="24"/>
          <w:szCs w:val="24"/>
          <w:rtl/>
        </w:rPr>
      </w:pPr>
    </w:p>
    <w:p w:rsidR="00AB26A9" w:rsidRPr="00AB26A9" w:rsidRDefault="00AB26A9" w:rsidP="00AB26A9">
      <w:pPr>
        <w:pStyle w:val="1"/>
        <w:spacing w:line="360" w:lineRule="auto"/>
        <w:ind w:left="389"/>
        <w:jc w:val="both"/>
        <w:rPr>
          <w:rFonts w:ascii="Arial" w:eastAsia="Calibri" w:hAnsi="Arial" w:cs="David"/>
          <w:sz w:val="24"/>
          <w:szCs w:val="24"/>
          <w:rtl/>
        </w:rPr>
      </w:pPr>
    </w:p>
    <w:p w:rsidR="00AB26A9" w:rsidRDefault="00AB26A9" w:rsidP="00AB26A9">
      <w:pPr>
        <w:pStyle w:val="1"/>
        <w:numPr>
          <w:ilvl w:val="0"/>
          <w:numId w:val="2"/>
        </w:numPr>
        <w:spacing w:line="360" w:lineRule="auto"/>
        <w:jc w:val="both"/>
        <w:rPr>
          <w:rFonts w:ascii="Arial" w:eastAsia="Calibri" w:hAnsi="Arial" w:cs="David"/>
          <w:sz w:val="24"/>
          <w:szCs w:val="24"/>
        </w:rPr>
      </w:pPr>
      <w:r w:rsidRPr="00D84231">
        <w:rPr>
          <w:rFonts w:ascii="Arial" w:eastAsia="Calibri" w:hAnsi="Arial" w:cs="David" w:hint="cs"/>
          <w:sz w:val="24"/>
          <w:szCs w:val="24"/>
          <w:u w:val="single"/>
          <w:rtl/>
        </w:rPr>
        <w:t xml:space="preserve">מסלול </w:t>
      </w:r>
      <w:r>
        <w:rPr>
          <w:rFonts w:ascii="Arial" w:eastAsia="Calibri" w:hAnsi="Arial" w:cs="David" w:hint="cs"/>
          <w:sz w:val="24"/>
          <w:szCs w:val="24"/>
          <w:u w:val="single"/>
          <w:rtl/>
        </w:rPr>
        <w:t>חופשי (</w:t>
      </w:r>
      <w:r w:rsidRPr="00D84231">
        <w:rPr>
          <w:rFonts w:ascii="Arial" w:eastAsia="Calibri" w:hAnsi="Arial" w:cs="David" w:hint="cs"/>
          <w:sz w:val="24"/>
          <w:szCs w:val="24"/>
          <w:u w:val="single"/>
          <w:rtl/>
        </w:rPr>
        <w:t>מורחב פלוס</w:t>
      </w:r>
      <w:r>
        <w:rPr>
          <w:rFonts w:ascii="Arial" w:eastAsia="Calibri" w:hAnsi="Arial" w:cs="David" w:hint="cs"/>
          <w:sz w:val="24"/>
          <w:szCs w:val="24"/>
          <w:u w:val="single"/>
          <w:rtl/>
        </w:rPr>
        <w:t>)</w:t>
      </w:r>
      <w:r w:rsidRPr="00D84231">
        <w:rPr>
          <w:rFonts w:ascii="Arial" w:eastAsia="Calibri" w:hAnsi="Arial" w:cs="David" w:hint="cs"/>
          <w:sz w:val="24"/>
          <w:szCs w:val="24"/>
          <w:rtl/>
        </w:rPr>
        <w:t xml:space="preserve"> </w:t>
      </w:r>
      <w:r w:rsidRPr="00D84231">
        <w:rPr>
          <w:rFonts w:ascii="Arial" w:eastAsia="Calibri" w:hAnsi="Arial" w:cs="David"/>
          <w:sz w:val="24"/>
          <w:szCs w:val="24"/>
          <w:rtl/>
        </w:rPr>
        <w:t>–</w:t>
      </w:r>
      <w:r w:rsidRPr="00D84231">
        <w:rPr>
          <w:rFonts w:ascii="Arial" w:eastAsia="Calibri" w:hAnsi="Arial" w:cs="David" w:hint="cs"/>
          <w:sz w:val="24"/>
          <w:szCs w:val="24"/>
          <w:rtl/>
        </w:rPr>
        <w:t xml:space="preserve"> מסלול הכולל בנוסף למסלול המורחב גם שירותים ייחודיים לכל בנק, בעלי ערך מוסף ללקוחותיו. במסגרת מסלול זה יוכל כל בנק להציע את אותם שירותים הייחודיים לו.</w:t>
      </w:r>
    </w:p>
    <w:p w:rsidR="00AB26A9" w:rsidRPr="00D84231" w:rsidRDefault="00AB26A9" w:rsidP="00AB26A9">
      <w:pPr>
        <w:pStyle w:val="1"/>
        <w:spacing w:line="360" w:lineRule="auto"/>
        <w:ind w:left="389"/>
        <w:jc w:val="both"/>
        <w:rPr>
          <w:rFonts w:ascii="Arial" w:eastAsia="Calibri" w:hAnsi="Arial" w:cs="David"/>
          <w:sz w:val="24"/>
          <w:szCs w:val="24"/>
          <w:rtl/>
        </w:rPr>
      </w:pPr>
    </w:p>
    <w:p w:rsidR="00AB26A9" w:rsidRPr="00D84231" w:rsidRDefault="00AB26A9" w:rsidP="00AB26A9">
      <w:pPr>
        <w:bidi/>
        <w:spacing w:line="360" w:lineRule="auto"/>
        <w:ind w:left="29"/>
        <w:jc w:val="both"/>
        <w:rPr>
          <w:rFonts w:ascii="Arial" w:eastAsia="Calibri" w:hAnsi="Arial" w:cs="David"/>
          <w:sz w:val="24"/>
          <w:szCs w:val="24"/>
          <w:rtl/>
          <w:lang w:eastAsia="en-US"/>
        </w:rPr>
      </w:pPr>
    </w:p>
    <w:p w:rsidR="00AB26A9" w:rsidRDefault="00AB26A9" w:rsidP="00AB26A9">
      <w:pPr>
        <w:bidi/>
        <w:spacing w:line="360" w:lineRule="auto"/>
        <w:ind w:left="29"/>
        <w:jc w:val="both"/>
        <w:rPr>
          <w:rFonts w:cs="David"/>
          <w:sz w:val="24"/>
          <w:szCs w:val="24"/>
          <w:rtl/>
          <w:lang w:eastAsia="en-US"/>
        </w:rPr>
      </w:pPr>
      <w:r w:rsidRPr="00D84231">
        <w:rPr>
          <w:rFonts w:ascii="Arial" w:eastAsia="Calibri" w:hAnsi="Arial" w:cs="David" w:hint="cs"/>
          <w:sz w:val="24"/>
          <w:szCs w:val="24"/>
          <w:rtl/>
          <w:lang w:eastAsia="en-US"/>
        </w:rPr>
        <w:t>הבנקים יחויבו להציע כמוצר מדף ללקוחותיהם את ה"מסלול הבסיסי" ואת ה"מסלול המורחב". התשלום עבור המסלול יתבצע על בסיס חודשי, ב</w:t>
      </w:r>
      <w:r>
        <w:rPr>
          <w:rFonts w:ascii="Arial" w:eastAsia="Calibri" w:hAnsi="Arial" w:cs="David" w:hint="cs"/>
          <w:sz w:val="24"/>
          <w:szCs w:val="24"/>
          <w:rtl/>
          <w:lang w:eastAsia="en-US"/>
        </w:rPr>
        <w:t xml:space="preserve">תחילת </w:t>
      </w:r>
      <w:r w:rsidRPr="00D84231">
        <w:rPr>
          <w:rFonts w:ascii="Arial" w:eastAsia="Calibri" w:hAnsi="Arial" w:cs="David" w:hint="cs"/>
          <w:sz w:val="24"/>
          <w:szCs w:val="24"/>
          <w:rtl/>
          <w:lang w:eastAsia="en-US"/>
        </w:rPr>
        <w:t>כל חודש, עבור החודש הקודם</w:t>
      </w:r>
      <w:r w:rsidRPr="00C36B66">
        <w:rPr>
          <w:rFonts w:ascii="Arial" w:eastAsia="Calibri" w:hAnsi="Arial" w:cs="David" w:hint="cs"/>
          <w:sz w:val="24"/>
          <w:szCs w:val="24"/>
          <w:rtl/>
          <w:lang w:eastAsia="en-US"/>
        </w:rPr>
        <w:t>. כמו כן, ייבחן מנגנון לקביעת מחיר מוזל בגין פעולות שיבוצעו בערוצים ישירים.</w:t>
      </w:r>
    </w:p>
    <w:p w:rsidR="00AB26A9" w:rsidRDefault="00AB26A9" w:rsidP="00AB26A9">
      <w:pPr>
        <w:bidi/>
        <w:spacing w:line="360" w:lineRule="auto"/>
        <w:ind w:left="29"/>
        <w:jc w:val="both"/>
        <w:rPr>
          <w:rFonts w:ascii="Arial" w:eastAsia="Calibri" w:hAnsi="Arial" w:cs="David"/>
          <w:sz w:val="24"/>
          <w:szCs w:val="24"/>
          <w:rtl/>
        </w:rPr>
      </w:pPr>
      <w:r>
        <w:rPr>
          <w:rFonts w:cs="David"/>
          <w:sz w:val="24"/>
          <w:szCs w:val="24"/>
          <w:rtl/>
          <w:lang w:eastAsia="en-US"/>
        </w:rPr>
        <w:br/>
      </w:r>
      <w:r w:rsidRPr="00D84231">
        <w:rPr>
          <w:rFonts w:cs="David" w:hint="cs"/>
          <w:sz w:val="24"/>
          <w:szCs w:val="24"/>
          <w:rtl/>
          <w:lang w:eastAsia="en-US"/>
        </w:rPr>
        <w:t>יש לציין כי המסלולים יתווספו לתעריפון הקיים בכל בנק ולא יחליפו את העמלות המצויות בו, כך ש</w:t>
      </w:r>
      <w:r>
        <w:rPr>
          <w:rFonts w:cs="David" w:hint="cs"/>
          <w:sz w:val="24"/>
          <w:szCs w:val="24"/>
          <w:rtl/>
          <w:lang w:eastAsia="en-US"/>
        </w:rPr>
        <w:t xml:space="preserve">תמחור השירותים עבור </w:t>
      </w:r>
      <w:r w:rsidRPr="00D84231">
        <w:rPr>
          <w:rFonts w:cs="David" w:hint="cs"/>
          <w:sz w:val="24"/>
          <w:szCs w:val="24"/>
          <w:rtl/>
          <w:lang w:eastAsia="en-US"/>
        </w:rPr>
        <w:t>לקוח שלא יהיה מעוניין להצטרף לאחד המסלולים, י</w:t>
      </w:r>
      <w:r>
        <w:rPr>
          <w:rFonts w:cs="David" w:hint="cs"/>
          <w:sz w:val="24"/>
          <w:szCs w:val="24"/>
          <w:rtl/>
          <w:lang w:eastAsia="en-US"/>
        </w:rPr>
        <w:t>ישאר לפי השיטה הקיימת היום (</w:t>
      </w:r>
      <w:r>
        <w:rPr>
          <w:rFonts w:cs="David"/>
          <w:sz w:val="24"/>
          <w:szCs w:val="24"/>
          <w:lang w:eastAsia="en-US"/>
        </w:rPr>
        <w:t>pay as you go</w:t>
      </w:r>
      <w:r>
        <w:rPr>
          <w:rFonts w:cs="David" w:hint="cs"/>
          <w:sz w:val="24"/>
          <w:szCs w:val="24"/>
          <w:rtl/>
          <w:lang w:eastAsia="en-US"/>
        </w:rPr>
        <w:t>)</w:t>
      </w:r>
      <w:r w:rsidRPr="00D84231">
        <w:rPr>
          <w:rFonts w:cs="David" w:hint="cs"/>
          <w:sz w:val="24"/>
          <w:szCs w:val="24"/>
          <w:rtl/>
          <w:lang w:eastAsia="en-US"/>
        </w:rPr>
        <w:t>. בכל מקרה, כל לקוח יוכל לעבור משיטת חיוב אחת לאחרת בכל עת שיבחר.</w:t>
      </w:r>
    </w:p>
    <w:p w:rsidR="00AB26A9" w:rsidRDefault="00AB26A9" w:rsidP="00AB26A9">
      <w:pPr>
        <w:bidi/>
        <w:spacing w:line="360" w:lineRule="auto"/>
        <w:ind w:left="29"/>
        <w:jc w:val="both"/>
        <w:rPr>
          <w:rFonts w:ascii="Arial" w:eastAsia="Calibri" w:hAnsi="Arial" w:cs="David"/>
          <w:b/>
          <w:bCs/>
          <w:sz w:val="24"/>
          <w:szCs w:val="24"/>
          <w:rtl/>
        </w:rPr>
      </w:pPr>
      <w:r>
        <w:rPr>
          <w:rFonts w:ascii="Arial" w:eastAsia="Calibri" w:hAnsi="Arial" w:cs="David"/>
          <w:sz w:val="24"/>
          <w:szCs w:val="24"/>
          <w:rtl/>
        </w:rPr>
        <w:br/>
      </w:r>
      <w:r w:rsidRPr="00D84231">
        <w:rPr>
          <w:rFonts w:ascii="Arial" w:eastAsia="Calibri" w:hAnsi="Arial" w:cs="David" w:hint="cs"/>
          <w:sz w:val="24"/>
          <w:szCs w:val="24"/>
          <w:rtl/>
        </w:rPr>
        <w:t xml:space="preserve">שיטת המסלולים </w:t>
      </w:r>
      <w:r w:rsidRPr="00D84231">
        <w:rPr>
          <w:rFonts w:ascii="Arial" w:eastAsia="Calibri" w:hAnsi="Arial" w:cs="David" w:hint="cs"/>
          <w:sz w:val="24"/>
          <w:szCs w:val="24"/>
          <w:rtl/>
          <w:lang w:eastAsia="en-US"/>
        </w:rPr>
        <w:t>תיצור מצב בו יוכלו לקוחות הבנקים לבחור בין מסלולים שונים בהתאם לדפוס צריכת הפעולות בחשבון העו"ש שלה</w:t>
      </w:r>
      <w:r w:rsidRPr="00D84231">
        <w:rPr>
          <w:rFonts w:ascii="Arial" w:eastAsia="Calibri" w:hAnsi="Arial" w:cs="David" w:hint="cs"/>
          <w:sz w:val="24"/>
          <w:szCs w:val="24"/>
          <w:rtl/>
        </w:rPr>
        <w:t xml:space="preserve">ם. </w:t>
      </w:r>
    </w:p>
    <w:p w:rsidR="00AB26A9" w:rsidRDefault="00AB26A9" w:rsidP="00AB26A9">
      <w:pPr>
        <w:bidi/>
        <w:spacing w:line="360" w:lineRule="auto"/>
        <w:ind w:left="29"/>
        <w:jc w:val="both"/>
        <w:rPr>
          <w:rFonts w:ascii="Arial" w:eastAsia="Calibri" w:hAnsi="Arial" w:cs="David"/>
          <w:sz w:val="24"/>
          <w:szCs w:val="24"/>
          <w:rtl/>
        </w:rPr>
      </w:pPr>
      <w:r>
        <w:rPr>
          <w:rFonts w:ascii="Arial" w:eastAsia="Calibri" w:hAnsi="Arial" w:cs="David"/>
          <w:b/>
          <w:bCs/>
          <w:sz w:val="24"/>
          <w:szCs w:val="24"/>
          <w:rtl/>
        </w:rPr>
        <w:br/>
      </w:r>
      <w:r w:rsidRPr="00D84231">
        <w:rPr>
          <w:rFonts w:ascii="Arial" w:eastAsia="Calibri" w:hAnsi="Arial" w:cs="David" w:hint="cs"/>
          <w:b/>
          <w:bCs/>
          <w:sz w:val="24"/>
          <w:szCs w:val="24"/>
          <w:rtl/>
        </w:rPr>
        <w:t>דוד זקן, המפקח על הבנקים,</w:t>
      </w:r>
      <w:r w:rsidRPr="00D84231">
        <w:rPr>
          <w:rFonts w:ascii="Arial" w:eastAsia="Calibri" w:hAnsi="Arial" w:cs="David" w:hint="cs"/>
          <w:sz w:val="24"/>
          <w:szCs w:val="24"/>
          <w:rtl/>
        </w:rPr>
        <w:t xml:space="preserve"> מציין: "מדובר בצעד שמטרתו לשפר את יכולת ההשוואה של לקוחות הבנקים, להגביר את שקיפות המחיר, ובסופו של יום לעודד את התחרות בתחום </w:t>
      </w:r>
      <w:r>
        <w:rPr>
          <w:rFonts w:ascii="Arial" w:eastAsia="Calibri" w:hAnsi="Arial" w:cs="David" w:hint="cs"/>
          <w:sz w:val="24"/>
          <w:szCs w:val="24"/>
          <w:rtl/>
        </w:rPr>
        <w:t>ניהול חשבון העו"ש</w:t>
      </w:r>
      <w:r w:rsidRPr="00D84231">
        <w:rPr>
          <w:rFonts w:ascii="Arial" w:eastAsia="Calibri" w:hAnsi="Arial" w:cs="David" w:hint="cs"/>
          <w:sz w:val="24"/>
          <w:szCs w:val="24"/>
          <w:rtl/>
        </w:rPr>
        <w:t xml:space="preserve">. </w:t>
      </w:r>
      <w:r>
        <w:rPr>
          <w:rFonts w:ascii="Arial" w:eastAsia="Calibri" w:hAnsi="Arial" w:cs="David" w:hint="cs"/>
          <w:sz w:val="24"/>
          <w:szCs w:val="24"/>
          <w:rtl/>
        </w:rPr>
        <w:t xml:space="preserve">צעד זה נוסף לשורה של צעדים שנגזרים מהמלצות הצוות לבחינת התחרותיות בענף הבנקאות, וביניהם צעדים להגברת יכולת ההעברה של חשבון העו"ש מבנק לבנק. </w:t>
      </w:r>
      <w:r w:rsidRPr="00D84231">
        <w:rPr>
          <w:rFonts w:ascii="Arial" w:eastAsia="Calibri" w:hAnsi="Arial" w:cs="David" w:hint="cs"/>
          <w:sz w:val="24"/>
          <w:szCs w:val="24"/>
          <w:rtl/>
        </w:rPr>
        <w:t>עצם העובדה שהפיקוח על הבנקים יקבע את רשימת המסלולים אותם יציעו הבנקים ללקוחותיהם, כאשר רשימת השירותים/פעולות בכל מסלול, או מאפייני כל מסלול, יהיו אחידים, תביא את הבנקים להתחרות ביניהם על עלותו של כל מסלול".</w:t>
      </w:r>
    </w:p>
    <w:p w:rsidR="00AB26A9" w:rsidRPr="00AB26A9" w:rsidRDefault="00AB26A9" w:rsidP="00AB26A9">
      <w:pPr>
        <w:bidi/>
        <w:spacing w:line="360" w:lineRule="auto"/>
        <w:ind w:left="29"/>
        <w:jc w:val="both"/>
        <w:rPr>
          <w:rFonts w:ascii="Arial" w:eastAsia="Calibri" w:hAnsi="Arial" w:cs="David"/>
          <w:sz w:val="24"/>
          <w:szCs w:val="24"/>
          <w:rtl/>
        </w:rPr>
      </w:pPr>
      <w:r>
        <w:rPr>
          <w:rFonts w:ascii="Arial" w:eastAsia="Calibri" w:hAnsi="Arial" w:cs="David"/>
          <w:b/>
          <w:bCs/>
          <w:sz w:val="24"/>
          <w:szCs w:val="24"/>
          <w:rtl/>
        </w:rPr>
        <w:br/>
      </w:r>
      <w:r w:rsidRPr="00D84231">
        <w:rPr>
          <w:rFonts w:ascii="Arial" w:eastAsia="Calibri" w:hAnsi="Arial" w:cs="David" w:hint="cs"/>
          <w:sz w:val="24"/>
          <w:szCs w:val="24"/>
          <w:u w:val="single"/>
          <w:rtl/>
          <w:lang w:eastAsia="en-US"/>
        </w:rPr>
        <w:t xml:space="preserve">נספח א' </w:t>
      </w:r>
      <w:r w:rsidRPr="00D84231">
        <w:rPr>
          <w:rFonts w:ascii="Arial" w:eastAsia="Calibri" w:hAnsi="Arial" w:cs="David"/>
          <w:sz w:val="24"/>
          <w:szCs w:val="24"/>
          <w:u w:val="single"/>
          <w:rtl/>
          <w:lang w:eastAsia="en-US"/>
        </w:rPr>
        <w:t>–</w:t>
      </w:r>
      <w:r w:rsidRPr="00D84231">
        <w:rPr>
          <w:rFonts w:ascii="Arial" w:eastAsia="Calibri" w:hAnsi="Arial" w:cs="David" w:hint="cs"/>
          <w:sz w:val="24"/>
          <w:szCs w:val="24"/>
          <w:u w:val="single"/>
          <w:rtl/>
          <w:lang w:eastAsia="en-US"/>
        </w:rPr>
        <w:t xml:space="preserve"> שירותים נפוצים בחשבון "עובר ושב" שיכללו בשיטת המסלולים</w:t>
      </w:r>
    </w:p>
    <w:p w:rsidR="00AB26A9" w:rsidRPr="00D84231" w:rsidRDefault="00AB26A9" w:rsidP="00AB26A9">
      <w:pPr>
        <w:bidi/>
        <w:spacing w:line="360" w:lineRule="auto"/>
        <w:ind w:left="29"/>
        <w:jc w:val="both"/>
        <w:rPr>
          <w:rFonts w:ascii="Arial" w:eastAsia="Calibri" w:hAnsi="Arial" w:cs="David"/>
          <w:sz w:val="24"/>
          <w:szCs w:val="24"/>
          <w:rtl/>
        </w:rPr>
      </w:pPr>
      <w:r>
        <w:rPr>
          <w:rFonts w:ascii="Arial" w:eastAsia="Calibri" w:hAnsi="Arial" w:cs="David"/>
          <w:b/>
          <w:bCs/>
          <w:sz w:val="24"/>
          <w:szCs w:val="24"/>
          <w:rtl/>
          <w:lang w:eastAsia="en-US"/>
        </w:rPr>
        <w:br/>
      </w:r>
      <w:r w:rsidRPr="00D84231">
        <w:rPr>
          <w:rFonts w:ascii="Arial" w:eastAsia="Calibri" w:hAnsi="Arial" w:cs="David" w:hint="cs"/>
          <w:b/>
          <w:bCs/>
          <w:sz w:val="24"/>
          <w:szCs w:val="24"/>
          <w:rtl/>
          <w:lang w:eastAsia="en-US"/>
        </w:rPr>
        <w:t xml:space="preserve">פעולה על ידי פקיד </w:t>
      </w:r>
      <w:r w:rsidRPr="00D84231">
        <w:rPr>
          <w:rFonts w:ascii="Arial" w:eastAsia="Calibri" w:hAnsi="Arial" w:cs="David"/>
          <w:b/>
          <w:bCs/>
          <w:sz w:val="24"/>
          <w:szCs w:val="24"/>
          <w:rtl/>
          <w:lang w:eastAsia="en-US"/>
        </w:rPr>
        <w:t>–</w:t>
      </w:r>
      <w:r w:rsidRPr="00D84231">
        <w:rPr>
          <w:rFonts w:ascii="Arial" w:eastAsia="Calibri" w:hAnsi="Arial" w:cs="David" w:hint="cs"/>
          <w:b/>
          <w:bCs/>
          <w:sz w:val="24"/>
          <w:szCs w:val="24"/>
          <w:rtl/>
          <w:lang w:eastAsia="en-US"/>
        </w:rPr>
        <w:t xml:space="preserve"> </w:t>
      </w:r>
      <w:r w:rsidRPr="00D84231">
        <w:rPr>
          <w:rFonts w:ascii="Arial" w:eastAsia="Calibri" w:hAnsi="Arial" w:cs="David" w:hint="cs"/>
          <w:sz w:val="24"/>
          <w:szCs w:val="24"/>
          <w:rtl/>
        </w:rPr>
        <w:t>פעולות הנעשות באמצעות פקיד בנק, לרבות באמצעות מוקד טלפוני מאויש.</w:t>
      </w:r>
    </w:p>
    <w:p w:rsidR="00AB26A9" w:rsidRPr="00D84231" w:rsidRDefault="00AB26A9" w:rsidP="00AB26A9">
      <w:pPr>
        <w:pStyle w:val="1"/>
        <w:numPr>
          <w:ilvl w:val="0"/>
          <w:numId w:val="1"/>
        </w:numPr>
        <w:spacing w:line="360" w:lineRule="auto"/>
        <w:jc w:val="both"/>
        <w:rPr>
          <w:rFonts w:ascii="Arial" w:eastAsia="Calibri" w:hAnsi="Arial" w:cs="David"/>
          <w:sz w:val="24"/>
          <w:szCs w:val="24"/>
        </w:rPr>
      </w:pPr>
      <w:r w:rsidRPr="00D84231">
        <w:rPr>
          <w:rFonts w:ascii="Arial" w:eastAsia="Calibri" w:hAnsi="Arial" w:cs="David" w:hint="cs"/>
          <w:sz w:val="24"/>
          <w:szCs w:val="24"/>
          <w:rtl/>
        </w:rPr>
        <w:t>הפקדת מזומן</w:t>
      </w:r>
    </w:p>
    <w:p w:rsidR="00AB26A9" w:rsidRPr="00D84231" w:rsidRDefault="00AB26A9" w:rsidP="00AB26A9">
      <w:pPr>
        <w:pStyle w:val="1"/>
        <w:numPr>
          <w:ilvl w:val="0"/>
          <w:numId w:val="1"/>
        </w:numPr>
        <w:spacing w:line="360" w:lineRule="auto"/>
        <w:jc w:val="both"/>
        <w:rPr>
          <w:rFonts w:ascii="Arial" w:eastAsia="Calibri" w:hAnsi="Arial" w:cs="David"/>
          <w:sz w:val="24"/>
          <w:szCs w:val="24"/>
        </w:rPr>
      </w:pPr>
      <w:r w:rsidRPr="00D84231">
        <w:rPr>
          <w:rFonts w:ascii="Arial" w:eastAsia="Calibri" w:hAnsi="Arial" w:cs="David" w:hint="cs"/>
          <w:sz w:val="24"/>
          <w:szCs w:val="24"/>
          <w:rtl/>
        </w:rPr>
        <w:t>משיכת מזומן</w:t>
      </w:r>
    </w:p>
    <w:p w:rsidR="00AB26A9" w:rsidRPr="00D84231" w:rsidRDefault="00AB26A9" w:rsidP="00AB26A9">
      <w:pPr>
        <w:pStyle w:val="1"/>
        <w:numPr>
          <w:ilvl w:val="0"/>
          <w:numId w:val="1"/>
        </w:numPr>
        <w:spacing w:line="360" w:lineRule="auto"/>
        <w:jc w:val="both"/>
        <w:rPr>
          <w:rFonts w:ascii="Arial" w:eastAsia="Calibri" w:hAnsi="Arial" w:cs="David"/>
          <w:sz w:val="24"/>
          <w:szCs w:val="24"/>
        </w:rPr>
      </w:pPr>
      <w:r w:rsidRPr="00D84231">
        <w:rPr>
          <w:rFonts w:ascii="Arial" w:eastAsia="Calibri" w:hAnsi="Arial" w:cs="David" w:hint="cs"/>
          <w:sz w:val="24"/>
          <w:szCs w:val="24"/>
          <w:rtl/>
        </w:rPr>
        <w:t>הפקה ומסירת תדפיס לבקשת לקוח</w:t>
      </w:r>
    </w:p>
    <w:p w:rsidR="00AB26A9" w:rsidRPr="00D84231" w:rsidRDefault="00AB26A9" w:rsidP="00AB26A9">
      <w:pPr>
        <w:pStyle w:val="1"/>
        <w:numPr>
          <w:ilvl w:val="0"/>
          <w:numId w:val="1"/>
        </w:numPr>
        <w:spacing w:line="360" w:lineRule="auto"/>
        <w:jc w:val="both"/>
        <w:rPr>
          <w:rFonts w:ascii="Arial" w:eastAsia="Calibri" w:hAnsi="Arial" w:cs="David"/>
          <w:sz w:val="24"/>
          <w:szCs w:val="24"/>
        </w:rPr>
      </w:pPr>
      <w:r w:rsidRPr="00D84231">
        <w:rPr>
          <w:rFonts w:ascii="Arial" w:eastAsia="Calibri" w:hAnsi="Arial" w:cs="David" w:hint="cs"/>
          <w:sz w:val="24"/>
          <w:szCs w:val="24"/>
          <w:rtl/>
        </w:rPr>
        <w:t>העברה או הפקדה לחשבון אחר</w:t>
      </w:r>
    </w:p>
    <w:p w:rsidR="00AB26A9" w:rsidRPr="00D84231" w:rsidRDefault="00AB26A9" w:rsidP="00AB26A9">
      <w:pPr>
        <w:pStyle w:val="1"/>
        <w:numPr>
          <w:ilvl w:val="0"/>
          <w:numId w:val="1"/>
        </w:numPr>
        <w:spacing w:line="360" w:lineRule="auto"/>
        <w:jc w:val="both"/>
        <w:rPr>
          <w:rFonts w:ascii="Arial" w:eastAsia="Calibri" w:hAnsi="Arial" w:cs="David"/>
          <w:sz w:val="24"/>
          <w:szCs w:val="24"/>
        </w:rPr>
      </w:pPr>
      <w:r w:rsidRPr="00D84231">
        <w:rPr>
          <w:rFonts w:ascii="Arial" w:eastAsia="Calibri" w:hAnsi="Arial" w:cs="David" w:hint="cs"/>
          <w:sz w:val="24"/>
          <w:szCs w:val="24"/>
          <w:rtl/>
        </w:rPr>
        <w:t>פדיון שיק (כולל משיכה בשיק עצמי</w:t>
      </w:r>
      <w:r>
        <w:rPr>
          <w:rFonts w:ascii="Arial" w:eastAsia="Calibri" w:hAnsi="Arial" w:cs="David" w:hint="cs"/>
          <w:sz w:val="24"/>
          <w:szCs w:val="24"/>
          <w:rtl/>
        </w:rPr>
        <w:t>)</w:t>
      </w:r>
    </w:p>
    <w:p w:rsidR="00AB26A9" w:rsidRPr="00D84231" w:rsidRDefault="00AB26A9" w:rsidP="00AB26A9">
      <w:pPr>
        <w:pStyle w:val="1"/>
        <w:numPr>
          <w:ilvl w:val="0"/>
          <w:numId w:val="1"/>
        </w:numPr>
        <w:spacing w:line="360" w:lineRule="auto"/>
        <w:jc w:val="both"/>
        <w:rPr>
          <w:rFonts w:ascii="Arial" w:eastAsia="Calibri" w:hAnsi="Arial" w:cs="David"/>
          <w:sz w:val="24"/>
          <w:szCs w:val="24"/>
        </w:rPr>
      </w:pPr>
      <w:r w:rsidRPr="00D84231">
        <w:rPr>
          <w:rFonts w:ascii="Arial" w:eastAsia="Calibri" w:hAnsi="Arial" w:cs="David" w:hint="cs"/>
          <w:sz w:val="24"/>
          <w:szCs w:val="24"/>
          <w:rtl/>
        </w:rPr>
        <w:t xml:space="preserve">הפקדת שיק (לכל קבוצת שיקים </w:t>
      </w:r>
      <w:r w:rsidRPr="00D84231">
        <w:rPr>
          <w:rFonts w:ascii="Arial" w:eastAsia="Calibri" w:hAnsi="Arial" w:cs="David"/>
          <w:sz w:val="24"/>
          <w:szCs w:val="24"/>
          <w:rtl/>
        </w:rPr>
        <w:t>–</w:t>
      </w:r>
      <w:r w:rsidRPr="00D84231">
        <w:rPr>
          <w:rFonts w:ascii="Arial" w:eastAsia="Calibri" w:hAnsi="Arial" w:cs="David" w:hint="cs"/>
          <w:sz w:val="24"/>
          <w:szCs w:val="24"/>
          <w:rtl/>
        </w:rPr>
        <w:t xml:space="preserve"> עד 20 שיקים)</w:t>
      </w:r>
    </w:p>
    <w:p w:rsidR="00AB26A9" w:rsidRPr="00D84231" w:rsidRDefault="00AB26A9" w:rsidP="00AB26A9">
      <w:pPr>
        <w:pStyle w:val="1"/>
        <w:numPr>
          <w:ilvl w:val="0"/>
          <w:numId w:val="1"/>
        </w:numPr>
        <w:spacing w:line="360" w:lineRule="auto"/>
        <w:jc w:val="both"/>
        <w:rPr>
          <w:rFonts w:ascii="Arial" w:eastAsia="Calibri" w:hAnsi="Arial" w:cs="David"/>
          <w:sz w:val="24"/>
          <w:szCs w:val="24"/>
        </w:rPr>
      </w:pPr>
      <w:r w:rsidRPr="00D84231">
        <w:rPr>
          <w:rFonts w:ascii="Arial" w:eastAsia="Calibri" w:hAnsi="Arial" w:cs="David" w:hint="cs"/>
          <w:sz w:val="24"/>
          <w:szCs w:val="24"/>
          <w:rtl/>
        </w:rPr>
        <w:t>תשלום שובר</w:t>
      </w:r>
    </w:p>
    <w:p w:rsidR="00AB26A9" w:rsidRPr="00D84231" w:rsidRDefault="00AB26A9" w:rsidP="00AB26A9">
      <w:pPr>
        <w:pStyle w:val="1"/>
        <w:numPr>
          <w:ilvl w:val="0"/>
          <w:numId w:val="1"/>
        </w:numPr>
        <w:spacing w:line="360" w:lineRule="auto"/>
        <w:jc w:val="both"/>
        <w:rPr>
          <w:rFonts w:ascii="Arial" w:eastAsia="Calibri" w:hAnsi="Arial" w:cs="David"/>
          <w:sz w:val="24"/>
          <w:szCs w:val="24"/>
          <w:rtl/>
        </w:rPr>
      </w:pPr>
      <w:r w:rsidRPr="00D84231">
        <w:rPr>
          <w:rFonts w:ascii="Arial" w:eastAsia="Calibri" w:hAnsi="Arial" w:cs="David" w:hint="cs"/>
          <w:sz w:val="24"/>
          <w:szCs w:val="24"/>
          <w:rtl/>
        </w:rPr>
        <w:t>פריטת מזומן</w:t>
      </w:r>
    </w:p>
    <w:p w:rsidR="00AB26A9" w:rsidRPr="00D84231" w:rsidRDefault="00AB26A9" w:rsidP="00AB26A9">
      <w:pPr>
        <w:bidi/>
        <w:spacing w:line="360" w:lineRule="auto"/>
        <w:jc w:val="both"/>
        <w:rPr>
          <w:rFonts w:cs="David"/>
          <w:sz w:val="24"/>
          <w:szCs w:val="24"/>
          <w:rtl/>
        </w:rPr>
      </w:pPr>
      <w:r>
        <w:rPr>
          <w:rFonts w:cs="David"/>
          <w:b/>
          <w:bCs/>
          <w:sz w:val="24"/>
          <w:szCs w:val="24"/>
          <w:rtl/>
        </w:rPr>
        <w:br/>
      </w:r>
      <w:r w:rsidRPr="00D84231">
        <w:rPr>
          <w:rFonts w:cs="David" w:hint="cs"/>
          <w:b/>
          <w:bCs/>
          <w:sz w:val="24"/>
          <w:szCs w:val="24"/>
          <w:rtl/>
        </w:rPr>
        <w:t xml:space="preserve">פעולה בערוץ ישיר </w:t>
      </w:r>
      <w:r w:rsidRPr="00D84231">
        <w:rPr>
          <w:rFonts w:cs="David"/>
          <w:b/>
          <w:bCs/>
          <w:sz w:val="24"/>
          <w:szCs w:val="24"/>
          <w:rtl/>
        </w:rPr>
        <w:t>–</w:t>
      </w:r>
      <w:r w:rsidRPr="00D84231">
        <w:rPr>
          <w:rFonts w:cs="David" w:hint="cs"/>
          <w:b/>
          <w:bCs/>
          <w:sz w:val="24"/>
          <w:szCs w:val="24"/>
          <w:rtl/>
        </w:rPr>
        <w:t xml:space="preserve"> </w:t>
      </w:r>
      <w:r w:rsidRPr="00D84231">
        <w:rPr>
          <w:rFonts w:cs="David" w:hint="cs"/>
          <w:sz w:val="24"/>
          <w:szCs w:val="24"/>
          <w:rtl/>
        </w:rPr>
        <w:t>פעולות עו"ש שאינן מבוצעות על ידי גורם אנושי.</w:t>
      </w:r>
    </w:p>
    <w:p w:rsidR="00AB26A9" w:rsidRPr="00D84231" w:rsidRDefault="00AB26A9" w:rsidP="00AB26A9">
      <w:pPr>
        <w:pStyle w:val="1"/>
        <w:numPr>
          <w:ilvl w:val="0"/>
          <w:numId w:val="1"/>
        </w:numPr>
        <w:spacing w:line="360" w:lineRule="auto"/>
        <w:jc w:val="both"/>
        <w:rPr>
          <w:rFonts w:cs="David"/>
          <w:sz w:val="24"/>
          <w:szCs w:val="24"/>
        </w:rPr>
      </w:pPr>
      <w:r w:rsidRPr="00D84231">
        <w:rPr>
          <w:rFonts w:cs="David" w:hint="cs"/>
          <w:sz w:val="24"/>
          <w:szCs w:val="24"/>
          <w:rtl/>
        </w:rPr>
        <w:t>זיכוי חשבון באמצעות מסלקה</w:t>
      </w:r>
    </w:p>
    <w:p w:rsidR="00AB26A9" w:rsidRPr="00D84231" w:rsidRDefault="00AB26A9" w:rsidP="00AB26A9">
      <w:pPr>
        <w:pStyle w:val="1"/>
        <w:numPr>
          <w:ilvl w:val="0"/>
          <w:numId w:val="1"/>
        </w:numPr>
        <w:spacing w:line="360" w:lineRule="auto"/>
        <w:jc w:val="both"/>
        <w:rPr>
          <w:rFonts w:cs="David"/>
          <w:sz w:val="24"/>
          <w:szCs w:val="24"/>
        </w:rPr>
      </w:pPr>
      <w:r w:rsidRPr="00D84231">
        <w:rPr>
          <w:rFonts w:cs="David" w:hint="cs"/>
          <w:sz w:val="24"/>
          <w:szCs w:val="24"/>
          <w:rtl/>
        </w:rPr>
        <w:t>חיוב בכרטיס אשראי</w:t>
      </w:r>
    </w:p>
    <w:p w:rsidR="00AB26A9" w:rsidRPr="00D84231" w:rsidRDefault="00AB26A9" w:rsidP="00AB26A9">
      <w:pPr>
        <w:pStyle w:val="1"/>
        <w:numPr>
          <w:ilvl w:val="0"/>
          <w:numId w:val="1"/>
        </w:numPr>
        <w:spacing w:line="360" w:lineRule="auto"/>
        <w:jc w:val="both"/>
        <w:rPr>
          <w:rFonts w:cs="David"/>
          <w:sz w:val="24"/>
          <w:szCs w:val="24"/>
        </w:rPr>
      </w:pPr>
      <w:r w:rsidRPr="00D84231">
        <w:rPr>
          <w:rFonts w:cs="David" w:hint="cs"/>
          <w:sz w:val="24"/>
          <w:szCs w:val="24"/>
          <w:rtl/>
        </w:rPr>
        <w:t>הפקדת מזומן</w:t>
      </w:r>
    </w:p>
    <w:p w:rsidR="00AB26A9" w:rsidRPr="00D84231" w:rsidRDefault="00AB26A9" w:rsidP="00AB26A9">
      <w:pPr>
        <w:pStyle w:val="1"/>
        <w:numPr>
          <w:ilvl w:val="0"/>
          <w:numId w:val="1"/>
        </w:numPr>
        <w:spacing w:line="360" w:lineRule="auto"/>
        <w:jc w:val="both"/>
        <w:rPr>
          <w:rFonts w:cs="David"/>
          <w:sz w:val="24"/>
          <w:szCs w:val="24"/>
        </w:rPr>
      </w:pPr>
      <w:r w:rsidRPr="00D84231">
        <w:rPr>
          <w:rFonts w:cs="David" w:hint="cs"/>
          <w:sz w:val="24"/>
          <w:szCs w:val="24"/>
          <w:rtl/>
        </w:rPr>
        <w:t>משיכת מזומן במכשיר אוטומטי</w:t>
      </w:r>
    </w:p>
    <w:p w:rsidR="00AB26A9" w:rsidRPr="00D84231" w:rsidRDefault="00AB26A9" w:rsidP="00AB26A9">
      <w:pPr>
        <w:pStyle w:val="1"/>
        <w:numPr>
          <w:ilvl w:val="0"/>
          <w:numId w:val="1"/>
        </w:numPr>
        <w:spacing w:line="360" w:lineRule="auto"/>
        <w:jc w:val="both"/>
        <w:rPr>
          <w:rFonts w:cs="David"/>
          <w:sz w:val="24"/>
          <w:szCs w:val="24"/>
        </w:rPr>
      </w:pPr>
      <w:r w:rsidRPr="00D84231">
        <w:rPr>
          <w:rFonts w:cs="David" w:hint="cs"/>
          <w:sz w:val="24"/>
          <w:szCs w:val="24"/>
          <w:rtl/>
        </w:rPr>
        <w:t>העברה או הפקדה לחשבון אחר</w:t>
      </w:r>
    </w:p>
    <w:p w:rsidR="00AB26A9" w:rsidRPr="00D84231" w:rsidRDefault="00AB26A9" w:rsidP="00AB26A9">
      <w:pPr>
        <w:pStyle w:val="1"/>
        <w:numPr>
          <w:ilvl w:val="0"/>
          <w:numId w:val="1"/>
        </w:numPr>
        <w:spacing w:line="360" w:lineRule="auto"/>
        <w:jc w:val="both"/>
        <w:rPr>
          <w:rFonts w:cs="David"/>
          <w:sz w:val="24"/>
          <w:szCs w:val="24"/>
        </w:rPr>
      </w:pPr>
      <w:r w:rsidRPr="00D84231">
        <w:rPr>
          <w:rFonts w:cs="David" w:hint="cs"/>
          <w:sz w:val="24"/>
          <w:szCs w:val="24"/>
          <w:rtl/>
        </w:rPr>
        <w:t>תשלום שובר</w:t>
      </w:r>
    </w:p>
    <w:p w:rsidR="00AB26A9" w:rsidRPr="00D84231" w:rsidRDefault="00AB26A9" w:rsidP="00AB26A9">
      <w:pPr>
        <w:pStyle w:val="1"/>
        <w:numPr>
          <w:ilvl w:val="0"/>
          <w:numId w:val="1"/>
        </w:numPr>
        <w:spacing w:line="360" w:lineRule="auto"/>
        <w:jc w:val="both"/>
        <w:rPr>
          <w:rFonts w:cs="David"/>
          <w:sz w:val="24"/>
          <w:szCs w:val="24"/>
        </w:rPr>
      </w:pPr>
      <w:r w:rsidRPr="00D84231">
        <w:rPr>
          <w:rFonts w:cs="David" w:hint="cs"/>
          <w:sz w:val="24"/>
          <w:szCs w:val="24"/>
          <w:rtl/>
        </w:rPr>
        <w:t>שאילתת מידע בכל נושא (החל מהשאילתה השביעית בחודש)</w:t>
      </w:r>
    </w:p>
    <w:p w:rsidR="00AB26A9" w:rsidRPr="00D84231" w:rsidRDefault="00AB26A9" w:rsidP="00AB26A9">
      <w:pPr>
        <w:pStyle w:val="1"/>
        <w:numPr>
          <w:ilvl w:val="0"/>
          <w:numId w:val="1"/>
        </w:numPr>
        <w:spacing w:line="360" w:lineRule="auto"/>
        <w:jc w:val="both"/>
        <w:rPr>
          <w:rFonts w:cs="David"/>
          <w:sz w:val="24"/>
          <w:szCs w:val="24"/>
        </w:rPr>
      </w:pPr>
      <w:r w:rsidRPr="00D84231">
        <w:rPr>
          <w:rFonts w:cs="David" w:hint="cs"/>
          <w:sz w:val="24"/>
          <w:szCs w:val="24"/>
          <w:rtl/>
        </w:rPr>
        <w:t xml:space="preserve">הפקדת שיק (לכל קבוצת שיקים </w:t>
      </w:r>
      <w:r w:rsidRPr="00D84231">
        <w:rPr>
          <w:rFonts w:cs="David"/>
          <w:sz w:val="24"/>
          <w:szCs w:val="24"/>
          <w:rtl/>
        </w:rPr>
        <w:t>–</w:t>
      </w:r>
      <w:r w:rsidRPr="00D84231">
        <w:rPr>
          <w:rFonts w:cs="David" w:hint="cs"/>
          <w:sz w:val="24"/>
          <w:szCs w:val="24"/>
          <w:rtl/>
        </w:rPr>
        <w:t xml:space="preserve"> עד 20 שיקים)</w:t>
      </w:r>
    </w:p>
    <w:p w:rsidR="00AB26A9" w:rsidRPr="00D84231" w:rsidRDefault="00AB26A9" w:rsidP="00AB26A9">
      <w:pPr>
        <w:pStyle w:val="1"/>
        <w:numPr>
          <w:ilvl w:val="0"/>
          <w:numId w:val="1"/>
        </w:numPr>
        <w:spacing w:line="360" w:lineRule="auto"/>
        <w:jc w:val="both"/>
        <w:rPr>
          <w:rFonts w:cs="David"/>
          <w:sz w:val="24"/>
          <w:szCs w:val="24"/>
          <w:rtl/>
        </w:rPr>
      </w:pPr>
      <w:r w:rsidRPr="00D84231">
        <w:rPr>
          <w:rFonts w:cs="David" w:hint="cs"/>
          <w:sz w:val="24"/>
          <w:szCs w:val="24"/>
          <w:rtl/>
        </w:rPr>
        <w:t>חיוב על פי הרשאה לחיוב חשבון או הוראת קבע</w:t>
      </w:r>
    </w:p>
    <w:p w:rsidR="00AB26A9" w:rsidRDefault="00AB26A9" w:rsidP="00AB26A9">
      <w:pPr>
        <w:bidi/>
      </w:pPr>
    </w:p>
    <w:sectPr w:rsidR="00AB26A9" w:rsidSect="00AE591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51F" w:rsidRDefault="0031451F" w:rsidP="0031451F">
      <w:r>
        <w:separator/>
      </w:r>
    </w:p>
  </w:endnote>
  <w:endnote w:type="continuationSeparator" w:id="0">
    <w:p w:rsidR="0031451F" w:rsidRDefault="0031451F" w:rsidP="0031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0000000000000000000"/>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1F" w:rsidRDefault="0031451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1F" w:rsidRDefault="0031451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1F" w:rsidRDefault="003145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51F" w:rsidRDefault="0031451F" w:rsidP="0031451F">
      <w:r>
        <w:separator/>
      </w:r>
    </w:p>
  </w:footnote>
  <w:footnote w:type="continuationSeparator" w:id="0">
    <w:p w:rsidR="0031451F" w:rsidRDefault="0031451F" w:rsidP="0031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1F" w:rsidRDefault="0031451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1F" w:rsidRDefault="0031451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1F" w:rsidRDefault="003145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61B2E"/>
    <w:multiLevelType w:val="hybridMultilevel"/>
    <w:tmpl w:val="BC8840CA"/>
    <w:lvl w:ilvl="0" w:tplc="04090005">
      <w:start w:val="1"/>
      <w:numFmt w:val="bullet"/>
      <w:lvlText w:val=""/>
      <w:lvlJc w:val="left"/>
      <w:pPr>
        <w:ind w:left="74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
    <w:nsid w:val="65203614"/>
    <w:multiLevelType w:val="hybridMultilevel"/>
    <w:tmpl w:val="67C446F0"/>
    <w:lvl w:ilvl="0" w:tplc="A4F6DF0C">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B441F"/>
    <w:rsid w:val="0031451F"/>
    <w:rsid w:val="00AB26A9"/>
    <w:rsid w:val="00AE591E"/>
    <w:rsid w:val="00DD5923"/>
    <w:rsid w:val="00FE034E"/>
    <w:rsid w:val="00FF7E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customStyle="1" w:styleId="1">
    <w:name w:val="פיסקת רשימה1"/>
    <w:basedOn w:val="a"/>
    <w:uiPriority w:val="99"/>
    <w:qFormat/>
    <w:rsid w:val="00AB26A9"/>
    <w:pPr>
      <w:bidi/>
      <w:ind w:left="720"/>
    </w:pPr>
    <w:rPr>
      <w:rFonts w:ascii="Calibri" w:hAnsi="Calibri" w:cs="Calibri"/>
      <w:sz w:val="22"/>
      <w:szCs w:val="22"/>
      <w:lang w:eastAsia="en-US"/>
    </w:rPr>
  </w:style>
  <w:style w:type="paragraph" w:styleId="a5">
    <w:name w:val="List Paragraph"/>
    <w:basedOn w:val="a"/>
    <w:uiPriority w:val="34"/>
    <w:qFormat/>
    <w:rsid w:val="00AB26A9"/>
    <w:pPr>
      <w:ind w:left="720"/>
      <w:contextualSpacing/>
    </w:pPr>
  </w:style>
  <w:style w:type="paragraph" w:styleId="a6">
    <w:name w:val="header"/>
    <w:basedOn w:val="a"/>
    <w:link w:val="a7"/>
    <w:uiPriority w:val="99"/>
    <w:unhideWhenUsed/>
    <w:rsid w:val="0031451F"/>
    <w:pPr>
      <w:tabs>
        <w:tab w:val="center" w:pos="4153"/>
        <w:tab w:val="right" w:pos="8306"/>
      </w:tabs>
    </w:pPr>
  </w:style>
  <w:style w:type="character" w:customStyle="1" w:styleId="a7">
    <w:name w:val="כותרת עליונה תו"/>
    <w:basedOn w:val="a0"/>
    <w:link w:val="a6"/>
    <w:uiPriority w:val="99"/>
    <w:rsid w:val="0031451F"/>
    <w:rPr>
      <w:rFonts w:ascii="Times New Roman" w:eastAsia="Times New Roman" w:hAnsi="Times New Roman" w:cs="Miriam"/>
      <w:sz w:val="20"/>
      <w:szCs w:val="20"/>
      <w:lang w:eastAsia="he-IL"/>
    </w:rPr>
  </w:style>
  <w:style w:type="paragraph" w:styleId="a8">
    <w:name w:val="footer"/>
    <w:basedOn w:val="a"/>
    <w:link w:val="a9"/>
    <w:uiPriority w:val="99"/>
    <w:unhideWhenUsed/>
    <w:rsid w:val="0031451F"/>
    <w:pPr>
      <w:tabs>
        <w:tab w:val="center" w:pos="4153"/>
        <w:tab w:val="right" w:pos="8306"/>
      </w:tabs>
    </w:pPr>
  </w:style>
  <w:style w:type="character" w:customStyle="1" w:styleId="a9">
    <w:name w:val="כותרת תחתונה תו"/>
    <w:basedOn w:val="a0"/>
    <w:link w:val="a8"/>
    <w:uiPriority w:val="99"/>
    <w:rsid w:val="0031451F"/>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customStyle="1" w:styleId="1">
    <w:name w:val="פיסקת רשימה1"/>
    <w:basedOn w:val="a"/>
    <w:uiPriority w:val="99"/>
    <w:qFormat/>
    <w:rsid w:val="00AB26A9"/>
    <w:pPr>
      <w:bidi/>
      <w:ind w:left="720"/>
    </w:pPr>
    <w:rPr>
      <w:rFonts w:ascii="Calibri" w:hAnsi="Calibri" w:cs="Calibri"/>
      <w:sz w:val="22"/>
      <w:szCs w:val="22"/>
      <w:lang w:eastAsia="en-US"/>
    </w:rPr>
  </w:style>
  <w:style w:type="paragraph" w:styleId="a5">
    <w:name w:val="List Paragraph"/>
    <w:basedOn w:val="a"/>
    <w:uiPriority w:val="34"/>
    <w:qFormat/>
    <w:rsid w:val="00AB26A9"/>
    <w:pPr>
      <w:ind w:left="720"/>
      <w:contextualSpacing/>
    </w:pPr>
  </w:style>
  <w:style w:type="paragraph" w:styleId="a6">
    <w:name w:val="header"/>
    <w:basedOn w:val="a"/>
    <w:link w:val="a7"/>
    <w:uiPriority w:val="99"/>
    <w:unhideWhenUsed/>
    <w:rsid w:val="0031451F"/>
    <w:pPr>
      <w:tabs>
        <w:tab w:val="center" w:pos="4153"/>
        <w:tab w:val="right" w:pos="8306"/>
      </w:tabs>
    </w:pPr>
  </w:style>
  <w:style w:type="character" w:customStyle="1" w:styleId="a7">
    <w:name w:val="כותרת עליונה תו"/>
    <w:basedOn w:val="a0"/>
    <w:link w:val="a6"/>
    <w:uiPriority w:val="99"/>
    <w:rsid w:val="0031451F"/>
    <w:rPr>
      <w:rFonts w:ascii="Times New Roman" w:eastAsia="Times New Roman" w:hAnsi="Times New Roman" w:cs="Miriam"/>
      <w:sz w:val="20"/>
      <w:szCs w:val="20"/>
      <w:lang w:eastAsia="he-IL"/>
    </w:rPr>
  </w:style>
  <w:style w:type="paragraph" w:styleId="a8">
    <w:name w:val="footer"/>
    <w:basedOn w:val="a"/>
    <w:link w:val="a9"/>
    <w:uiPriority w:val="99"/>
    <w:unhideWhenUsed/>
    <w:rsid w:val="0031451F"/>
    <w:pPr>
      <w:tabs>
        <w:tab w:val="center" w:pos="4153"/>
        <w:tab w:val="right" w:pos="8306"/>
      </w:tabs>
    </w:pPr>
  </w:style>
  <w:style w:type="character" w:customStyle="1" w:styleId="a9">
    <w:name w:val="כותרת תחתונה תו"/>
    <w:basedOn w:val="a0"/>
    <w:link w:val="a8"/>
    <w:uiPriority w:val="99"/>
    <w:rsid w:val="0031451F"/>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E425E-620E-40BB-AA89-9B6E7DA75232}"/>
</file>

<file path=customXml/itemProps2.xml><?xml version="1.0" encoding="utf-8"?>
<ds:datastoreItem xmlns:ds="http://schemas.openxmlformats.org/officeDocument/2006/customXml" ds:itemID="{6D60360C-4D97-4BAE-BFD8-9DAF7EB47EDF}"/>
</file>

<file path=customXml/itemProps3.xml><?xml version="1.0" encoding="utf-8"?>
<ds:datastoreItem xmlns:ds="http://schemas.openxmlformats.org/officeDocument/2006/customXml" ds:itemID="{6C58726B-07F4-4019-96FB-2F50FF1349B4}"/>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2785</Characters>
  <Application>Microsoft Office Word</Application>
  <DocSecurity>0</DocSecurity>
  <Lines>23</Lines>
  <Paragraphs>6</Paragraphs>
  <ScaleCrop>false</ScaleCrop>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2013-06-24T07:21:00Z</dcterms:created>
  <dcterms:modified xsi:type="dcterms:W3CDTF">2013-06-24T07:21:00Z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