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3C49F8" w:rsidTr="00AB3CB4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6D0" w:rsidRPr="005736DB" w:rsidRDefault="003F2318" w:rsidP="00AB3CB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736D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E716D0" w:rsidRPr="005736DB" w:rsidRDefault="003F2318" w:rsidP="00AB3CB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736DB">
              <w:rPr>
                <w:rFonts w:asciiTheme="minorBidi" w:hAnsiTheme="minorBidi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716D0" w:rsidRPr="005736DB" w:rsidRDefault="003F2318" w:rsidP="00AB3CB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5736DB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4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6D0" w:rsidRPr="005736DB" w:rsidRDefault="003F2318" w:rsidP="00AB3CB4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5736DB">
              <w:rPr>
                <w:rFonts w:asciiTheme="minorBidi" w:hAnsiTheme="minorBidi"/>
                <w:sz w:val="24"/>
                <w:szCs w:val="24"/>
                <w:highlight w:val="green"/>
                <w:rtl/>
              </w:rPr>
              <w:t>‏</w: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t xml:space="preserve">ירושלים, </w: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begin"/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5736DB">
              <w:rPr>
                <w:rFonts w:asciiTheme="minorBidi" w:hAnsiTheme="minorBidi"/>
                <w:sz w:val="24"/>
                <w:szCs w:val="24"/>
              </w:rPr>
              <w:instrText>DATE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 \@ "</w:instrText>
            </w:r>
            <w:r w:rsidRPr="005736DB">
              <w:rPr>
                <w:rFonts w:asciiTheme="minorBidi" w:hAnsiTheme="minorBidi"/>
                <w:sz w:val="24"/>
                <w:szCs w:val="24"/>
              </w:rPr>
              <w:instrText>d MMMM, yyyy" \h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t>‏י"ט ניסן, תשפ"ה</w: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end"/>
            </w:r>
          </w:p>
          <w:p w:rsidR="00E716D0" w:rsidRPr="005736DB" w:rsidRDefault="003F2318" w:rsidP="00AB3CB4">
            <w:pPr>
              <w:spacing w:line="276" w:lineRule="auto"/>
              <w:jc w:val="center"/>
              <w:rPr>
                <w:rFonts w:asciiTheme="minorBidi" w:hAnsiTheme="minorBidi"/>
                <w:sz w:val="24"/>
                <w:szCs w:val="24"/>
                <w:highlight w:val="green"/>
              </w:rPr>
            </w:pP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begin"/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 </w:instrText>
            </w:r>
            <w:r w:rsidRPr="005736DB">
              <w:rPr>
                <w:rFonts w:asciiTheme="minorBidi" w:hAnsiTheme="minorBidi"/>
                <w:sz w:val="24"/>
                <w:szCs w:val="24"/>
              </w:rPr>
              <w:instrText>DATE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 \@ "</w:instrText>
            </w:r>
            <w:r w:rsidRPr="005736DB">
              <w:rPr>
                <w:rFonts w:asciiTheme="minorBidi" w:hAnsiTheme="minorBidi"/>
                <w:sz w:val="24"/>
                <w:szCs w:val="24"/>
              </w:rPr>
              <w:instrText>d MMMM, yyyy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instrText xml:space="preserve">" </w:instrTex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sz w:val="24"/>
                <w:szCs w:val="24"/>
                <w:rtl/>
              </w:rPr>
              <w:t>‏17 אפריל, 2025</w:t>
            </w:r>
            <w:r w:rsidRPr="005736DB">
              <w:rPr>
                <w:rFonts w:asciiTheme="minorBidi" w:hAnsiTheme="minorBidi"/>
                <w:sz w:val="24"/>
                <w:szCs w:val="24"/>
                <w:rtl/>
              </w:rPr>
              <w:fldChar w:fldCharType="end"/>
            </w:r>
          </w:p>
        </w:tc>
      </w:tr>
    </w:tbl>
    <w:p w:rsidR="00E716D0" w:rsidRPr="005736DB" w:rsidRDefault="00E716D0" w:rsidP="00E716D0">
      <w:pPr>
        <w:rPr>
          <w:rFonts w:asciiTheme="minorBidi" w:hAnsiTheme="minorBidi"/>
          <w:sz w:val="24"/>
          <w:szCs w:val="24"/>
          <w:rtl/>
        </w:rPr>
      </w:pPr>
    </w:p>
    <w:p w:rsidR="00E716D0" w:rsidRPr="005736DB" w:rsidRDefault="003F2318" w:rsidP="00E716D0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بيان صحفي:</w:t>
      </w:r>
    </w:p>
    <w:p w:rsidR="008932A3" w:rsidRDefault="003F2318" w:rsidP="008932A3">
      <w:pPr>
        <w:pStyle w:val="NormalWeb"/>
        <w:bidi/>
        <w:spacing w:after="0" w:afterAutospacing="0" w:line="360" w:lineRule="auto"/>
        <w:jc w:val="center"/>
        <w:rPr>
          <w:rFonts w:asciiTheme="minorBidi" w:eastAsia="Calibri" w:hAnsiTheme="minorBidi" w:cs="Arial"/>
          <w:b/>
          <w:bCs/>
          <w:sz w:val="28"/>
          <w:szCs w:val="28"/>
          <w:lang w:bidi="ar-SA"/>
        </w:rPr>
      </w:pP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النتائج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الرئيسية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لمسح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مسؤولي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</w:p>
    <w:p w:rsidR="005736DB" w:rsidRPr="005736DB" w:rsidRDefault="003F2318" w:rsidP="008932A3">
      <w:pPr>
        <w:pStyle w:val="NormalWeb"/>
        <w:bidi/>
        <w:spacing w:before="0" w:beforeAutospacing="0" w:line="360" w:lineRule="auto"/>
        <w:jc w:val="center"/>
        <w:rPr>
          <w:rFonts w:asciiTheme="minorBidi" w:eastAsia="Calibri" w:hAnsiTheme="minorBidi" w:cstheme="minorBidi"/>
          <w:b/>
          <w:bCs/>
          <w:sz w:val="28"/>
          <w:szCs w:val="28"/>
          <w:rtl/>
          <w:lang w:bidi="ar-SA"/>
        </w:rPr>
      </w:pP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الذي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أجراه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بنك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إسرائيل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للربع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sz w:val="28"/>
          <w:szCs w:val="28"/>
          <w:rtl/>
          <w:lang w:bidi="ar-SA"/>
        </w:rPr>
        <w:t>عام</w:t>
      </w:r>
      <w:r w:rsidRPr="005736DB">
        <w:rPr>
          <w:rFonts w:asciiTheme="minorBidi" w:eastAsia="Calibri" w:hAnsiTheme="minorBidi" w:cs="Arial"/>
          <w:b/>
          <w:bCs/>
          <w:sz w:val="28"/>
          <w:szCs w:val="28"/>
          <w:rtl/>
          <w:lang w:bidi="ar-SA"/>
        </w:rPr>
        <w:t xml:space="preserve"> 2025</w:t>
      </w:r>
    </w:p>
    <w:p w:rsidR="005736DB" w:rsidRPr="005736DB" w:rsidRDefault="003F2318" w:rsidP="00C76DE1">
      <w:pPr>
        <w:autoSpaceDE w:val="0"/>
        <w:autoSpaceDN w:val="0"/>
        <w:adjustRightInd w:val="0"/>
        <w:spacing w:line="360" w:lineRule="auto"/>
        <w:jc w:val="both"/>
        <w:rPr>
          <w:rFonts w:asciiTheme="minorBidi" w:eastAsia="Calibri" w:hAnsiTheme="minorBidi"/>
          <w:sz w:val="24"/>
          <w:szCs w:val="24"/>
          <w:rtl/>
          <w:lang w:bidi="ar-SA"/>
        </w:rPr>
      </w:pP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بدأ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بنك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إسرائيل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="008932A3"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الربع</w:t>
      </w:r>
      <w:r w:rsidR="008932A3"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الثالث</w:t>
      </w:r>
      <w:r w:rsidR="008932A3"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من</w:t>
      </w:r>
      <w:r w:rsidR="008932A3"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عام</w:t>
      </w:r>
      <w:r w:rsidR="008932A3"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2024</w:t>
      </w:r>
      <w:r w:rsidR="008932A3">
        <w:rPr>
          <w:rFonts w:asciiTheme="minorBidi" w:eastAsia="Calibri" w:hAnsiTheme="minorBidi" w:cs="Arial"/>
          <w:sz w:val="24"/>
          <w:szCs w:val="24"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بإجراء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مسح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ربع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سنوي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لمسؤولي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النظام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المصرفي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إسرائيل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الغرض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المسح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هو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جمع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معلومات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مباشرة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ودورية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C76DE1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 xml:space="preserve">وعالية الجودة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المؤسسات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المصرفية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حول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التطورات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سوق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إسرائيل،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وبالتالي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المساهمة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فهم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أعمق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للتطورات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سوق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ل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 xml:space="preserve">دعم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عمليات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اتخاذ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القرار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بنك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إسرائيل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، ومنها المتعلقة</w:t>
      </w:r>
      <w:r w:rsidR="008932A3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ب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مناقشات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أسعار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الفائدة،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وتقييم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المخاطر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النظام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المالي،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وسهولة الحصول على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الائتمان،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sz w:val="24"/>
          <w:szCs w:val="24"/>
          <w:rtl/>
          <w:lang w:bidi="ar-SA"/>
        </w:rPr>
        <w:t>وغيرها</w:t>
      </w:r>
      <w:r w:rsidRPr="005736DB">
        <w:rPr>
          <w:rFonts w:asciiTheme="minorBidi" w:eastAsia="Calibri" w:hAnsiTheme="minorBidi" w:cs="Arial"/>
          <w:sz w:val="24"/>
          <w:szCs w:val="24"/>
          <w:rtl/>
          <w:lang w:bidi="ar-SA"/>
        </w:rPr>
        <w:t>.</w:t>
      </w:r>
    </w:p>
    <w:p w:rsidR="00E470EE" w:rsidRPr="005736DB" w:rsidRDefault="003F2318" w:rsidP="008932A3">
      <w:pPr>
        <w:pStyle w:val="NormalWeb"/>
        <w:bidi/>
        <w:spacing w:line="360" w:lineRule="auto"/>
        <w:ind w:left="84"/>
        <w:jc w:val="both"/>
        <w:rPr>
          <w:rFonts w:asciiTheme="minorBidi" w:eastAsia="Calibri" w:hAnsiTheme="minorBidi" w:cstheme="minorBidi"/>
          <w:rtl/>
          <w:lang w:bidi="ar-SA"/>
        </w:rPr>
      </w:pPr>
      <w:r>
        <w:rPr>
          <w:rFonts w:asciiTheme="minorBidi" w:eastAsia="Calibri" w:hAnsiTheme="minorBidi" w:cs="Arial" w:hint="cs"/>
          <w:b/>
          <w:bCs/>
          <w:rtl/>
          <w:lang w:bidi="ar-SA"/>
        </w:rPr>
        <w:t>صيغة المسح</w:t>
      </w:r>
      <w:r w:rsidR="005736DB" w:rsidRPr="005736DB">
        <w:rPr>
          <w:rFonts w:asciiTheme="minorBidi" w:eastAsia="Calibri" w:hAnsiTheme="minorBidi" w:cs="Arial"/>
          <w:b/>
          <w:bCs/>
          <w:rtl/>
          <w:lang w:bidi="ar-SA"/>
        </w:rPr>
        <w:t xml:space="preserve"> </w:t>
      </w:r>
    </w:p>
    <w:p w:rsidR="005736DB" w:rsidRPr="005736DB" w:rsidRDefault="003F2318" w:rsidP="00C76DE1">
      <w:pPr>
        <w:pStyle w:val="NormalWeb"/>
        <w:bidi/>
        <w:spacing w:line="360" w:lineRule="auto"/>
        <w:ind w:left="84"/>
        <w:jc w:val="both"/>
        <w:rPr>
          <w:rFonts w:asciiTheme="minorBidi" w:eastAsia="Calibri" w:hAnsiTheme="minorBidi" w:cstheme="minorBidi"/>
          <w:rtl/>
          <w:lang w:bidi="ar-SA"/>
        </w:rPr>
      </w:pPr>
      <w:r>
        <w:rPr>
          <w:rFonts w:asciiTheme="minorBidi" w:eastAsia="Calibri" w:hAnsiTheme="minorBidi" w:cs="Arial" w:hint="cs"/>
          <w:rtl/>
          <w:lang w:bidi="ar-SA"/>
        </w:rPr>
        <w:t>ت</w:t>
      </w:r>
      <w:r w:rsidRPr="005736DB">
        <w:rPr>
          <w:rFonts w:asciiTheme="minorBidi" w:eastAsia="Calibri" w:hAnsiTheme="minorBidi" w:cs="Arial" w:hint="cs"/>
          <w:rtl/>
          <w:lang w:bidi="ar-SA"/>
        </w:rPr>
        <w:t>ستند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صيغة مسح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مسؤولي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إلى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مسوحات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مماثلة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أجرتها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بنوك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مركزية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رائدة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العالم،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بما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ذلك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بنك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الاحتياطي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الفيدرالي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الأمريكي،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والبنك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المركزي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الأوروبي،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وبنك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إنجلترا،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وغيرها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يتم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إجراء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المسح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سنوي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ويتضمن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22 </w:t>
      </w:r>
      <w:r w:rsidRPr="005736DB">
        <w:rPr>
          <w:rFonts w:asciiTheme="minorBidi" w:eastAsia="Calibri" w:hAnsiTheme="minorBidi" w:cs="Arial" w:hint="cs"/>
          <w:rtl/>
          <w:lang w:bidi="ar-SA"/>
        </w:rPr>
        <w:t>سؤالاً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تتعلق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بجوانب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مختلفة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للأسر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C76DE1">
        <w:rPr>
          <w:rFonts w:asciiTheme="minorBidi" w:eastAsia="Calibri" w:hAnsiTheme="minorBidi" w:cs="Arial" w:hint="cs"/>
          <w:rtl/>
          <w:lang w:bidi="ar-SA"/>
        </w:rPr>
        <w:t>ل</w:t>
      </w:r>
      <w:r w:rsidRPr="005736DB">
        <w:rPr>
          <w:rFonts w:asciiTheme="minorBidi" w:eastAsia="Calibri" w:hAnsiTheme="minorBidi" w:cs="Arial" w:hint="cs"/>
          <w:rtl/>
          <w:lang w:bidi="ar-SA"/>
        </w:rPr>
        <w:t>لأغراض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C76DE1">
        <w:rPr>
          <w:rFonts w:asciiTheme="minorBidi" w:eastAsia="Calibri" w:hAnsiTheme="minorBidi" w:cs="Arial" w:hint="cs"/>
          <w:rtl/>
          <w:lang w:bidi="ar-SA"/>
        </w:rPr>
        <w:t>ال</w:t>
      </w:r>
      <w:r w:rsidRPr="005736DB">
        <w:rPr>
          <w:rFonts w:asciiTheme="minorBidi" w:eastAsia="Calibri" w:hAnsiTheme="minorBidi" w:cs="Arial" w:hint="cs"/>
          <w:rtl/>
          <w:lang w:bidi="ar-SA"/>
        </w:rPr>
        <w:t>سكنية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الاستهلاكي،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وكذلك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للمصالح التجارية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ب</w:t>
      </w:r>
      <w:r w:rsidRPr="005736DB">
        <w:rPr>
          <w:rFonts w:asciiTheme="minorBidi" w:eastAsia="Calibri" w:hAnsiTheme="minorBidi" w:cs="Arial" w:hint="cs"/>
          <w:rtl/>
          <w:lang w:bidi="ar-SA"/>
        </w:rPr>
        <w:t>حسب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حجم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المصلحة</w:t>
      </w:r>
      <w:r w:rsidRPr="005736DB">
        <w:rPr>
          <w:rFonts w:asciiTheme="minorBidi" w:eastAsia="Calibri" w:hAnsiTheme="minorBidi" w:cs="Arial" w:hint="cs"/>
          <w:rtl/>
          <w:lang w:bidi="ar-SA"/>
        </w:rPr>
        <w:t>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التركيز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لقطاعي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البناء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والعقارات</w:t>
      </w:r>
      <w:r>
        <w:rPr>
          <w:rFonts w:asciiTheme="minorBidi" w:eastAsia="Calibri" w:hAnsiTheme="minorBidi" w:cs="Arial" w:hint="cs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خاص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>
        <w:rPr>
          <w:rFonts w:asciiTheme="minorBidi" w:eastAsia="Calibri" w:hAnsiTheme="minorBidi" w:cs="Arial" w:hint="cs"/>
          <w:rtl/>
          <w:lang w:bidi="ar-SA"/>
        </w:rPr>
        <w:t>تتطرق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الأسئلة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المسح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 xml:space="preserve">إلى </w:t>
      </w:r>
      <w:r w:rsidRPr="005736DB">
        <w:rPr>
          <w:rFonts w:asciiTheme="minorBidi" w:eastAsia="Calibri" w:hAnsiTheme="minorBidi" w:cs="Arial" w:hint="cs"/>
          <w:rtl/>
          <w:lang w:bidi="ar-SA"/>
        </w:rPr>
        <w:t>التطورات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حدثت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فعلياً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الأخير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وتقييم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البنوك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للتطورات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المتوقعة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في ا</w:t>
      </w:r>
      <w:r w:rsidRPr="005736DB">
        <w:rPr>
          <w:rFonts w:asciiTheme="minorBidi" w:eastAsia="Calibri" w:hAnsiTheme="minorBidi" w:cs="Arial" w:hint="cs"/>
          <w:rtl/>
          <w:lang w:bidi="ar-SA"/>
        </w:rPr>
        <w:t>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التالي،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مجالات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سياسة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توفير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وشروط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المعروض،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النظام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المصرفي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كما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يتناول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العوامل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تؤثر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العرض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>.</w:t>
      </w:r>
    </w:p>
    <w:p w:rsidR="00E716D0" w:rsidRPr="005736DB" w:rsidRDefault="003F2318" w:rsidP="00DC0AC6">
      <w:pPr>
        <w:pStyle w:val="NormalWeb"/>
        <w:bidi/>
        <w:spacing w:line="360" w:lineRule="auto"/>
        <w:ind w:left="84"/>
        <w:jc w:val="both"/>
        <w:rPr>
          <w:rFonts w:asciiTheme="minorBidi" w:hAnsiTheme="minorBidi" w:cstheme="minorBidi"/>
          <w:rtl/>
          <w:lang w:bidi="ar-SA"/>
        </w:rPr>
      </w:pPr>
      <w:r>
        <w:rPr>
          <w:rFonts w:asciiTheme="minorBidi" w:hAnsiTheme="minorBidi" w:cs="Arial" w:hint="cs"/>
          <w:rtl/>
          <w:lang w:bidi="ar-SA"/>
        </w:rPr>
        <w:t>ي</w:t>
      </w:r>
      <w:r w:rsidR="005736DB" w:rsidRPr="005736DB">
        <w:rPr>
          <w:rFonts w:asciiTheme="minorBidi" w:hAnsiTheme="minorBidi" w:cs="Arial" w:hint="cs"/>
          <w:rtl/>
          <w:lang w:bidi="ar-SA"/>
        </w:rPr>
        <w:t>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إرسال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8932A3">
        <w:rPr>
          <w:rFonts w:asciiTheme="minorBidi" w:hAnsiTheme="minorBidi" w:cs="Arial" w:hint="cs"/>
          <w:rtl/>
          <w:lang w:bidi="ar-SA"/>
        </w:rPr>
        <w:t>المسح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إلى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جميع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المؤسسات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المصرفية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إسرائيل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(10 </w:t>
      </w:r>
      <w:r w:rsidR="005736DB" w:rsidRPr="005736DB">
        <w:rPr>
          <w:rFonts w:asciiTheme="minorBidi" w:hAnsiTheme="minorBidi" w:cs="Arial" w:hint="cs"/>
          <w:rtl/>
          <w:lang w:bidi="ar-SA"/>
        </w:rPr>
        <w:t>بنوك</w:t>
      </w:r>
      <w:r w:rsidR="005736DB" w:rsidRPr="005736DB">
        <w:rPr>
          <w:rFonts w:asciiTheme="minorBidi" w:hAnsiTheme="minorBidi" w:cs="Arial"/>
          <w:rtl/>
          <w:lang w:bidi="ar-SA"/>
        </w:rPr>
        <w:t xml:space="preserve">) </w:t>
      </w:r>
      <w:r w:rsidR="008932A3">
        <w:rPr>
          <w:rFonts w:asciiTheme="minorBidi" w:hAnsiTheme="minorBidi" w:cs="Arial" w:hint="cs"/>
          <w:rtl/>
          <w:lang w:bidi="ar-SA"/>
        </w:rPr>
        <w:t>وتتم تعبئته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من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قبل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أقسام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البنوك</w:t>
      </w:r>
      <w:r w:rsidR="005736DB" w:rsidRPr="005736DB">
        <w:rPr>
          <w:rFonts w:asciiTheme="minorBidi" w:hAnsiTheme="minorBidi" w:cs="Arial"/>
          <w:rtl/>
          <w:lang w:bidi="ar-SA"/>
        </w:rPr>
        <w:t>.</w:t>
      </w:r>
    </w:p>
    <w:p w:rsidR="00ED21F7" w:rsidRPr="005736DB" w:rsidRDefault="003F2318" w:rsidP="00E716D0">
      <w:pPr>
        <w:pStyle w:val="NormalWeb"/>
        <w:bidi/>
        <w:spacing w:line="360" w:lineRule="auto"/>
        <w:rPr>
          <w:rFonts w:asciiTheme="minorBidi" w:eastAsia="Calibri" w:hAnsiTheme="minorBidi" w:cstheme="minorBidi"/>
          <w:b/>
          <w:bCs/>
          <w:rtl/>
          <w:lang w:bidi="ar-SA"/>
        </w:rPr>
      </w:pPr>
      <w:r w:rsidRPr="005736DB">
        <w:rPr>
          <w:rFonts w:asciiTheme="minorBidi" w:eastAsia="Calibri" w:hAnsiTheme="minorBidi" w:cs="Arial" w:hint="cs"/>
          <w:b/>
          <w:bCs/>
          <w:rtl/>
          <w:lang w:bidi="ar-SA"/>
        </w:rPr>
        <w:t>النتائج</w:t>
      </w:r>
      <w:r w:rsidRPr="005736DB">
        <w:rPr>
          <w:rFonts w:asciiTheme="minorBidi" w:eastAsia="Calibri" w:hAnsiTheme="minorBidi" w:cs="Arial"/>
          <w:b/>
          <w:bCs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b/>
          <w:bCs/>
          <w:rtl/>
          <w:lang w:bidi="ar-SA"/>
        </w:rPr>
        <w:t>الرئيسية</w:t>
      </w:r>
    </w:p>
    <w:p w:rsidR="005736DB" w:rsidRPr="005736DB" w:rsidRDefault="003F2318" w:rsidP="00C76DE1">
      <w:pPr>
        <w:pStyle w:val="NormalWeb"/>
        <w:bidi/>
        <w:spacing w:before="0" w:beforeAutospacing="0" w:after="240" w:afterAutospacing="0" w:line="360" w:lineRule="auto"/>
        <w:jc w:val="both"/>
        <w:rPr>
          <w:rFonts w:asciiTheme="minorBidi" w:eastAsia="Calibri" w:hAnsiTheme="minorBidi" w:cstheme="minorBidi"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النتائج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المنشورة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هنا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هي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نتائج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إجمالية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تتطرق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ل</w:t>
      </w:r>
      <w:r w:rsidRPr="005736DB">
        <w:rPr>
          <w:rFonts w:asciiTheme="minorBidi" w:eastAsia="Calibri" w:hAnsiTheme="minorBidi" w:cs="Arial" w:hint="cs"/>
          <w:rtl/>
          <w:lang w:bidi="ar-SA"/>
        </w:rPr>
        <w:t>جميع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المؤسسات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المصرفية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="00C76DE1">
        <w:rPr>
          <w:rFonts w:asciiTheme="minorBidi" w:eastAsia="Calibri" w:hAnsiTheme="minorBidi" w:cs="Arial" w:hint="cs"/>
          <w:rtl/>
          <w:lang w:bidi="ar-SA"/>
        </w:rPr>
        <w:t>و</w:t>
      </w:r>
      <w:r w:rsidRPr="005736DB">
        <w:rPr>
          <w:rFonts w:asciiTheme="minorBidi" w:eastAsia="Calibri" w:hAnsiTheme="minorBidi" w:cs="Arial" w:hint="cs"/>
          <w:rtl/>
          <w:lang w:bidi="ar-SA"/>
        </w:rPr>
        <w:t>يتم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عرضها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على 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موازين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صافية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إجمالية</w:t>
      </w:r>
      <w:r w:rsidRPr="005736DB">
        <w:rPr>
          <w:rStyle w:val="FootnoteReference"/>
          <w:rFonts w:asciiTheme="minorBidi" w:eastAsia="Calibri" w:hAnsiTheme="minorBidi" w:cstheme="minorBidi"/>
          <w:rtl/>
        </w:rPr>
        <w:t xml:space="preserve"> </w:t>
      </w:r>
      <w:r>
        <w:rPr>
          <w:rStyle w:val="FootnoteReference"/>
          <w:rFonts w:asciiTheme="minorBidi" w:eastAsia="Calibri" w:hAnsiTheme="minorBidi" w:cstheme="minorBidi"/>
          <w:rtl/>
        </w:rPr>
        <w:footnoteReference w:id="1"/>
      </w:r>
      <w:r w:rsidR="00C76DE1">
        <w:rPr>
          <w:rFonts w:asciiTheme="minorBidi" w:eastAsia="Calibri" w:hAnsiTheme="minorBidi" w:cs="Arial" w:hint="cs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تلخص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التغيير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الذي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حدث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ذي الصلة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مقارنة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السابق،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التغيير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lastRenderedPageBreak/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التالي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مقارنة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ذي الصلة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تم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جمع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البيانات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المسح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المؤسسات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المصرفية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خلال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النصف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الثاني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شهر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آذار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2025.</w:t>
      </w:r>
    </w:p>
    <w:p w:rsidR="005736DB" w:rsidRPr="005736DB" w:rsidRDefault="003F2318" w:rsidP="008932A3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</w:t>
      </w:r>
      <w:r w:rsidR="008932A3">
        <w:rPr>
          <w:rFonts w:asciiTheme="minorBidi" w:eastAsia="Calibri" w:hAnsiTheme="minorBidi" w:cs="Arial" w:hint="cs"/>
          <w:rtl/>
          <w:lang w:bidi="ar-SA"/>
        </w:rPr>
        <w:t xml:space="preserve"> طرأ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تباطؤ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قبل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rtl/>
          <w:lang w:bidi="ar-SA"/>
        </w:rPr>
        <w:t>المصالح التجارية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الصغيرة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ومتناهية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الصغر،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المقبل</w:t>
      </w:r>
      <w:r w:rsidRPr="005736DB">
        <w:rPr>
          <w:rFonts w:asciiTheme="minorBidi" w:eastAsia="Calibri" w:hAnsiTheme="minorBidi" w:cstheme="minorBidi"/>
          <w:lang w:bidi="ar-SA"/>
        </w:rPr>
        <w:t>.</w:t>
      </w:r>
    </w:p>
    <w:p w:rsidR="005736DB" w:rsidRPr="005736DB" w:rsidRDefault="003F2318" w:rsidP="008932A3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theme="minorBidi" w:hint="cs"/>
          <w:rtl/>
          <w:lang w:bidi="ar-SA"/>
        </w:rPr>
        <w:t>من الم</w:t>
      </w:r>
      <w:r w:rsidRPr="005736DB">
        <w:rPr>
          <w:rFonts w:asciiTheme="minorBidi" w:eastAsia="Calibri" w:hAnsiTheme="minorBidi" w:cs="Arial" w:hint="cs"/>
          <w:rtl/>
          <w:lang w:bidi="ar-SA"/>
        </w:rPr>
        <w:t>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انخفاض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العقارات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وزيادته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البناء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الثاني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</w:t>
      </w:r>
      <w:r w:rsidRPr="005736DB">
        <w:rPr>
          <w:rFonts w:asciiTheme="minorBidi" w:eastAsia="Calibri" w:hAnsiTheme="minorBidi" w:cstheme="minorBidi"/>
          <w:lang w:bidi="ar-SA"/>
        </w:rPr>
        <w:t>.</w:t>
      </w:r>
    </w:p>
    <w:p w:rsidR="005736DB" w:rsidRPr="005736DB" w:rsidRDefault="003F2318" w:rsidP="002C4AE2">
      <w:pPr>
        <w:pStyle w:val="Normal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afterAutospacing="0" w:line="360" w:lineRule="auto"/>
        <w:jc w:val="both"/>
        <w:rPr>
          <w:rFonts w:asciiTheme="minorBidi" w:eastAsia="Calibri" w:hAnsiTheme="minorBidi" w:cstheme="minorBidi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عام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2025</w:t>
      </w:r>
      <w:r w:rsidRPr="005736DB">
        <w:rPr>
          <w:rFonts w:asciiTheme="minorBidi" w:eastAsia="Calibri" w:hAnsiTheme="minorBidi" w:cs="Arial" w:hint="cs"/>
          <w:rtl/>
          <w:lang w:bidi="ar-SA"/>
        </w:rPr>
        <w:t>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rtl/>
          <w:lang w:bidi="ar-SA"/>
        </w:rPr>
        <w:t>طرأت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الاستهلاكي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السكني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ومن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rtl/>
          <w:lang w:bidi="ar-SA"/>
        </w:rPr>
        <w:t xml:space="preserve">في الربع الثاني </w:t>
      </w:r>
      <w:r w:rsidRPr="005736DB">
        <w:rPr>
          <w:rFonts w:asciiTheme="minorBidi" w:eastAsia="Calibri" w:hAnsiTheme="minorBidi" w:cs="Arial" w:hint="cs"/>
          <w:rtl/>
          <w:lang w:bidi="ar-SA"/>
        </w:rPr>
        <w:t>استمرار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الاستهلاكي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واستقرار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السكني</w:t>
      </w:r>
      <w:r w:rsidRPr="005736DB">
        <w:rPr>
          <w:rFonts w:asciiTheme="minorBidi" w:eastAsia="Calibri" w:hAnsiTheme="minorBidi" w:cs="Arial"/>
          <w:rtl/>
          <w:lang w:bidi="ar-SA"/>
        </w:rPr>
        <w:t>.</w:t>
      </w:r>
    </w:p>
    <w:p w:rsidR="005736DB" w:rsidRPr="005736DB" w:rsidRDefault="003F2318" w:rsidP="002C4AE2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8932A3">
        <w:rPr>
          <w:rFonts w:asciiTheme="minorBidi" w:eastAsia="Calibri" w:hAnsiTheme="minorBidi" w:cs="Arial" w:hint="cs"/>
          <w:rtl/>
          <w:lang w:bidi="ar-SA"/>
        </w:rPr>
        <w:t>تعززت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الهوامش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الهوامش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)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الإسكان</w:t>
      </w:r>
      <w:r w:rsidR="002C4AE2">
        <w:rPr>
          <w:rFonts w:asciiTheme="minorBidi" w:eastAsia="Calibri" w:hAnsiTheme="minorBidi" w:cs="Arial" w:hint="cs"/>
          <w:rtl/>
          <w:lang w:bidi="ar-SA"/>
        </w:rPr>
        <w:t>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عالية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المخاطر</w:t>
      </w:r>
      <w:r w:rsidRPr="005736DB">
        <w:rPr>
          <w:rFonts w:asciiTheme="minorBidi" w:eastAsia="Calibri" w:hAnsiTheme="minorBidi" w:cstheme="minorBidi"/>
          <w:lang w:bidi="ar-SA"/>
        </w:rPr>
        <w:t>.</w:t>
      </w:r>
    </w:p>
    <w:p w:rsidR="005736DB" w:rsidRPr="005736DB" w:rsidRDefault="003F2318" w:rsidP="002C4AE2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استمر</w:t>
      </w:r>
      <w:r w:rsidR="002C4AE2">
        <w:rPr>
          <w:rFonts w:asciiTheme="minorBidi" w:eastAsia="Calibri" w:hAnsiTheme="minorBidi" w:cs="Arial" w:hint="cs"/>
          <w:rtl/>
          <w:lang w:bidi="ar-SA"/>
        </w:rPr>
        <w:t>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المرونة 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شروط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معظم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القطاعات،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وهو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انعكس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رئيسي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أسعار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الفائدة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غير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المحفوف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بالمخاطر</w:t>
      </w:r>
      <w:r w:rsidRPr="005736DB">
        <w:rPr>
          <w:rFonts w:asciiTheme="minorBidi" w:eastAsia="Calibri" w:hAnsiTheme="minorBidi" w:cstheme="minorBidi"/>
          <w:lang w:bidi="ar-SA"/>
        </w:rPr>
        <w:t>.</w:t>
      </w:r>
    </w:p>
    <w:p w:rsidR="005736DB" w:rsidRPr="005736DB" w:rsidRDefault="003F2318" w:rsidP="002C4AE2">
      <w:pPr>
        <w:pStyle w:val="NormalWeb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وفقاً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للمستجيبين،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كانت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المنافسة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سوق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ونسب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رأس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المال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المرتفعة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هي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العوامل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الرئيسية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مرونة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2C4AE2">
        <w:rPr>
          <w:rFonts w:asciiTheme="minorBidi" w:eastAsia="Calibri" w:hAnsiTheme="minorBidi" w:cs="Arial" w:hint="cs"/>
          <w:rtl/>
          <w:lang w:bidi="ar-SA"/>
        </w:rPr>
        <w:t>الهوامش</w:t>
      </w:r>
      <w:r w:rsidRPr="005736DB">
        <w:rPr>
          <w:rFonts w:asciiTheme="minorBidi" w:eastAsia="Calibri" w:hAnsiTheme="minorBidi" w:cs="Arial"/>
          <w:rtl/>
          <w:lang w:bidi="ar-SA"/>
        </w:rPr>
        <w:t>.</w:t>
      </w:r>
    </w:p>
    <w:p w:rsidR="0019280F" w:rsidRPr="005736DB" w:rsidRDefault="0019280F" w:rsidP="005D18D0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1F42B8" w:rsidRPr="005736DB" w:rsidRDefault="003F2318" w:rsidP="002C4AE2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>
        <w:rPr>
          <w:rFonts w:asciiTheme="minorBidi" w:eastAsia="Calibri" w:hAnsiTheme="minorBidi" w:cstheme="minorBidi" w:hint="cs"/>
          <w:rtl/>
          <w:lang w:bidi="ar-SA"/>
        </w:rPr>
        <w:t>أ</w:t>
      </w:r>
      <w:r w:rsidRPr="005736DB">
        <w:rPr>
          <w:rFonts w:asciiTheme="minorBidi" w:eastAsia="Calibri" w:hAnsiTheme="minorBidi" w:cstheme="minorBidi"/>
          <w:rtl/>
        </w:rPr>
        <w:t xml:space="preserve">. </w:t>
      </w:r>
      <w:r>
        <w:rPr>
          <w:rFonts w:asciiTheme="minorBidi" w:eastAsia="Calibri" w:hAnsiTheme="minorBidi" w:cstheme="minorBidi" w:hint="cs"/>
          <w:rtl/>
          <w:lang w:bidi="ar-SA"/>
        </w:rPr>
        <w:t>الطلب على الائتمان</w:t>
      </w:r>
    </w:p>
    <w:p w:rsidR="005736DB" w:rsidRDefault="003F2318" w:rsidP="002C4AE2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ارتفع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الاستهلاكي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السكني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عام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2025</w:t>
      </w:r>
      <w:r w:rsidRPr="005736DB">
        <w:rPr>
          <w:rFonts w:asciiTheme="minorBidi" w:eastAsia="Calibri" w:hAnsiTheme="minorBidi" w:cs="Arial" w:hint="cs"/>
          <w:rtl/>
          <w:lang w:bidi="ar-SA"/>
        </w:rPr>
        <w:t>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استمرار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الاستهلاكي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واستقرار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السكني</w:t>
      </w:r>
      <w:r>
        <w:rPr>
          <w:rFonts w:asciiTheme="minorBidi" w:eastAsia="Calibri" w:hAnsiTheme="minorBidi" w:cs="Arial" w:hint="cs"/>
          <w:rtl/>
          <w:lang w:bidi="ar-SA"/>
        </w:rPr>
        <w:t xml:space="preserve"> في الربع القادم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الأعمال،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شهدنا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تباطؤاً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جانب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المصالح التجارية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الصغيرة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ومتناهية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الصغر،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وتتوقع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البنوك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عودة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في القطاع 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المقبل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تتوقع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البنوك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استمرار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نمو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البناء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وانخفاضه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العقارات</w:t>
      </w:r>
      <w:r>
        <w:rPr>
          <w:rStyle w:val="FootnoteReference"/>
          <w:rFonts w:asciiTheme="minorBidi" w:eastAsia="Calibri" w:hAnsiTheme="minorBidi" w:cstheme="minorBidi"/>
          <w:rtl/>
        </w:rPr>
        <w:footnoteReference w:id="2"/>
      </w:r>
      <w:r w:rsidR="00E06C7B" w:rsidRPr="005736DB">
        <w:rPr>
          <w:rFonts w:asciiTheme="minorBidi" w:eastAsia="Calibri" w:hAnsiTheme="minorBidi" w:cstheme="minorBidi"/>
          <w:rtl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الثاني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1).</w:t>
      </w: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Pr="005736DB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</w:p>
    <w:p w:rsidR="005736DB" w:rsidRPr="005736DB" w:rsidRDefault="003F2318" w:rsidP="002C4AE2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1. </w:t>
      </w:r>
      <w:r>
        <w:rPr>
          <w:rFonts w:asciiTheme="minorBidi" w:eastAsia="Calibri" w:hAnsiTheme="minorBidi" w:cs="Arial" w:hint="cs"/>
          <w:rtl/>
          <w:lang w:bidi="ar-SA"/>
        </w:rPr>
        <w:t>الميزان الصافي*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ل</w:t>
      </w:r>
      <w:r w:rsidRPr="005736DB">
        <w:rPr>
          <w:rFonts w:asciiTheme="minorBidi" w:eastAsia="Calibri" w:hAnsiTheme="minorBidi" w:cs="Arial" w:hint="cs"/>
          <w:rtl/>
          <w:lang w:bidi="ar-SA"/>
        </w:rPr>
        <w:t>لتغير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Pr="005736DB">
        <w:rPr>
          <w:rFonts w:asciiTheme="minorBidi" w:eastAsia="Calibri" w:hAnsiTheme="minorBidi" w:cs="Arial" w:hint="cs"/>
          <w:rtl/>
          <w:lang w:bidi="ar-SA"/>
        </w:rPr>
        <w:t>البيانات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المتوقعة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بالخط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المتقطع</w:t>
      </w:r>
      <w:r w:rsidRPr="005736DB">
        <w:rPr>
          <w:rFonts w:asciiTheme="minorBidi" w:eastAsia="Calibri" w:hAnsiTheme="minorBidi" w:cs="Arial"/>
          <w:rtl/>
          <w:lang w:bidi="ar-SA"/>
        </w:rPr>
        <w:t>)</w:t>
      </w:r>
    </w:p>
    <w:p w:rsidR="00E716D0" w:rsidRPr="005736DB" w:rsidRDefault="003F2318" w:rsidP="00E716D0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theme="minorBidi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3860800" cy="2498580"/>
            <wp:effectExtent l="0" t="0" r="25400" b="1651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D99" w:rsidRPr="005736DB" w:rsidRDefault="003F2318" w:rsidP="00D3434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theme="minorBidi"/>
          <w:rtl/>
        </w:rPr>
        <w:t xml:space="preserve"> </w:t>
      </w:r>
    </w:p>
    <w:p w:rsidR="00C5486D" w:rsidRPr="005736DB" w:rsidRDefault="00C5486D" w:rsidP="00B8708C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E716D0">
      <w:pPr>
        <w:pStyle w:val="NormalWeb"/>
        <w:bidi/>
        <w:ind w:firstLine="720"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</w:rPr>
      </w:pPr>
    </w:p>
    <w:p w:rsidR="00C5486D" w:rsidRPr="005736DB" w:rsidRDefault="003F2318" w:rsidP="00C5486D">
      <w:pPr>
        <w:pStyle w:val="NormalWeb"/>
        <w:bidi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theme="minorBidi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3721100" cy="2819400"/>
            <wp:effectExtent l="0" t="0" r="12700" b="1905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</w:rPr>
      </w:pPr>
    </w:p>
    <w:p w:rsidR="00C5486D" w:rsidRPr="005736DB" w:rsidRDefault="00C5486D" w:rsidP="00C5486D">
      <w:pPr>
        <w:pStyle w:val="NormalWeb"/>
        <w:bidi/>
        <w:rPr>
          <w:rFonts w:asciiTheme="minorBidi" w:eastAsia="Calibri" w:hAnsiTheme="minorBidi" w:cstheme="minorBidi"/>
          <w:rtl/>
          <w:lang w:bidi="ar-SA"/>
        </w:rPr>
      </w:pPr>
    </w:p>
    <w:p w:rsidR="005736DB" w:rsidRPr="001006CF" w:rsidRDefault="003F2318" w:rsidP="001006CF">
      <w:pPr>
        <w:pStyle w:val="NormalWeb"/>
        <w:bidi/>
        <w:rPr>
          <w:rFonts w:asciiTheme="minorBidi" w:eastAsia="Calibri" w:hAnsiTheme="minorBidi" w:cstheme="minorBidi"/>
          <w:sz w:val="22"/>
          <w:szCs w:val="22"/>
          <w:lang w:bidi="ar-SA"/>
        </w:rPr>
      </w:pP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*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القيمة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الإيجابية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تشير إلى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زيادة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الطلب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على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الائتمان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والعكس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 xml:space="preserve"> </w:t>
      </w:r>
      <w:r w:rsidRPr="001006CF">
        <w:rPr>
          <w:rFonts w:asciiTheme="minorBidi" w:eastAsia="Calibri" w:hAnsiTheme="minorBidi" w:cs="Arial" w:hint="cs"/>
          <w:sz w:val="22"/>
          <w:szCs w:val="22"/>
          <w:rtl/>
          <w:lang w:bidi="ar-SA"/>
        </w:rPr>
        <w:t>صحيح</w:t>
      </w:r>
      <w:r w:rsidRPr="001006CF">
        <w:rPr>
          <w:rFonts w:asciiTheme="minorBidi" w:eastAsia="Calibri" w:hAnsiTheme="minorBidi" w:cs="Arial"/>
          <w:sz w:val="22"/>
          <w:szCs w:val="22"/>
          <w:rtl/>
          <w:lang w:bidi="ar-SA"/>
        </w:rPr>
        <w:t>.</w:t>
      </w:r>
    </w:p>
    <w:p w:rsid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حيث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تأثير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العوامل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المختلفة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يبدو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المخزون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ورأس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المال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الجاري</w:t>
      </w:r>
      <w:r w:rsidRPr="005736DB">
        <w:rPr>
          <w:rFonts w:asciiTheme="minorBidi" w:eastAsia="Calibri" w:hAnsiTheme="minorBidi" w:cs="Arial" w:hint="cs"/>
          <w:rtl/>
          <w:lang w:bidi="ar-SA"/>
        </w:rPr>
        <w:t>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مشكلة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التدفق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النقدي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للمصلحة التجارية</w:t>
      </w:r>
      <w:r w:rsidRPr="005736DB">
        <w:rPr>
          <w:rFonts w:asciiTheme="minorBidi" w:eastAsia="Calibri" w:hAnsiTheme="minorBidi" w:cs="Arial" w:hint="cs"/>
          <w:rtl/>
          <w:lang w:bidi="ar-SA"/>
        </w:rPr>
        <w:t>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لا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تزال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الرئيسي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قبل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المصالح التجارية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الصغيرة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والمتناهية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الصغر،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البناء،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كان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الرئيسي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هو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تمويل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المشاريع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المغلقة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2).</w:t>
      </w: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Pr="005736DB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lang w:bidi="ar-SA"/>
        </w:rPr>
      </w:pPr>
    </w:p>
    <w:p w:rsidR="005736DB" w:rsidRP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2. </w:t>
      </w:r>
      <w:r w:rsidR="001006CF">
        <w:rPr>
          <w:rFonts w:asciiTheme="minorBidi" w:eastAsia="Calibri" w:hAnsiTheme="minorBidi" w:cs="Arial" w:hint="cs"/>
          <w:rtl/>
          <w:lang w:bidi="ar-SA"/>
        </w:rPr>
        <w:t>الموازين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الصافية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للتغير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تأثير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عوامل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مختلفة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</w:p>
    <w:p w:rsidR="00C5486D" w:rsidRPr="005736DB" w:rsidRDefault="003F2318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511810</wp:posOffset>
            </wp:positionH>
            <wp:positionV relativeFrom="paragraph">
              <wp:posOffset>281940</wp:posOffset>
            </wp:positionV>
            <wp:extent cx="3175000" cy="2331085"/>
            <wp:effectExtent l="0" t="0" r="25400" b="12065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486D" w:rsidRPr="005736DB" w:rsidRDefault="00C5486D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C5486D" w:rsidRPr="005736DB" w:rsidRDefault="00C5486D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C5486D" w:rsidRPr="005736DB" w:rsidRDefault="00C5486D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E716D0" w:rsidRPr="005736DB" w:rsidRDefault="00E716D0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3F2318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511598</wp:posOffset>
            </wp:positionH>
            <wp:positionV relativeFrom="paragraph">
              <wp:posOffset>311150</wp:posOffset>
            </wp:positionV>
            <wp:extent cx="3289300" cy="2452370"/>
            <wp:effectExtent l="0" t="0" r="25400" b="2413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483" w:rsidRPr="005736DB" w:rsidRDefault="007E7483" w:rsidP="001006CF">
      <w:pPr>
        <w:pStyle w:val="NormalWeb"/>
        <w:bidi/>
        <w:spacing w:line="360" w:lineRule="auto"/>
        <w:jc w:val="center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7E7483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7E7483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7E7483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7E7483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7E7483" w:rsidRPr="005736DB" w:rsidRDefault="007E7483" w:rsidP="007E7483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القيمة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الإيجابية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تشير إلى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المساهمة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زيادة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الطلب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والعكس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صحيح</w:t>
      </w:r>
      <w:r w:rsidRPr="005736DB">
        <w:rPr>
          <w:rFonts w:asciiTheme="minorBidi" w:eastAsia="Calibri" w:hAnsiTheme="minorBidi" w:cs="Arial"/>
          <w:rtl/>
          <w:lang w:bidi="ar-SA"/>
        </w:rPr>
        <w:t>.</w:t>
      </w:r>
    </w:p>
    <w:p w:rsidR="001006CF" w:rsidRDefault="001006CF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1006CF" w:rsidRDefault="001006CF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</w:p>
    <w:p w:rsidR="00DC0AC6" w:rsidRPr="005736DB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</w:p>
    <w:p w:rsidR="005736DB" w:rsidRP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="Arial" w:hint="cs"/>
          <w:rtl/>
          <w:lang w:bidi="ar-SA"/>
        </w:rPr>
        <w:lastRenderedPageBreak/>
        <w:t>ب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>
        <w:rPr>
          <w:rFonts w:asciiTheme="minorBidi" w:eastAsia="Calibri" w:hAnsiTheme="minorBidi" w:cs="Arial" w:hint="cs"/>
          <w:rtl/>
          <w:lang w:bidi="ar-SA"/>
        </w:rPr>
        <w:t>ال</w:t>
      </w:r>
      <w:r w:rsidRPr="005736DB">
        <w:rPr>
          <w:rFonts w:asciiTheme="minorBidi" w:eastAsia="Calibri" w:hAnsiTheme="minorBidi" w:cs="Arial" w:hint="cs"/>
          <w:rtl/>
          <w:lang w:bidi="ar-SA"/>
        </w:rPr>
        <w:t>عرض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 xml:space="preserve">على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</w:p>
    <w:p w:rsidR="005736DB" w:rsidRP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استمر</w:t>
      </w:r>
      <w:r w:rsidR="001006CF">
        <w:rPr>
          <w:rFonts w:asciiTheme="minorBidi" w:eastAsia="Calibri" w:hAnsiTheme="minorBidi" w:cs="Arial" w:hint="cs"/>
          <w:rtl/>
          <w:lang w:bidi="ar-SA"/>
        </w:rPr>
        <w:t>ت زيادة المرونة 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شروط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الربع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الأول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العام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معظم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قطاعات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وانعكس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ذلك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بشكل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رئيسي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عند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مستوى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متوسط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​​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المخاطر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. </w:t>
      </w:r>
      <w:r w:rsidRPr="005736DB">
        <w:rPr>
          <w:rFonts w:asciiTheme="minorBidi" w:eastAsia="Calibri" w:hAnsiTheme="minorBidi" w:cs="Arial" w:hint="cs"/>
          <w:rtl/>
          <w:lang w:bidi="ar-SA"/>
        </w:rPr>
        <w:t>من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ناحية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أخرى،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هناك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تشديد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ملحوظ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>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سوق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الإسكان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عالي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المخاطر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3).</w:t>
      </w:r>
    </w:p>
    <w:p w:rsidR="005736DB" w:rsidRPr="005736DB" w:rsidRDefault="003F2318" w:rsidP="001006CF">
      <w:pPr>
        <w:pStyle w:val="NormalWeb"/>
        <w:bidi/>
        <w:jc w:val="both"/>
        <w:rPr>
          <w:rFonts w:asciiTheme="minorBidi" w:eastAsia="Calibri" w:hAnsiTheme="minorBidi" w:cstheme="minorBidi"/>
          <w:rtl/>
          <w:lang w:bidi="ar-SA"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3: </w:t>
      </w:r>
      <w:r w:rsidR="001006CF">
        <w:rPr>
          <w:rFonts w:asciiTheme="minorBidi" w:eastAsia="Calibri" w:hAnsiTheme="minorBidi" w:cs="Arial" w:hint="cs"/>
          <w:rtl/>
          <w:lang w:bidi="ar-SA"/>
        </w:rPr>
        <w:t>الموازين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الصافية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للتغيرات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شروط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1006CF">
        <w:rPr>
          <w:rFonts w:asciiTheme="minorBidi" w:eastAsia="Calibri" w:hAnsiTheme="minorBidi" w:cs="Arial" w:hint="cs"/>
          <w:rtl/>
          <w:lang w:bidi="ar-SA"/>
        </w:rPr>
        <w:t xml:space="preserve">في </w:t>
      </w:r>
      <w:r w:rsidRPr="005736DB">
        <w:rPr>
          <w:rFonts w:asciiTheme="minorBidi" w:eastAsia="Calibri" w:hAnsiTheme="minorBidi" w:cs="Arial" w:hint="cs"/>
          <w:rtl/>
          <w:lang w:bidi="ar-SA"/>
        </w:rPr>
        <w:t>طلبات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الجديدة</w:t>
      </w:r>
    </w:p>
    <w:p w:rsidR="00D70679" w:rsidRPr="005736DB" w:rsidRDefault="003F2318" w:rsidP="00D70679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1477010</wp:posOffset>
            </wp:positionH>
            <wp:positionV relativeFrom="paragraph">
              <wp:posOffset>154940</wp:posOffset>
            </wp:positionV>
            <wp:extent cx="3064510" cy="2104390"/>
            <wp:effectExtent l="0" t="0" r="21590" b="1016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3F2318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1477432</wp:posOffset>
            </wp:positionH>
            <wp:positionV relativeFrom="paragraph">
              <wp:posOffset>223097</wp:posOffset>
            </wp:positionV>
            <wp:extent cx="3057857" cy="1879600"/>
            <wp:effectExtent l="0" t="0" r="9525" b="25400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3F2318" w:rsidP="005736DB">
      <w:pPr>
        <w:pStyle w:val="NormalWeb"/>
        <w:tabs>
          <w:tab w:val="left" w:pos="2767"/>
        </w:tabs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>
        <w:rPr>
          <w:rFonts w:asciiTheme="minorBidi" w:eastAsia="Calibri" w:hAnsiTheme="minorBidi" w:cstheme="minorBidi"/>
          <w:rtl/>
        </w:rPr>
        <w:tab/>
      </w:r>
    </w:p>
    <w:p w:rsidR="001006CF" w:rsidRPr="00DC0AC6" w:rsidRDefault="003F2318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القيمة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الإيجابية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تشير إلى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تشديد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شروط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والعكس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صحيح</w:t>
      </w:r>
      <w:r w:rsidRPr="005736DB">
        <w:rPr>
          <w:rFonts w:asciiTheme="minorBidi" w:eastAsia="Calibri" w:hAnsiTheme="minorBidi" w:cs="Arial"/>
          <w:rtl/>
          <w:lang w:bidi="ar-SA"/>
        </w:rPr>
        <w:t>.</w:t>
      </w:r>
    </w:p>
    <w:p w:rsidR="00E716D0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  <w:r>
        <w:rPr>
          <w:rFonts w:asciiTheme="minorBidi" w:eastAsia="Calibri" w:hAnsiTheme="minorBidi" w:cs="Arial" w:hint="cs"/>
          <w:rtl/>
          <w:lang w:bidi="ar-SA"/>
        </w:rPr>
        <w:t>استمرت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العوامل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الرئيسية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الدافعة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لمرونة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الهوامش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في كونها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عوامل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>
        <w:rPr>
          <w:rFonts w:asciiTheme="minorBidi" w:eastAsia="Calibri" w:hAnsiTheme="minorBidi" w:cs="Arial" w:hint="cs"/>
          <w:rtl/>
          <w:lang w:bidi="ar-SA"/>
        </w:rPr>
        <w:t>ل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لمنافسة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ونسب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رأس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المال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المرتفعة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(</w:t>
      </w:r>
      <w:r w:rsidR="005736DB" w:rsidRPr="005736DB">
        <w:rPr>
          <w:rFonts w:asciiTheme="minorBidi" w:eastAsia="Calibri" w:hAnsiTheme="minorBidi" w:cs="Arial" w:hint="cs"/>
          <w:rtl/>
          <w:lang w:bidi="ar-SA"/>
        </w:rPr>
        <w:t>الشكل</w:t>
      </w:r>
      <w:r w:rsidR="005736DB" w:rsidRPr="005736DB">
        <w:rPr>
          <w:rFonts w:asciiTheme="minorBidi" w:eastAsia="Calibri" w:hAnsiTheme="minorBidi" w:cs="Arial"/>
          <w:rtl/>
          <w:lang w:bidi="ar-SA"/>
        </w:rPr>
        <w:t xml:space="preserve"> 4).</w:t>
      </w: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DC0AC6" w:rsidRDefault="00DC0AC6" w:rsidP="00DC0AC6">
      <w:pPr>
        <w:pStyle w:val="NormalWeb"/>
        <w:bidi/>
        <w:spacing w:line="360" w:lineRule="auto"/>
        <w:jc w:val="both"/>
        <w:rPr>
          <w:rFonts w:asciiTheme="minorBidi" w:eastAsia="Calibri" w:hAnsiTheme="minorBidi" w:cs="Arial"/>
          <w:rtl/>
          <w:lang w:bidi="ar-SA"/>
        </w:rPr>
      </w:pPr>
    </w:p>
    <w:p w:rsidR="00363ABE" w:rsidRPr="005736DB" w:rsidRDefault="003F2318" w:rsidP="001006CF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eastAsia="Calibri" w:hAnsiTheme="minorBidi" w:cs="Arial" w:hint="cs"/>
          <w:rtl/>
          <w:lang w:bidi="ar-SA"/>
        </w:rPr>
        <w:lastRenderedPageBreak/>
        <w:t>الشكل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4. </w:t>
      </w:r>
      <w:r w:rsidR="001006CF">
        <w:rPr>
          <w:rFonts w:asciiTheme="minorBidi" w:eastAsia="Calibri" w:hAnsiTheme="minorBidi" w:cs="Arial" w:hint="cs"/>
          <w:rtl/>
          <w:lang w:bidi="ar-SA"/>
        </w:rPr>
        <w:t>الموازين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الصافية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للتغيرات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تأثير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العوامل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المختلفة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على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التغير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فروق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الائتمان</w:t>
      </w:r>
    </w:p>
    <w:p w:rsidR="004D4EC7" w:rsidRPr="005736DB" w:rsidRDefault="003F2318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1746936</wp:posOffset>
            </wp:positionH>
            <wp:positionV relativeFrom="paragraph">
              <wp:posOffset>28867</wp:posOffset>
            </wp:positionV>
            <wp:extent cx="2757102" cy="2335427"/>
            <wp:effectExtent l="0" t="0" r="24765" b="2730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ABE" w:rsidRPr="005736DB" w:rsidRDefault="00363ABE" w:rsidP="00C16B56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 w:hint="cs"/>
          <w:rtl/>
        </w:rPr>
      </w:pPr>
    </w:p>
    <w:p w:rsidR="00B1613B" w:rsidRPr="005736DB" w:rsidRDefault="00B1613B" w:rsidP="00CE0381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3F2318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1748155</wp:posOffset>
            </wp:positionH>
            <wp:positionV relativeFrom="paragraph">
              <wp:posOffset>370840</wp:posOffset>
            </wp:positionV>
            <wp:extent cx="2804795" cy="2179320"/>
            <wp:effectExtent l="0" t="0" r="14605" b="1143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3F2318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  <w:bookmarkStart w:id="0" w:name="_GoBack"/>
      <w:r w:rsidRPr="005736DB">
        <w:rPr>
          <w:rFonts w:asciiTheme="minorBidi" w:hAnsiTheme="minorBidi" w:cstheme="minorBid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1851025</wp:posOffset>
            </wp:positionH>
            <wp:positionV relativeFrom="paragraph">
              <wp:posOffset>197485</wp:posOffset>
            </wp:positionV>
            <wp:extent cx="2724150" cy="2001520"/>
            <wp:effectExtent l="0" t="0" r="19050" b="17780"/>
            <wp:wrapNone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noProof/>
          <w:rtl/>
        </w:rPr>
      </w:pPr>
    </w:p>
    <w:p w:rsidR="00B1613B" w:rsidRPr="005736DB" w:rsidRDefault="00B1613B" w:rsidP="00B1613B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</w:p>
    <w:p w:rsidR="005736DB" w:rsidRPr="005736DB" w:rsidRDefault="003F2318" w:rsidP="003D5215">
      <w:pPr>
        <w:pStyle w:val="NormalWeb"/>
        <w:bidi/>
        <w:spacing w:line="360" w:lineRule="auto"/>
        <w:jc w:val="both"/>
        <w:rPr>
          <w:rFonts w:asciiTheme="minorBidi" w:eastAsia="Calibri" w:hAnsiTheme="minorBidi" w:cstheme="minorBidi"/>
          <w:rtl/>
          <w:lang w:bidi="ar-SA"/>
        </w:rPr>
      </w:pPr>
      <w:r w:rsidRPr="005736DB">
        <w:rPr>
          <w:rFonts w:asciiTheme="minorBidi" w:eastAsia="Calibri" w:hAnsiTheme="minorBidi" w:cs="Arial"/>
          <w:rtl/>
          <w:lang w:bidi="ar-SA"/>
        </w:rPr>
        <w:t xml:space="preserve">* </w:t>
      </w:r>
      <w:r w:rsidRPr="005736DB">
        <w:rPr>
          <w:rFonts w:asciiTheme="minorBidi" w:eastAsia="Calibri" w:hAnsiTheme="minorBidi" w:cs="Arial" w:hint="cs"/>
          <w:rtl/>
          <w:lang w:bidi="ar-SA"/>
        </w:rPr>
        <w:t>القيمة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الإيجابية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3D5215">
        <w:rPr>
          <w:rFonts w:asciiTheme="minorBidi" w:eastAsia="Calibri" w:hAnsiTheme="minorBidi" w:cs="Arial" w:hint="cs"/>
          <w:rtl/>
          <w:lang w:bidi="ar-SA"/>
        </w:rPr>
        <w:t>تشير إلى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المساهمة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3D5215">
        <w:rPr>
          <w:rFonts w:asciiTheme="minorBidi" w:eastAsia="Calibri" w:hAnsiTheme="minorBidi" w:cs="Arial" w:hint="cs"/>
          <w:rtl/>
          <w:lang w:bidi="ar-SA"/>
        </w:rPr>
        <w:t>التشديد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في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="003D5215">
        <w:rPr>
          <w:rFonts w:asciiTheme="minorBidi" w:eastAsia="Calibri" w:hAnsiTheme="minorBidi" w:cs="Arial" w:hint="cs"/>
          <w:rtl/>
          <w:lang w:bidi="ar-SA"/>
        </w:rPr>
        <w:t>الهوامش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والعكس</w:t>
      </w:r>
      <w:r w:rsidRPr="005736DB">
        <w:rPr>
          <w:rFonts w:asciiTheme="minorBidi" w:eastAsia="Calibri" w:hAnsiTheme="minorBidi" w:cs="Arial"/>
          <w:rtl/>
          <w:lang w:bidi="ar-SA"/>
        </w:rPr>
        <w:t xml:space="preserve"> </w:t>
      </w:r>
      <w:r w:rsidRPr="005736DB">
        <w:rPr>
          <w:rFonts w:asciiTheme="minorBidi" w:eastAsia="Calibri" w:hAnsiTheme="minorBidi" w:cs="Arial" w:hint="cs"/>
          <w:rtl/>
          <w:lang w:bidi="ar-SA"/>
        </w:rPr>
        <w:t>صحيح</w:t>
      </w:r>
    </w:p>
    <w:sectPr w:rsidR="005736DB" w:rsidRPr="005736DB" w:rsidSect="002A6376"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2318">
      <w:pPr>
        <w:spacing w:after="0" w:line="240" w:lineRule="auto"/>
      </w:pPr>
      <w:r>
        <w:separator/>
      </w:r>
    </w:p>
  </w:endnote>
  <w:endnote w:type="continuationSeparator" w:id="0">
    <w:p w:rsidR="00000000" w:rsidRDefault="003F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6D0" w:rsidRDefault="003F2318" w:rsidP="00F20046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1590675</wp:posOffset>
              </wp:positionH>
              <wp:positionV relativeFrom="paragraph">
                <wp:posOffset>111760</wp:posOffset>
              </wp:positionV>
              <wp:extent cx="2009775" cy="361950"/>
              <wp:effectExtent l="0" t="0" r="0" b="0"/>
              <wp:wrapNone/>
              <wp:docPr id="14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6D0" w:rsidRPr="00031A9D" w:rsidRDefault="003F2318" w:rsidP="00F25BB5">
                          <w:pPr>
                            <w:bidi w:val="0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" w:history="1">
                            <w:r w:rsidRPr="00F25BB5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https://www.boi.org.il/bank-of-israel/boi-podcast/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left:0;text-align:left;margin-left:125.25pt;margin-top:8.8pt;width:158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" filled="f" stroked="f" strokeweight=".5pt">
              <v:textbox>
                <w:txbxContent>
                  <w:p w:rsidR="00E716D0" w:rsidRPr="00031A9D" w:rsidRDefault="003F2318" w:rsidP="00F25BB5">
                    <w:pPr>
                      <w:bidi w:val="0"/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2" w:history="1">
                      <w:r w:rsidRPr="00F25BB5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https://www.boi.org.il/bank-of-israel/boi-podcast/</w:t>
                      </w:r>
                    </w:hyperlink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24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25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"/>
                  <pic:cNvPicPr/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2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תמונה 7"/>
                  <pic:cNvPicPr>
                    <a:picLocks noChangeAspect="1"/>
                  </pic:cNvPicPr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תמונה 8"/>
                  <pic:cNvPicPr>
                    <a:picLocks noChangeAspect="1"/>
                  </pic:cNvPicPr>
                </pic:nvPicPr>
                <pic:blipFill>
                  <a:blip r:embed="rId6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17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6D0" w:rsidRPr="00031A9D" w:rsidRDefault="003F2318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left:0;text-align:left;margin-left:-23.05pt;margin-top:6pt;width:167.75pt;height:48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" filled="f" stroked="f" strokeweight=".5pt">
              <v:textbox>
                <w:txbxContent>
                  <w:p w:rsidR="00E716D0" w:rsidRPr="00031A9D" w:rsidRDefault="003F2318" w:rsidP="00031A9D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18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6D0" w:rsidRPr="00031A9D" w:rsidRDefault="003F2318" w:rsidP="00031A9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9" o:spid="_x0000_s1028" type="#_x0000_t202" style="position:absolute;left:0;text-align:left;margin-left:256.5pt;margin-top:7.05pt;width:171.8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" filled="f" stroked="f" strokeweight=".5pt">
              <v:textbox>
                <w:txbxContent>
                  <w:p w:rsidR="00E716D0" w:rsidRPr="00031A9D" w:rsidRDefault="003F2318" w:rsidP="00031A9D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20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716D0" w:rsidRPr="00031A9D" w:rsidRDefault="003F2318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7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BRCfILPQIAAFQ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E716D0" w:rsidRPr="00031A9D" w:rsidRDefault="003F2318" w:rsidP="00F20046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23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D7863C" id="מחבר ישר 1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E716D0" w:rsidRDefault="00E71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0E" w:rsidRDefault="003F2318" w:rsidP="00343A83">
      <w:pPr>
        <w:spacing w:after="0" w:line="240" w:lineRule="auto"/>
      </w:pPr>
      <w:r>
        <w:separator/>
      </w:r>
    </w:p>
  </w:footnote>
  <w:footnote w:type="continuationSeparator" w:id="0">
    <w:p w:rsidR="00C0480E" w:rsidRDefault="003F2318" w:rsidP="00343A83">
      <w:pPr>
        <w:spacing w:after="0" w:line="240" w:lineRule="auto"/>
      </w:pPr>
      <w:r>
        <w:continuationSeparator/>
      </w:r>
    </w:p>
  </w:footnote>
  <w:footnote w:id="1">
    <w:p w:rsidR="00B51A9A" w:rsidRDefault="003F2318" w:rsidP="00C76DE1">
      <w:pPr>
        <w:pStyle w:val="FootnoteText"/>
        <w:ind w:left="-58"/>
        <w:rPr>
          <w:rFonts w:asciiTheme="minorBidi" w:hAnsiTheme="minorBidi" w:cstheme="minorBidi"/>
          <w:rtl/>
        </w:rPr>
      </w:pPr>
      <w:r w:rsidRPr="00ED21F7">
        <w:rPr>
          <w:rStyle w:val="FootnoteReference"/>
          <w:rFonts w:asciiTheme="minorBidi" w:hAnsiTheme="minorBidi" w:cstheme="minorBidi"/>
        </w:rPr>
        <w:footnoteRef/>
      </w:r>
      <w:r w:rsidRPr="00ED21F7">
        <w:rPr>
          <w:rFonts w:asciiTheme="minorBidi" w:hAnsiTheme="minorBidi" w:cstheme="minorBidi"/>
          <w:rtl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يتم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حساب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C76DE1">
        <w:rPr>
          <w:rFonts w:asciiTheme="minorBidi" w:hAnsiTheme="minorBidi" w:cs="Arial" w:hint="cs"/>
          <w:rtl/>
          <w:lang w:bidi="ar-SA"/>
        </w:rPr>
        <w:t>الميزان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الصافي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أنه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الفرق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بين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نسبة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الا</w:t>
      </w:r>
      <w:r w:rsidR="005736DB" w:rsidRPr="005736DB">
        <w:rPr>
          <w:rFonts w:asciiTheme="minorBidi" w:hAnsiTheme="minorBidi" w:cs="Arial" w:hint="cs"/>
          <w:rtl/>
          <w:lang w:bidi="ar-SA"/>
        </w:rPr>
        <w:t>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الإيجابي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ونسبة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الا</w:t>
      </w:r>
      <w:r w:rsidR="005736DB" w:rsidRPr="005736DB">
        <w:rPr>
          <w:rFonts w:asciiTheme="minorBidi" w:hAnsiTheme="minorBidi" w:cs="Arial" w:hint="cs"/>
          <w:rtl/>
          <w:lang w:bidi="ar-SA"/>
        </w:rPr>
        <w:t>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السلبي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.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الأسئلة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المتعلقة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بالطلب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الائتمان،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تعريف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"</w:t>
      </w:r>
      <w:r w:rsidR="005736DB" w:rsidRPr="005736DB">
        <w:rPr>
          <w:rFonts w:asciiTheme="minorBidi" w:hAnsiTheme="minorBidi" w:cs="Arial" w:hint="cs"/>
          <w:rtl/>
          <w:lang w:bidi="ar-SA"/>
        </w:rPr>
        <w:t>زاد</w:t>
      </w:r>
      <w:r w:rsidR="005736DB" w:rsidRPr="005736DB">
        <w:rPr>
          <w:rFonts w:asciiTheme="minorBidi" w:hAnsiTheme="minorBidi" w:cs="Arial"/>
          <w:rtl/>
          <w:lang w:bidi="ar-SA"/>
        </w:rPr>
        <w:t>/</w:t>
      </w:r>
      <w:r w:rsidR="005736DB" w:rsidRPr="005736DB">
        <w:rPr>
          <w:rFonts w:asciiTheme="minorBidi" w:hAnsiTheme="minorBidi" w:cs="Arial" w:hint="cs"/>
          <w:rtl/>
          <w:lang w:bidi="ar-SA"/>
        </w:rPr>
        <w:t>زاد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بشكل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كبير</w:t>
      </w:r>
      <w:r w:rsidR="005736DB" w:rsidRPr="005736DB">
        <w:rPr>
          <w:rFonts w:asciiTheme="minorBidi" w:hAnsiTheme="minorBidi" w:cs="Arial"/>
          <w:rtl/>
          <w:lang w:bidi="ar-SA"/>
        </w:rPr>
        <w:t xml:space="preserve">"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الإيجابي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تعريف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"</w:t>
      </w:r>
      <w:r w:rsidR="005736DB" w:rsidRPr="005736DB">
        <w:rPr>
          <w:rFonts w:asciiTheme="minorBidi" w:hAnsiTheme="minorBidi" w:cs="Arial" w:hint="cs"/>
          <w:rtl/>
          <w:lang w:bidi="ar-SA"/>
        </w:rPr>
        <w:t>انخفض</w:t>
      </w:r>
      <w:r w:rsidR="005736DB" w:rsidRPr="005736DB">
        <w:rPr>
          <w:rFonts w:asciiTheme="minorBidi" w:hAnsiTheme="minorBidi" w:cs="Arial"/>
          <w:rtl/>
          <w:lang w:bidi="ar-SA"/>
        </w:rPr>
        <w:t>/</w:t>
      </w:r>
      <w:r w:rsidR="005736DB" w:rsidRPr="005736DB">
        <w:rPr>
          <w:rFonts w:asciiTheme="minorBidi" w:hAnsiTheme="minorBidi" w:cs="Arial" w:hint="cs"/>
          <w:rtl/>
          <w:lang w:bidi="ar-SA"/>
        </w:rPr>
        <w:t>انخفض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بشكل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كبير</w:t>
      </w:r>
      <w:r w:rsidR="005736DB" w:rsidRPr="005736DB">
        <w:rPr>
          <w:rFonts w:asciiTheme="minorBidi" w:hAnsiTheme="minorBidi" w:cs="Arial"/>
          <w:rtl/>
          <w:lang w:bidi="ar-SA"/>
        </w:rPr>
        <w:t xml:space="preserve">"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السلبي،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بحيث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ي</w:t>
      </w:r>
      <w:r w:rsidR="005736DB" w:rsidRPr="005736DB">
        <w:rPr>
          <w:rFonts w:asciiTheme="minorBidi" w:hAnsiTheme="minorBidi" w:cs="Arial" w:hint="cs"/>
          <w:rtl/>
          <w:lang w:bidi="ar-SA"/>
        </w:rPr>
        <w:t>عكس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الميزان الصافي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الإيجابي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زيادة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الطلب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والعكس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صحيح</w:t>
      </w:r>
      <w:r w:rsidR="005736DB" w:rsidRPr="005736DB">
        <w:rPr>
          <w:rFonts w:asciiTheme="minorBidi" w:hAnsiTheme="minorBidi" w:cs="Arial"/>
          <w:rtl/>
          <w:lang w:bidi="ar-SA"/>
        </w:rPr>
        <w:t xml:space="preserve">. </w:t>
      </w:r>
      <w:r w:rsidR="005736DB" w:rsidRPr="005736DB">
        <w:rPr>
          <w:rFonts w:asciiTheme="minorBidi" w:hAnsiTheme="minorBidi" w:cs="Arial" w:hint="cs"/>
          <w:rtl/>
          <w:lang w:bidi="ar-SA"/>
        </w:rPr>
        <w:t>وفي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الأسئلة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المتعلقة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بتوفير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الائتمان،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أي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سياسة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توفير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وشروط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الائتمان،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تعريف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"</w:t>
      </w:r>
      <w:r w:rsidR="005736DB" w:rsidRPr="005736DB">
        <w:rPr>
          <w:rFonts w:asciiTheme="minorBidi" w:hAnsiTheme="minorBidi" w:cs="Arial" w:hint="cs"/>
          <w:rtl/>
          <w:lang w:bidi="ar-SA"/>
        </w:rPr>
        <w:t>تشديد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كبير</w:t>
      </w:r>
      <w:r w:rsidR="005736DB" w:rsidRPr="005736DB">
        <w:rPr>
          <w:rFonts w:asciiTheme="minorBidi" w:hAnsiTheme="minorBidi" w:cs="Arial"/>
          <w:rtl/>
          <w:lang w:bidi="ar-SA"/>
        </w:rPr>
        <w:t>/</w:t>
      </w:r>
      <w:r w:rsidR="005736DB" w:rsidRPr="005736DB">
        <w:rPr>
          <w:rFonts w:asciiTheme="minorBidi" w:hAnsiTheme="minorBidi" w:cs="Arial" w:hint="cs"/>
          <w:rtl/>
          <w:lang w:bidi="ar-SA"/>
        </w:rPr>
        <w:t>بعض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التشديد</w:t>
      </w:r>
      <w:r w:rsidR="005736DB" w:rsidRPr="005736DB">
        <w:rPr>
          <w:rFonts w:asciiTheme="minorBidi" w:hAnsiTheme="minorBidi" w:cs="Arial"/>
          <w:rtl/>
          <w:lang w:bidi="ar-SA"/>
        </w:rPr>
        <w:t xml:space="preserve">"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الإيجابي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تعريف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"</w:t>
      </w:r>
      <w:r w:rsidR="005736DB" w:rsidRPr="005736DB">
        <w:rPr>
          <w:rFonts w:asciiTheme="minorBidi" w:hAnsiTheme="minorBidi" w:cs="Arial" w:hint="cs"/>
          <w:rtl/>
          <w:lang w:bidi="ar-SA"/>
        </w:rPr>
        <w:t>بعض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المرونة</w:t>
      </w:r>
      <w:r w:rsidR="005736DB" w:rsidRPr="005736DB">
        <w:rPr>
          <w:rFonts w:asciiTheme="minorBidi" w:hAnsiTheme="minorBidi" w:cs="Arial"/>
          <w:rtl/>
          <w:lang w:bidi="ar-SA"/>
        </w:rPr>
        <w:t>/</w:t>
      </w:r>
      <w:r w:rsidR="005736DB" w:rsidRPr="005736DB">
        <w:rPr>
          <w:rFonts w:asciiTheme="minorBidi" w:hAnsiTheme="minorBidi" w:cs="Arial" w:hint="cs"/>
          <w:rtl/>
          <w:lang w:bidi="ar-SA"/>
        </w:rPr>
        <w:t>مرونة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كبيرة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" </w:t>
      </w:r>
      <w:r w:rsidR="005736DB" w:rsidRPr="005736DB">
        <w:rPr>
          <w:rFonts w:asciiTheme="minorBidi" w:hAnsiTheme="minorBidi" w:cs="Arial" w:hint="cs"/>
          <w:rtl/>
          <w:lang w:bidi="ar-SA"/>
        </w:rPr>
        <w:t>على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الجانب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السلبي،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بحيث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يعكس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الميزان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الصافي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الإيجابي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تشديداً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سياسة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الائتمان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أو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شروطه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والعكس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صحيح</w:t>
      </w:r>
      <w:r w:rsidR="005736DB" w:rsidRPr="005736DB">
        <w:rPr>
          <w:rFonts w:asciiTheme="minorBidi" w:hAnsiTheme="minorBidi" w:cs="Arial"/>
          <w:rtl/>
          <w:lang w:bidi="ar-SA"/>
        </w:rPr>
        <w:t xml:space="preserve">. </w:t>
      </w:r>
      <w:r w:rsidR="005736DB" w:rsidRPr="005736DB">
        <w:rPr>
          <w:rFonts w:asciiTheme="minorBidi" w:hAnsiTheme="minorBidi" w:cs="Arial" w:hint="cs"/>
          <w:rtl/>
          <w:lang w:bidi="ar-SA"/>
        </w:rPr>
        <w:t>تم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ترجيح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الإجابات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وفقا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لحصة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بنك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في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5736DB" w:rsidRPr="005736DB">
        <w:rPr>
          <w:rFonts w:asciiTheme="minorBidi" w:hAnsiTheme="minorBidi" w:cs="Arial" w:hint="cs"/>
          <w:rtl/>
          <w:lang w:bidi="ar-SA"/>
        </w:rPr>
        <w:t>كل</w:t>
      </w:r>
      <w:r w:rsidR="005736DB" w:rsidRPr="005736DB">
        <w:rPr>
          <w:rFonts w:asciiTheme="minorBidi" w:hAnsiTheme="minorBidi" w:cs="Arial"/>
          <w:rtl/>
          <w:lang w:bidi="ar-SA"/>
        </w:rPr>
        <w:t xml:space="preserve"> </w:t>
      </w:r>
      <w:r w:rsidR="002C4AE2">
        <w:rPr>
          <w:rFonts w:asciiTheme="minorBidi" w:hAnsiTheme="minorBidi" w:cs="Arial" w:hint="cs"/>
          <w:rtl/>
          <w:lang w:bidi="ar-SA"/>
        </w:rPr>
        <w:t>قطاع من الائتمان</w:t>
      </w:r>
      <w:r w:rsidR="005736DB" w:rsidRPr="005736DB">
        <w:rPr>
          <w:rFonts w:asciiTheme="minorBidi" w:hAnsiTheme="minorBidi" w:cs="Arial"/>
          <w:rtl/>
          <w:lang w:bidi="ar-SA"/>
        </w:rPr>
        <w:t>.</w:t>
      </w:r>
    </w:p>
    <w:p w:rsidR="0084093E" w:rsidRPr="00ED21F7" w:rsidRDefault="003F2318" w:rsidP="002F6E2A">
      <w:pPr>
        <w:pStyle w:val="FootnoteText"/>
        <w:ind w:left="-58"/>
        <w:rPr>
          <w:rFonts w:asciiTheme="minorBidi" w:hAnsiTheme="minorBidi" w:cstheme="minorBidi"/>
          <w:rtl/>
        </w:rPr>
      </w:pPr>
      <w:r w:rsidRPr="00ED21F7">
        <w:rPr>
          <w:rFonts w:asciiTheme="minorBidi" w:hAnsiTheme="minorBidi" w:cstheme="minorBidi"/>
          <w:rtl/>
        </w:rPr>
        <w:t xml:space="preserve"> </w:t>
      </w:r>
    </w:p>
  </w:footnote>
  <w:footnote w:id="2">
    <w:p w:rsidR="00CB714F" w:rsidRDefault="003F2318" w:rsidP="001006C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يتم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تعريف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قطاعي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البناء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والعقارات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وفقاً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للتصنيف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القياسي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1006CF">
        <w:rPr>
          <w:rFonts w:cs="Times New Roman" w:hint="cs"/>
          <w:rtl/>
          <w:lang w:bidi="ar-SA"/>
        </w:rPr>
        <w:t>للقطاعات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الاقتصادية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الصادر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عن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1006CF">
        <w:rPr>
          <w:rFonts w:cs="Times New Roman" w:hint="cs"/>
          <w:rtl/>
          <w:lang w:bidi="ar-SA"/>
        </w:rPr>
        <w:t>دائرة الإحصاء المركزية</w:t>
      </w:r>
      <w:r w:rsidR="005736DB" w:rsidRPr="005736DB">
        <w:rPr>
          <w:rFonts w:cs="Times New Roman"/>
          <w:rtl/>
          <w:lang w:bidi="ar-SA"/>
        </w:rPr>
        <w:t xml:space="preserve">. </w:t>
      </w:r>
      <w:r w:rsidR="001006CF">
        <w:rPr>
          <w:rFonts w:cs="Times New Roman" w:hint="cs"/>
          <w:rtl/>
          <w:lang w:bidi="ar-SA"/>
        </w:rPr>
        <w:t>ي</w:t>
      </w:r>
      <w:r w:rsidR="005736DB" w:rsidRPr="005736DB">
        <w:rPr>
          <w:rFonts w:cs="Times New Roman" w:hint="cs"/>
          <w:rtl/>
          <w:lang w:bidi="ar-SA"/>
        </w:rPr>
        <w:t>شمل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1006CF">
        <w:rPr>
          <w:rFonts w:cs="Times New Roman" w:hint="cs"/>
          <w:rtl/>
          <w:lang w:bidi="ar-SA"/>
        </w:rPr>
        <w:t>قطاع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البناء</w:t>
      </w:r>
      <w:r w:rsidR="005736DB" w:rsidRPr="005736DB">
        <w:rPr>
          <w:rFonts w:cs="Times New Roman"/>
          <w:rtl/>
          <w:lang w:bidi="ar-SA"/>
        </w:rPr>
        <w:t xml:space="preserve"> (</w:t>
      </w:r>
      <w:r w:rsidR="001006CF">
        <w:rPr>
          <w:rFonts w:cs="Times New Roman" w:hint="cs"/>
          <w:rtl/>
          <w:lang w:bidi="ar-SA"/>
        </w:rPr>
        <w:t>الترتيب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t>F</w:t>
      </w:r>
      <w:r w:rsidR="005736DB" w:rsidRPr="005736DB">
        <w:rPr>
          <w:rFonts w:cs="Times New Roman"/>
          <w:rtl/>
          <w:lang w:bidi="ar-SA"/>
        </w:rPr>
        <w:t xml:space="preserve">) </w:t>
      </w:r>
      <w:r w:rsidR="005736DB" w:rsidRPr="005736DB">
        <w:rPr>
          <w:rFonts w:cs="Times New Roman" w:hint="cs"/>
          <w:rtl/>
          <w:lang w:bidi="ar-SA"/>
        </w:rPr>
        <w:t>بشكل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أساسي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بناء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الهياكل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والمباني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والبن</w:t>
      </w:r>
      <w:r w:rsidR="001006CF">
        <w:rPr>
          <w:rFonts w:cs="Times New Roman" w:hint="cs"/>
          <w:rtl/>
          <w:lang w:bidi="ar-SA"/>
        </w:rPr>
        <w:t>ى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التحتية،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في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حين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1006CF">
        <w:rPr>
          <w:rFonts w:cs="Times New Roman" w:hint="cs"/>
          <w:rtl/>
          <w:lang w:bidi="ar-SA"/>
        </w:rPr>
        <w:t>ي</w:t>
      </w:r>
      <w:r w:rsidR="005736DB" w:rsidRPr="005736DB">
        <w:rPr>
          <w:rFonts w:cs="Times New Roman" w:hint="cs"/>
          <w:rtl/>
          <w:lang w:bidi="ar-SA"/>
        </w:rPr>
        <w:t>شمل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1006CF">
        <w:rPr>
          <w:rFonts w:cs="Times New Roman" w:hint="cs"/>
          <w:rtl/>
          <w:lang w:bidi="ar-SA"/>
        </w:rPr>
        <w:t>قطاع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العقارات</w:t>
      </w:r>
      <w:r w:rsidR="005736DB" w:rsidRPr="005736DB">
        <w:rPr>
          <w:rFonts w:cs="Times New Roman"/>
          <w:rtl/>
          <w:lang w:bidi="ar-SA"/>
        </w:rPr>
        <w:t xml:space="preserve"> (</w:t>
      </w:r>
      <w:r w:rsidR="001006CF">
        <w:rPr>
          <w:rFonts w:cs="Times New Roman" w:hint="cs"/>
          <w:rtl/>
          <w:lang w:bidi="ar-SA"/>
        </w:rPr>
        <w:t>الترتيب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t>L</w:t>
      </w:r>
      <w:r w:rsidR="005736DB" w:rsidRPr="005736DB">
        <w:rPr>
          <w:rFonts w:cs="Times New Roman"/>
          <w:rtl/>
          <w:lang w:bidi="ar-SA"/>
        </w:rPr>
        <w:t xml:space="preserve">) </w:t>
      </w:r>
      <w:r w:rsidR="005736DB" w:rsidRPr="005736DB">
        <w:rPr>
          <w:rFonts w:cs="Times New Roman" w:hint="cs"/>
          <w:rtl/>
          <w:lang w:bidi="ar-SA"/>
        </w:rPr>
        <w:t>الأنشطة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العقارية،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وخاصة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شراء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وبيع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وتأجير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وتشغيل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العقارات</w:t>
      </w:r>
      <w:r w:rsidR="005736DB" w:rsidRPr="005736DB">
        <w:rPr>
          <w:rFonts w:cs="Times New Roman"/>
          <w:rtl/>
          <w:lang w:bidi="ar-SA"/>
        </w:rPr>
        <w:t xml:space="preserve">. </w:t>
      </w:r>
      <w:r w:rsidR="005736DB" w:rsidRPr="005736DB">
        <w:rPr>
          <w:rFonts w:cs="Times New Roman" w:hint="cs"/>
          <w:rtl/>
          <w:lang w:bidi="ar-SA"/>
        </w:rPr>
        <w:t>ولا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يشمل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ذلك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تطوير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مشاريع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البناء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المخصصة</w:t>
      </w:r>
      <w:r w:rsidR="005736DB" w:rsidRPr="005736DB">
        <w:rPr>
          <w:rFonts w:cs="Times New Roman"/>
          <w:rtl/>
          <w:lang w:bidi="ar-SA"/>
        </w:rPr>
        <w:t xml:space="preserve"> </w:t>
      </w:r>
      <w:r w:rsidR="005736DB" w:rsidRPr="005736DB">
        <w:rPr>
          <w:rFonts w:cs="Times New Roman" w:hint="cs"/>
          <w:rtl/>
          <w:lang w:bidi="ar-SA"/>
        </w:rPr>
        <w:t>للبيع</w:t>
      </w:r>
      <w:r w:rsidR="005736DB" w:rsidRPr="005736DB">
        <w:rPr>
          <w:rFonts w:cs="Times New Roman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72F"/>
    <w:multiLevelType w:val="hybridMultilevel"/>
    <w:tmpl w:val="4A98379A"/>
    <w:lvl w:ilvl="0" w:tplc="2D34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A1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21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80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84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0F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07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7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1AF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01806"/>
    <w:multiLevelType w:val="hybridMultilevel"/>
    <w:tmpl w:val="B210C3D4"/>
    <w:lvl w:ilvl="0" w:tplc="16FC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8F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C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AD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4B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27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2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9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47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D0"/>
    <w:rsid w:val="000032FB"/>
    <w:rsid w:val="00012FA3"/>
    <w:rsid w:val="00025639"/>
    <w:rsid w:val="00026412"/>
    <w:rsid w:val="00031A9D"/>
    <w:rsid w:val="00055125"/>
    <w:rsid w:val="00056C1E"/>
    <w:rsid w:val="00064492"/>
    <w:rsid w:val="00067A32"/>
    <w:rsid w:val="00067E12"/>
    <w:rsid w:val="000736C9"/>
    <w:rsid w:val="00081262"/>
    <w:rsid w:val="0008332E"/>
    <w:rsid w:val="000D14B9"/>
    <w:rsid w:val="000F7525"/>
    <w:rsid w:val="001006CF"/>
    <w:rsid w:val="00100E5B"/>
    <w:rsid w:val="0010181F"/>
    <w:rsid w:val="00103AFD"/>
    <w:rsid w:val="00112E6A"/>
    <w:rsid w:val="001166B5"/>
    <w:rsid w:val="00135A3D"/>
    <w:rsid w:val="00137BC6"/>
    <w:rsid w:val="00162DF4"/>
    <w:rsid w:val="00167E6E"/>
    <w:rsid w:val="001740B1"/>
    <w:rsid w:val="00182960"/>
    <w:rsid w:val="0019073A"/>
    <w:rsid w:val="0019280F"/>
    <w:rsid w:val="00193B3E"/>
    <w:rsid w:val="001A0F3B"/>
    <w:rsid w:val="001A7959"/>
    <w:rsid w:val="001C19DA"/>
    <w:rsid w:val="001D5AFF"/>
    <w:rsid w:val="001F42B8"/>
    <w:rsid w:val="001F48FF"/>
    <w:rsid w:val="00210625"/>
    <w:rsid w:val="00220E2F"/>
    <w:rsid w:val="00230B7D"/>
    <w:rsid w:val="00250383"/>
    <w:rsid w:val="00255CDB"/>
    <w:rsid w:val="00263D89"/>
    <w:rsid w:val="00282FC4"/>
    <w:rsid w:val="002926DF"/>
    <w:rsid w:val="002A6376"/>
    <w:rsid w:val="002A6D29"/>
    <w:rsid w:val="002B568A"/>
    <w:rsid w:val="002B7360"/>
    <w:rsid w:val="002B7436"/>
    <w:rsid w:val="002C2C8B"/>
    <w:rsid w:val="002C4AE2"/>
    <w:rsid w:val="002E1598"/>
    <w:rsid w:val="002F6E2A"/>
    <w:rsid w:val="00312AF1"/>
    <w:rsid w:val="00323060"/>
    <w:rsid w:val="00343A83"/>
    <w:rsid w:val="0035304D"/>
    <w:rsid w:val="0035729F"/>
    <w:rsid w:val="003578FC"/>
    <w:rsid w:val="00363ABE"/>
    <w:rsid w:val="00370566"/>
    <w:rsid w:val="0037416E"/>
    <w:rsid w:val="00396D11"/>
    <w:rsid w:val="003B6E1E"/>
    <w:rsid w:val="003C49F8"/>
    <w:rsid w:val="003D2919"/>
    <w:rsid w:val="003D5215"/>
    <w:rsid w:val="003D7E8E"/>
    <w:rsid w:val="003F2318"/>
    <w:rsid w:val="003F74BB"/>
    <w:rsid w:val="00413BB0"/>
    <w:rsid w:val="00416049"/>
    <w:rsid w:val="00445746"/>
    <w:rsid w:val="00473805"/>
    <w:rsid w:val="0048018A"/>
    <w:rsid w:val="004844E3"/>
    <w:rsid w:val="00494705"/>
    <w:rsid w:val="00496F32"/>
    <w:rsid w:val="004C55B4"/>
    <w:rsid w:val="004D4EC7"/>
    <w:rsid w:val="004F235A"/>
    <w:rsid w:val="00511B84"/>
    <w:rsid w:val="00511BA5"/>
    <w:rsid w:val="00523A0D"/>
    <w:rsid w:val="00536101"/>
    <w:rsid w:val="005474DB"/>
    <w:rsid w:val="00571971"/>
    <w:rsid w:val="005726C9"/>
    <w:rsid w:val="005736DB"/>
    <w:rsid w:val="00581E60"/>
    <w:rsid w:val="005A29F5"/>
    <w:rsid w:val="005B7915"/>
    <w:rsid w:val="005C0D99"/>
    <w:rsid w:val="005D18D0"/>
    <w:rsid w:val="005D292E"/>
    <w:rsid w:val="00601612"/>
    <w:rsid w:val="00616B41"/>
    <w:rsid w:val="006278BB"/>
    <w:rsid w:val="00631FC8"/>
    <w:rsid w:val="006561C4"/>
    <w:rsid w:val="006956AB"/>
    <w:rsid w:val="006B30B0"/>
    <w:rsid w:val="006C4651"/>
    <w:rsid w:val="006C7B33"/>
    <w:rsid w:val="006F4FDC"/>
    <w:rsid w:val="006F5BB4"/>
    <w:rsid w:val="00703FFF"/>
    <w:rsid w:val="00707EA1"/>
    <w:rsid w:val="00726451"/>
    <w:rsid w:val="00734CA9"/>
    <w:rsid w:val="00740145"/>
    <w:rsid w:val="00766DF5"/>
    <w:rsid w:val="007758D3"/>
    <w:rsid w:val="00786E99"/>
    <w:rsid w:val="0079053A"/>
    <w:rsid w:val="007A7E8C"/>
    <w:rsid w:val="007B5C95"/>
    <w:rsid w:val="007D08F5"/>
    <w:rsid w:val="007E7483"/>
    <w:rsid w:val="00800697"/>
    <w:rsid w:val="00805A48"/>
    <w:rsid w:val="00824C84"/>
    <w:rsid w:val="0083144B"/>
    <w:rsid w:val="00833D32"/>
    <w:rsid w:val="0084093E"/>
    <w:rsid w:val="0084730E"/>
    <w:rsid w:val="008525E1"/>
    <w:rsid w:val="00852D7D"/>
    <w:rsid w:val="0086710E"/>
    <w:rsid w:val="00886043"/>
    <w:rsid w:val="008876E3"/>
    <w:rsid w:val="00891699"/>
    <w:rsid w:val="008932A3"/>
    <w:rsid w:val="008E008C"/>
    <w:rsid w:val="008F5A34"/>
    <w:rsid w:val="008F71B1"/>
    <w:rsid w:val="00902D3D"/>
    <w:rsid w:val="00921990"/>
    <w:rsid w:val="00933437"/>
    <w:rsid w:val="0094175F"/>
    <w:rsid w:val="009448A2"/>
    <w:rsid w:val="009473D1"/>
    <w:rsid w:val="00961D5B"/>
    <w:rsid w:val="00965F81"/>
    <w:rsid w:val="009A1AC9"/>
    <w:rsid w:val="009A57A0"/>
    <w:rsid w:val="009B022C"/>
    <w:rsid w:val="009F191F"/>
    <w:rsid w:val="00A203FD"/>
    <w:rsid w:val="00A4293C"/>
    <w:rsid w:val="00A53607"/>
    <w:rsid w:val="00A5701F"/>
    <w:rsid w:val="00A6324E"/>
    <w:rsid w:val="00A709A1"/>
    <w:rsid w:val="00A76742"/>
    <w:rsid w:val="00A94AE8"/>
    <w:rsid w:val="00AB3CB4"/>
    <w:rsid w:val="00AB6DCF"/>
    <w:rsid w:val="00AE1FA2"/>
    <w:rsid w:val="00AE4C17"/>
    <w:rsid w:val="00AF0A5A"/>
    <w:rsid w:val="00AF7B80"/>
    <w:rsid w:val="00B1613B"/>
    <w:rsid w:val="00B21F1F"/>
    <w:rsid w:val="00B4178D"/>
    <w:rsid w:val="00B51A9A"/>
    <w:rsid w:val="00B8417C"/>
    <w:rsid w:val="00B8708C"/>
    <w:rsid w:val="00B923DC"/>
    <w:rsid w:val="00BB01A1"/>
    <w:rsid w:val="00BC5201"/>
    <w:rsid w:val="00BD0D89"/>
    <w:rsid w:val="00BD4380"/>
    <w:rsid w:val="00C0480E"/>
    <w:rsid w:val="00C06589"/>
    <w:rsid w:val="00C11051"/>
    <w:rsid w:val="00C12B91"/>
    <w:rsid w:val="00C16B56"/>
    <w:rsid w:val="00C16CAF"/>
    <w:rsid w:val="00C4622E"/>
    <w:rsid w:val="00C51F68"/>
    <w:rsid w:val="00C53655"/>
    <w:rsid w:val="00C5486D"/>
    <w:rsid w:val="00C702AC"/>
    <w:rsid w:val="00C76DE1"/>
    <w:rsid w:val="00C96DD9"/>
    <w:rsid w:val="00CA45E8"/>
    <w:rsid w:val="00CB0CD0"/>
    <w:rsid w:val="00CB3B19"/>
    <w:rsid w:val="00CB714F"/>
    <w:rsid w:val="00CD03B2"/>
    <w:rsid w:val="00CD5EF6"/>
    <w:rsid w:val="00CE0381"/>
    <w:rsid w:val="00CE7AA4"/>
    <w:rsid w:val="00CF0A47"/>
    <w:rsid w:val="00CF1FAB"/>
    <w:rsid w:val="00D10F97"/>
    <w:rsid w:val="00D179D0"/>
    <w:rsid w:val="00D20F2F"/>
    <w:rsid w:val="00D34346"/>
    <w:rsid w:val="00D40E95"/>
    <w:rsid w:val="00D70679"/>
    <w:rsid w:val="00D7261F"/>
    <w:rsid w:val="00D74E5F"/>
    <w:rsid w:val="00D831F8"/>
    <w:rsid w:val="00D8448B"/>
    <w:rsid w:val="00D84E4C"/>
    <w:rsid w:val="00D869F0"/>
    <w:rsid w:val="00D92A93"/>
    <w:rsid w:val="00D94E25"/>
    <w:rsid w:val="00D95F2B"/>
    <w:rsid w:val="00DA2A0B"/>
    <w:rsid w:val="00DA58ED"/>
    <w:rsid w:val="00DA6566"/>
    <w:rsid w:val="00DC0AC6"/>
    <w:rsid w:val="00DD5E9D"/>
    <w:rsid w:val="00DE0142"/>
    <w:rsid w:val="00DE40CE"/>
    <w:rsid w:val="00DF00BE"/>
    <w:rsid w:val="00E00F5C"/>
    <w:rsid w:val="00E06C7B"/>
    <w:rsid w:val="00E21C82"/>
    <w:rsid w:val="00E31EAB"/>
    <w:rsid w:val="00E36222"/>
    <w:rsid w:val="00E36F1B"/>
    <w:rsid w:val="00E470EE"/>
    <w:rsid w:val="00E612DA"/>
    <w:rsid w:val="00E70AAF"/>
    <w:rsid w:val="00E71131"/>
    <w:rsid w:val="00E716D0"/>
    <w:rsid w:val="00E76C88"/>
    <w:rsid w:val="00E76C89"/>
    <w:rsid w:val="00E81196"/>
    <w:rsid w:val="00E90661"/>
    <w:rsid w:val="00EB399A"/>
    <w:rsid w:val="00EB545B"/>
    <w:rsid w:val="00EB5EBA"/>
    <w:rsid w:val="00ED21F7"/>
    <w:rsid w:val="00ED2E03"/>
    <w:rsid w:val="00ED6D52"/>
    <w:rsid w:val="00EE4F05"/>
    <w:rsid w:val="00EF1F37"/>
    <w:rsid w:val="00F20046"/>
    <w:rsid w:val="00F25BB5"/>
    <w:rsid w:val="00F27F90"/>
    <w:rsid w:val="00F41D34"/>
    <w:rsid w:val="00F54160"/>
    <w:rsid w:val="00F61C4B"/>
    <w:rsid w:val="00FE5B9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B8801-6C27-4A29-A2F8-AE48C35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8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8D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A83"/>
    <w:pPr>
      <w:widowControl w:val="0"/>
      <w:spacing w:after="0" w:line="240" w:lineRule="auto"/>
      <w:ind w:left="340"/>
      <w:contextualSpacing/>
      <w:jc w:val="both"/>
    </w:pPr>
    <w:rPr>
      <w:rFonts w:ascii="David" w:eastAsia="Calibri" w:hAnsi="David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A83"/>
    <w:rPr>
      <w:rFonts w:ascii="David" w:eastAsia="Calibri" w:hAnsi="David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A8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A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9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F5"/>
    <w:rPr>
      <w:rFonts w:ascii="Tahoma" w:hAnsi="Tahoma" w:cs="Tahoma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29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9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29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1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D0"/>
  </w:style>
  <w:style w:type="paragraph" w:styleId="Footer">
    <w:name w:val="footer"/>
    <w:basedOn w:val="Normal"/>
    <w:link w:val="FooterChar"/>
    <w:uiPriority w:val="99"/>
    <w:unhideWhenUsed/>
    <w:rsid w:val="00E716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hyperlink" Target="https://www.boi.org.il/bank-of-israel/boi-podcast/" TargetMode="External"/><Relationship Id="rId1" Type="http://schemas.openxmlformats.org/officeDocument/2006/relationships/hyperlink" Target="https://www.boi.org.il/bank-of-israel/boi-podcast/" TargetMode="External"/><Relationship Id="rId6" Type="http://schemas.openxmlformats.org/officeDocument/2006/relationships/image" Target="media/image5.png"/><Relationship Id="rId11" Type="http://schemas.openxmlformats.org/officeDocument/2006/relationships/hyperlink" Target="https://www.boi.org.il/" TargetMode="External"/><Relationship Id="rId5" Type="http://schemas.openxmlformats.org/officeDocument/2006/relationships/image" Target="media/image4.png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3.png"/><Relationship Id="rId9" Type="http://schemas.openxmlformats.org/officeDocument/2006/relationships/hyperlink" Target="https://www.facebook.com/bankisraelvc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Microsoft_Excel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mmh\vmmh\ISD\&#1508;&#1512;&#1493;&#1497;&#1511;&#1496;&#1497;&#1501;%20&#1502;&#1513;&#1493;&#1514;&#1508;&#1497;&#1501;%20-%207\&#1505;&#1511;&#1512;%20&#1511;&#1510;&#1497;&#1504;&#1497;%20&#1488;&#1513;&#1512;&#1488;&#1497;\2025Q1\&#1491;&#1497;&#1493;&#1493;&#1495;%20&#1500;&#1510;&#1497;&#1489;&#1493;&#1512;\&#1490;&#1512;&#1508;&#1497;&#1501;%20&#1488;&#1493;&#1496;&#1493;&#1502;&#1496;&#1497;%20&#1502;&#1506;&#1493;&#1491;&#1499;&#15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1!PivotTable1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r"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משקי בית וסה"כ עסקים 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301223307671993"/>
          <c:y val="2.6565802311360291E-2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6C63FF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5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6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1956889614755177E-2"/>
          <c:y val="0.11988237072460184"/>
          <c:w val="0.88143463482599471"/>
          <c:h val="0.55500334197355761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1'!$B$3:$B$4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dPt>
            <c:idx val="2"/>
            <c:bubble3D val="0"/>
            <c:spPr>
              <a:ln w="28575" cap="rnd">
                <a:solidFill>
                  <a:srgbClr val="008DA3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D1D-4321-B6C4-E6D488476724}"/>
              </c:ext>
            </c:extLst>
          </c:dPt>
          <c:dPt>
            <c:idx val="3"/>
            <c:bubble3D val="0"/>
            <c:spPr>
              <a:ln w="28575" cap="rnd">
                <a:solidFill>
                  <a:srgbClr val="008DA3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1'!$B$5:$B$10</c:f>
              <c:numCache>
                <c:formatCode>General</c:formatCode>
                <c:ptCount val="4"/>
                <c:pt idx="0">
                  <c:v>48.888059116097779</c:v>
                </c:pt>
                <c:pt idx="1">
                  <c:v>47.538175828704922</c:v>
                </c:pt>
                <c:pt idx="2">
                  <c:v>24.742823519951543</c:v>
                </c:pt>
                <c:pt idx="3">
                  <c:v>2.1732501030869606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1D-4321-B6C4-E6D488476724}"/>
            </c:ext>
          </c:extLst>
        </c:ser>
        <c:ser>
          <c:idx val="1"/>
          <c:order val="1"/>
          <c:tx>
            <c:strRef>
              <c:f>'טבלאות תרשים 1'!$C$3:$C$4</c:f>
              <c:strCache>
                <c:ptCount val="1"/>
                <c:pt idx="0">
                  <c:v>עסקים - סך הכל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dPt>
            <c:idx val="2"/>
            <c:bubble3D val="0"/>
            <c:spPr>
              <a:ln w="28575" cap="rnd">
                <a:solidFill>
                  <a:srgbClr val="6C63FF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6-4D1D-4321-B6C4-E6D488476724}"/>
              </c:ext>
            </c:extLst>
          </c:dPt>
          <c:dPt>
            <c:idx val="3"/>
            <c:bubble3D val="0"/>
            <c:spPr>
              <a:ln w="28575" cap="rnd">
                <a:solidFill>
                  <a:srgbClr val="6C63FF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8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1'!$C$5:$C$10</c:f>
              <c:numCache>
                <c:formatCode>General</c:formatCode>
                <c:ptCount val="4"/>
                <c:pt idx="0">
                  <c:v>-33.353123244700178</c:v>
                </c:pt>
                <c:pt idx="1">
                  <c:v>0</c:v>
                </c:pt>
                <c:pt idx="2">
                  <c:v>0</c:v>
                </c:pt>
                <c:pt idx="3">
                  <c:v>14.835963357203852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4D1D-4321-B6C4-E6D488476724}"/>
            </c:ext>
          </c:extLst>
        </c:ser>
        <c:ser>
          <c:idx val="2"/>
          <c:order val="2"/>
          <c:tx>
            <c:strRef>
              <c:f>'טבלאות תרשים 1'!$D$3:$D$4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dPt>
            <c:idx val="2"/>
            <c:bubble3D val="0"/>
            <c:spPr>
              <a:ln w="28575" cap="rnd">
                <a:solidFill>
                  <a:srgbClr val="D98D2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4D1D-4321-B6C4-E6D488476724}"/>
              </c:ext>
            </c:extLst>
          </c:dPt>
          <c:dPt>
            <c:idx val="3"/>
            <c:bubble3D val="0"/>
            <c:spPr>
              <a:ln w="28575" cap="rnd">
                <a:solidFill>
                  <a:srgbClr val="D98D2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4D1D-4321-B6C4-E6D488476724}"/>
              </c:ext>
            </c:extLst>
          </c:dPt>
          <c:cat>
            <c:multiLvlStrRef>
              <c:f>'טבלאות תרשים 1'!$A$5:$A$10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1'!$D$5:$D$10</c:f>
              <c:numCache>
                <c:formatCode>General</c:formatCode>
                <c:ptCount val="4"/>
                <c:pt idx="0">
                  <c:v>33.916860796901751</c:v>
                </c:pt>
                <c:pt idx="1">
                  <c:v>-25.405358684950812</c:v>
                </c:pt>
                <c:pt idx="2">
                  <c:v>13.135229482573729</c:v>
                </c:pt>
                <c:pt idx="3">
                  <c:v>28.398637997543204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4D1D-4321-B6C4-E6D4884767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561856"/>
        <c:axId val="147563648"/>
      </c:lineChart>
      <c:catAx>
        <c:axId val="147561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47563648"/>
        <c:crossesAt val="-100"/>
        <c:auto val="1"/>
        <c:lblAlgn val="ctr"/>
        <c:lblOffset val="100"/>
        <c:noMultiLvlLbl val="0"/>
      </c:catAx>
      <c:valAx>
        <c:axId val="147563648"/>
        <c:scaling>
          <c:orientation val="minMax"/>
          <c:min val="-1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475618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109393405470334"/>
          <c:y val="0.91122905140702826"/>
          <c:w val="0.72766220205500176"/>
          <c:h val="6.40951156005897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1!PivotTable2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עסקים לפי גודל עסק וענפי הבינוי והנדל"ן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41695058908711469"/>
          <c:y val="2.6229508196721311E-2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  <a:prstDash val="dash"/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</c:marker>
      </c:pivotFmt>
      <c:pivotFmt>
        <c:idx val="8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2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6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7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8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29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30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31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2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3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34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5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6"/>
        <c:spPr>
          <a:solidFill>
            <a:schemeClr val="accent1"/>
          </a:solidFill>
          <a:ln w="28575" cap="rnd">
            <a:solidFill>
              <a:srgbClr val="D8758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7"/>
        <c:spPr>
          <a:solidFill>
            <a:schemeClr val="accent1"/>
          </a:solidFill>
          <a:ln w="28575" cap="rnd">
            <a:solidFill>
              <a:srgbClr val="D8758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38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39"/>
        <c:spPr>
          <a:solidFill>
            <a:schemeClr val="accent1"/>
          </a:solidFill>
          <a:ln w="28575" cap="rnd">
            <a:solidFill>
              <a:srgbClr val="002060"/>
            </a:solidFill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40"/>
        <c:spPr>
          <a:solidFill>
            <a:schemeClr val="accent1"/>
          </a:solidFill>
          <a:ln w="28575" cap="rnd">
            <a:solidFill>
              <a:srgbClr val="002060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2060"/>
            </a:solidFill>
            <a:ln w="9525">
              <a:solidFill>
                <a:srgbClr val="002060"/>
              </a:solidFill>
            </a:ln>
            <a:effectLst/>
          </c:spPr>
        </c:marker>
      </c:pivotFmt>
      <c:pivotFmt>
        <c:idx val="41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2"/>
        <c:spPr>
          <a:solidFill>
            <a:schemeClr val="accent1"/>
          </a:solidFill>
          <a:ln w="28575" cap="rnd">
            <a:solidFill>
              <a:srgbClr val="008DA3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3"/>
        <c:spPr>
          <a:solidFill>
            <a:schemeClr val="accent1"/>
          </a:solidFill>
          <a:ln w="28575" cap="rnd">
            <a:solidFill>
              <a:srgbClr val="008DA3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44"/>
        <c:spPr>
          <a:solidFill>
            <a:schemeClr val="accent1"/>
          </a:solidFill>
          <a:ln w="28575" cap="rnd">
            <a:solidFill>
              <a:srgbClr val="357C32"/>
            </a:solidFill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45"/>
        <c:spPr>
          <a:solidFill>
            <a:schemeClr val="accent1"/>
          </a:solidFill>
          <a:ln w="28575" cap="rnd">
            <a:solidFill>
              <a:srgbClr val="357C32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  <a:prstDash val="dash"/>
            </a:ln>
            <a:effectLst/>
          </c:spPr>
        </c:marker>
      </c:pivotFmt>
      <c:pivotFmt>
        <c:idx val="46"/>
        <c:spPr>
          <a:solidFill>
            <a:schemeClr val="accent1"/>
          </a:solidFill>
          <a:ln w="28575" cap="rnd">
            <a:solidFill>
              <a:srgbClr val="357C32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357C32"/>
            </a:solidFill>
            <a:ln w="9525">
              <a:solidFill>
                <a:srgbClr val="357C32"/>
              </a:solidFill>
            </a:ln>
            <a:effectLst/>
          </c:spPr>
        </c:marker>
      </c:pivotFmt>
      <c:pivotFmt>
        <c:idx val="47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48"/>
        <c:spPr>
          <a:solidFill>
            <a:schemeClr val="accent1"/>
          </a:solidFill>
          <a:ln w="28575" cap="rnd">
            <a:solidFill>
              <a:srgbClr val="D98D25"/>
            </a:solidFill>
            <a:prstDash val="solid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49"/>
        <c:spPr>
          <a:solidFill>
            <a:schemeClr val="accent1"/>
          </a:solidFill>
          <a:ln w="28575" cap="rnd">
            <a:solidFill>
              <a:srgbClr val="D98D25"/>
            </a:solidFill>
            <a:prstDash val="dash"/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9636097284879571E-2"/>
          <c:y val="0.12758331503382794"/>
          <c:w val="0.86413832520406419"/>
          <c:h val="0.52681420727132877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1'!$G$3:$G$4</c:f>
              <c:strCache>
                <c:ptCount val="1"/>
                <c:pt idx="0">
                  <c:v>ענף הבינוי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dPt>
            <c:idx val="0"/>
            <c:bubble3D val="0"/>
            <c:spPr>
              <a:ln w="28575" cap="rnd">
                <a:solidFill>
                  <a:srgbClr val="D8758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BB-45D4-87DD-9956AB4A8A78}"/>
              </c:ext>
            </c:extLst>
          </c:dPt>
          <c:dPt>
            <c:idx val="2"/>
            <c:bubble3D val="0"/>
            <c:spPr>
              <a:ln w="28575" cap="rnd">
                <a:solidFill>
                  <a:srgbClr val="D8758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BB-45D4-87DD-9956AB4A8A78}"/>
              </c:ext>
            </c:extLst>
          </c:dPt>
          <c:dPt>
            <c:idx val="3"/>
            <c:bubble3D val="0"/>
            <c:spPr>
              <a:ln w="28575" cap="rnd">
                <a:solidFill>
                  <a:srgbClr val="D8758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1'!$G$5:$G$10</c:f>
              <c:numCache>
                <c:formatCode>General</c:formatCode>
                <c:ptCount val="4"/>
                <c:pt idx="0">
                  <c:v>-7.3938900949778184</c:v>
                </c:pt>
                <c:pt idx="1">
                  <c:v>28.337336286999999</c:v>
                </c:pt>
                <c:pt idx="2">
                  <c:v>48.124578623855626</c:v>
                </c:pt>
                <c:pt idx="3">
                  <c:v>28.406995799914778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1BB-45D4-87DD-9956AB4A8A78}"/>
            </c:ext>
          </c:extLst>
        </c:ser>
        <c:ser>
          <c:idx val="1"/>
          <c:order val="1"/>
          <c:tx>
            <c:strRef>
              <c:f>'טבלאות תרשים 1'!$H$3:$H$4</c:f>
              <c:strCache>
                <c:ptCount val="1"/>
                <c:pt idx="0">
                  <c:v>ענף הנדל"ן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2060"/>
              </a:solidFill>
              <a:ln w="9525">
                <a:solidFill>
                  <a:srgbClr val="002060"/>
                </a:solidFill>
              </a:ln>
              <a:effectLst/>
            </c:spPr>
          </c:marker>
          <c:dPt>
            <c:idx val="3"/>
            <c:bubble3D val="0"/>
            <c:spPr>
              <a:ln w="28575" cap="rnd">
                <a:solidFill>
                  <a:srgbClr val="002060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A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1'!$H$5:$H$10</c:f>
              <c:numCache>
                <c:formatCode>General</c:formatCode>
                <c:ptCount val="4"/>
                <c:pt idx="0">
                  <c:v>-40.600966908162405</c:v>
                </c:pt>
                <c:pt idx="1">
                  <c:v>0</c:v>
                </c:pt>
                <c:pt idx="2">
                  <c:v>3.7403553282074808</c:v>
                </c:pt>
                <c:pt idx="3">
                  <c:v>-36.934884356873873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1BB-45D4-87DD-9956AB4A8A78}"/>
            </c:ext>
          </c:extLst>
        </c:ser>
        <c:ser>
          <c:idx val="2"/>
          <c:order val="2"/>
          <c:tx>
            <c:strRef>
              <c:f>'טבלאות תרשים 1'!$I$3:$I$4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dPt>
            <c:idx val="2"/>
            <c:bubble3D val="0"/>
            <c:spPr>
              <a:ln w="28575" cap="rnd">
                <a:solidFill>
                  <a:srgbClr val="008DA3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1BB-45D4-87DD-9956AB4A8A78}"/>
              </c:ext>
            </c:extLst>
          </c:dPt>
          <c:dPt>
            <c:idx val="3"/>
            <c:bubble3D val="0"/>
            <c:spPr>
              <a:ln w="28575" cap="rnd">
                <a:solidFill>
                  <a:srgbClr val="008DA3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1'!$I$5:$I$10</c:f>
              <c:numCache>
                <c:formatCode>General</c:formatCode>
                <c:ptCount val="4"/>
                <c:pt idx="0">
                  <c:v>-32.983328747967015</c:v>
                </c:pt>
                <c:pt idx="1">
                  <c:v>34.783672077965214</c:v>
                </c:pt>
                <c:pt idx="2">
                  <c:v>35.081598319350817</c:v>
                </c:pt>
                <c:pt idx="3">
                  <c:v>16.232759172962329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51BB-45D4-87DD-9956AB4A8A78}"/>
            </c:ext>
          </c:extLst>
        </c:ser>
        <c:ser>
          <c:idx val="3"/>
          <c:order val="3"/>
          <c:tx>
            <c:strRef>
              <c:f>'טבלאות תרשים 1'!$J$3:$J$4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357C3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357C32"/>
              </a:solidFill>
              <a:ln w="9525">
                <a:solidFill>
                  <a:srgbClr val="357C32"/>
                </a:solidFill>
              </a:ln>
              <a:effectLst/>
            </c:spPr>
          </c:marker>
          <c:dPt>
            <c:idx val="2"/>
            <c:marker>
              <c:spPr>
                <a:solidFill>
                  <a:srgbClr val="357C32"/>
                </a:solidFill>
                <a:ln w="9525">
                  <a:solidFill>
                    <a:srgbClr val="357C32"/>
                  </a:solidFill>
                  <a:prstDash val="dash"/>
                </a:ln>
                <a:effectLst/>
              </c:spPr>
            </c:marker>
            <c:bubble3D val="0"/>
            <c:spPr>
              <a:ln w="28575" cap="rnd">
                <a:solidFill>
                  <a:srgbClr val="357C32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2-51BB-45D4-87DD-9956AB4A8A78}"/>
              </c:ext>
            </c:extLst>
          </c:dPt>
          <c:dPt>
            <c:idx val="3"/>
            <c:bubble3D val="0"/>
            <c:spPr>
              <a:ln w="28575" cap="rnd">
                <a:solidFill>
                  <a:srgbClr val="357C32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4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1'!$J$5:$J$10</c:f>
              <c:numCache>
                <c:formatCode>General</c:formatCode>
                <c:ptCount val="4"/>
                <c:pt idx="0">
                  <c:v>-52.700357952258102</c:v>
                </c:pt>
                <c:pt idx="1">
                  <c:v>0</c:v>
                </c:pt>
                <c:pt idx="2">
                  <c:v>1.4931210104955206</c:v>
                </c:pt>
                <c:pt idx="3">
                  <c:v>10.444872779368666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51BB-45D4-87DD-9956AB4A8A78}"/>
            </c:ext>
          </c:extLst>
        </c:ser>
        <c:ser>
          <c:idx val="4"/>
          <c:order val="4"/>
          <c:tx>
            <c:strRef>
              <c:f>'טבלאות תרשים 1'!$K$3:$K$4</c:f>
              <c:strCache>
                <c:ptCount val="1"/>
                <c:pt idx="0">
                  <c:v>עסקים זעירים וקטנים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dPt>
            <c:idx val="2"/>
            <c:bubble3D val="0"/>
            <c:spPr>
              <a:ln w="28575" cap="rnd">
                <a:solidFill>
                  <a:srgbClr val="D98D25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51BB-45D4-87DD-9956AB4A8A78}"/>
              </c:ext>
            </c:extLst>
          </c:dPt>
          <c:dPt>
            <c:idx val="3"/>
            <c:bubble3D val="0"/>
            <c:spPr>
              <a:ln w="28575" cap="rnd">
                <a:solidFill>
                  <a:srgbClr val="D98D25"/>
                </a:solidFill>
                <a:prstDash val="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51BB-45D4-87DD-9956AB4A8A78}"/>
              </c:ext>
            </c:extLst>
          </c:dPt>
          <c:cat>
            <c:multiLvlStrRef>
              <c:f>'טבלאות תרשים 1'!$F$5:$F$10</c:f>
              <c:multiLvlStrCache>
                <c:ptCount val="4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  <c:pt idx="3">
                    <c:v>Q2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1'!$K$5:$K$10</c:f>
              <c:numCache>
                <c:formatCode>General</c:formatCode>
                <c:ptCount val="4"/>
                <c:pt idx="0">
                  <c:v>29.569823856954837</c:v>
                </c:pt>
                <c:pt idx="1">
                  <c:v>56.930939943172277</c:v>
                </c:pt>
                <c:pt idx="2">
                  <c:v>8.7490614426825015</c:v>
                </c:pt>
                <c:pt idx="3">
                  <c:v>40.934279516918131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51BB-45D4-87DD-9956AB4A8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49952"/>
        <c:axId val="154351488"/>
      </c:lineChart>
      <c:catAx>
        <c:axId val="15434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351488"/>
        <c:crossesAt val="-100"/>
        <c:auto val="0"/>
        <c:lblAlgn val="ctr"/>
        <c:lblOffset val="100"/>
        <c:noMultiLvlLbl val="0"/>
      </c:catAx>
      <c:valAx>
        <c:axId val="154351488"/>
        <c:scaling>
          <c:orientation val="minMax"/>
          <c:max val="100"/>
          <c:min val="-1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3499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0"/>
          <c:y val="0.85708546391860385"/>
          <c:w val="1"/>
          <c:h val="0.14291453608139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2!גרף 2 א 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עסקים קטנים וזעירים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914046687356632"/>
          <c:y val="1.7254418299991886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rgbClr val="008DA3"/>
          </a:solidFill>
          <a:ln>
            <a:noFill/>
          </a:ln>
          <a:effectLst/>
        </c:spPr>
      </c:pivotFmt>
      <c:pivotFmt>
        <c:idx val="1"/>
        <c:spPr>
          <a:solidFill>
            <a:srgbClr val="6C63FF"/>
          </a:solidFill>
          <a:ln>
            <a:noFill/>
          </a:ln>
          <a:effectLst/>
        </c:spPr>
      </c:pivotFmt>
      <c:pivotFmt>
        <c:idx val="2"/>
        <c:spPr>
          <a:solidFill>
            <a:srgbClr val="D98D25"/>
          </a:solidFill>
          <a:ln>
            <a:noFill/>
          </a:ln>
          <a:effectLst/>
        </c:spPr>
      </c:pivotFmt>
      <c:pivotFmt>
        <c:idx val="3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pPr>
            <a:noFill/>
            <a:ln w="9525">
              <a:noFill/>
            </a:ln>
            <a:effectLst/>
          </c:spPr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</c:pivotFmt>
      <c:pivotFmt>
        <c:idx val="5"/>
        <c:spPr>
          <a:solidFill>
            <a:srgbClr val="D87585"/>
          </a:solidFill>
          <a:ln>
            <a:noFill/>
          </a:ln>
          <a:effectLst/>
        </c:spPr>
      </c:pivotFmt>
      <c:pivotFmt>
        <c:idx val="6"/>
      </c:pivotFmt>
      <c:pivotFmt>
        <c:idx val="7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8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7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5601346710828927E-2"/>
          <c:y val="8.3250330888126153E-2"/>
          <c:w val="0.90439865328917113"/>
          <c:h val="0.5890487005515669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2'!$U$3:$U$4</c:f>
              <c:strCache>
                <c:ptCount val="1"/>
                <c:pt idx="0">
                  <c:v>מטרת האשראי או המניע לאשראי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2'!$U$5:$U$9</c:f>
              <c:numCache>
                <c:formatCode>General</c:formatCode>
                <c:ptCount val="3"/>
                <c:pt idx="0">
                  <c:v>14.771314634017255</c:v>
                </c:pt>
                <c:pt idx="1">
                  <c:v>0.84897133963660409</c:v>
                </c:pt>
                <c:pt idx="2">
                  <c:v>14.726132104190548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E-41DA-81A2-B3E738D7C001}"/>
            </c:ext>
          </c:extLst>
        </c:ser>
        <c:ser>
          <c:idx val="2"/>
          <c:order val="2"/>
          <c:tx>
            <c:strRef>
              <c:f>'טבלאות תרשים 2'!$V$3:$V$4</c:f>
              <c:strCache>
                <c:ptCount val="1"/>
                <c:pt idx="0">
                  <c:v>רמת הריבית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2'!$V$5:$V$9</c:f>
              <c:numCache>
                <c:formatCode>General</c:formatCode>
                <c:ptCount val="3"/>
                <c:pt idx="0">
                  <c:v>-26.845903585922152</c:v>
                </c:pt>
                <c:pt idx="1">
                  <c:v>-7.9728417619681089</c:v>
                </c:pt>
                <c:pt idx="2">
                  <c:v>4.1942509904916117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6E-41DA-81A2-B3E738D7C001}"/>
            </c:ext>
          </c:extLst>
        </c:ser>
        <c:ser>
          <c:idx val="3"/>
          <c:order val="3"/>
          <c:tx>
            <c:strRef>
              <c:f>'טבלאות תרשים 2'!$W$3:$W$4</c:f>
              <c:strCache>
                <c:ptCount val="1"/>
                <c:pt idx="0">
                  <c:v>שימוש בחלופות מימון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2'!$W$5:$W$9</c:f>
              <c:numCache>
                <c:formatCode>General</c:formatCode>
                <c:ptCount val="3"/>
                <c:pt idx="0">
                  <c:v>-16.097905765818176</c:v>
                </c:pt>
                <c:pt idx="1">
                  <c:v>-3.6841858183852634</c:v>
                </c:pt>
                <c:pt idx="2">
                  <c:v>-1.9631981336210735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6E-41DA-81A2-B3E738D7C001}"/>
            </c:ext>
          </c:extLst>
        </c:ser>
        <c:ser>
          <c:idx val="4"/>
          <c:order val="4"/>
          <c:tx>
            <c:strRef>
              <c:f>'טבלאות תרשים 2'!$X$3:$X$4</c:f>
              <c:strCache>
                <c:ptCount val="1"/>
                <c:pt idx="0">
                  <c:v>מלאי והון חוזר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2'!$X$5:$X$9</c:f>
              <c:numCache>
                <c:formatCode>General</c:formatCode>
                <c:ptCount val="3"/>
                <c:pt idx="0">
                  <c:v>64.945700292679348</c:v>
                </c:pt>
                <c:pt idx="1">
                  <c:v>18.859653665524561</c:v>
                </c:pt>
                <c:pt idx="2">
                  <c:v>18.708931020162581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6E-41DA-81A2-B3E738D7C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423680"/>
        <c:axId val="154425216"/>
      </c:barChart>
      <c:lineChart>
        <c:grouping val="standard"/>
        <c:varyColors val="0"/>
        <c:ser>
          <c:idx val="0"/>
          <c:order val="0"/>
          <c:tx>
            <c:strRef>
              <c:f>'טבלאות תרשים 2'!$T$3:$T$4</c:f>
              <c:strCache>
                <c:ptCount val="1"/>
                <c:pt idx="0">
                  <c:v>השינוי שחל בביקוש לאשראי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2'!$S$5:$S$9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2'!$T$5:$T$9</c:f>
              <c:numCache>
                <c:formatCode>General</c:formatCode>
                <c:ptCount val="3"/>
                <c:pt idx="0">
                  <c:v>29.569823856954837</c:v>
                </c:pt>
                <c:pt idx="1">
                  <c:v>56.930939943172277</c:v>
                </c:pt>
                <c:pt idx="2">
                  <c:v>8.7490614426825015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6E-41DA-81A2-B3E738D7C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423680"/>
        <c:axId val="154425216"/>
      </c:lineChart>
      <c:catAx>
        <c:axId val="15442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425216"/>
        <c:crosses val="autoZero"/>
        <c:auto val="1"/>
        <c:lblAlgn val="ctr"/>
        <c:lblOffset val="100"/>
        <c:noMultiLvlLbl val="0"/>
      </c:catAx>
      <c:valAx>
        <c:axId val="154425216"/>
        <c:scaling>
          <c:orientation val="minMax"/>
          <c:max val="200"/>
          <c:min val="-2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42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9874687639498019"/>
          <c:w val="0.99966509710390239"/>
          <c:h val="0.10125312360501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2!גרף 2 א 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בינוי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91864361365303882"/>
          <c:y val="2.2163480233539177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5283649825574274E-2"/>
          <c:y val="7.4982026703183838E-2"/>
          <c:w val="0.90471635017442575"/>
          <c:h val="0.6041527747166743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2'!$AI$3:$AI$4</c:f>
              <c:strCache>
                <c:ptCount val="1"/>
                <c:pt idx="0">
                  <c:v>מטרת האשראי או המניע לאשראי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2'!$AI$5:$AI$9</c:f>
              <c:numCache>
                <c:formatCode>General</c:formatCode>
                <c:ptCount val="3"/>
                <c:pt idx="0">
                  <c:v>2.3372958741596546</c:v>
                </c:pt>
                <c:pt idx="1">
                  <c:v>0.29066127749999998</c:v>
                </c:pt>
                <c:pt idx="2">
                  <c:v>7.3076065854447441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1-4DE3-B6DE-ACEA4805871D}"/>
            </c:ext>
          </c:extLst>
        </c:ser>
        <c:ser>
          <c:idx val="2"/>
          <c:order val="2"/>
          <c:tx>
            <c:strRef>
              <c:f>'טבלאות תרשים 2'!$AJ$3:$AJ$4</c:f>
              <c:strCache>
                <c:ptCount val="1"/>
                <c:pt idx="0">
                  <c:v>מימון פרויקטים בליווי סגור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2'!$AJ$5:$AJ$9</c:f>
              <c:numCache>
                <c:formatCode>General</c:formatCode>
                <c:ptCount val="3"/>
                <c:pt idx="0">
                  <c:v>38.31409981838506</c:v>
                </c:pt>
                <c:pt idx="1">
                  <c:v>38.41126173</c:v>
                </c:pt>
                <c:pt idx="2">
                  <c:v>45.575630720363272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1-4DE3-B6DE-ACEA4805871D}"/>
            </c:ext>
          </c:extLst>
        </c:ser>
        <c:ser>
          <c:idx val="3"/>
          <c:order val="3"/>
          <c:tx>
            <c:strRef>
              <c:f>'טבלאות תרשים 2'!$AK$3:$AK$4</c:f>
              <c:strCache>
                <c:ptCount val="1"/>
                <c:pt idx="0">
                  <c:v>רמת הריבית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2'!$AK$5:$AK$9</c:f>
              <c:numCache>
                <c:formatCode>General</c:formatCode>
                <c:ptCount val="3"/>
                <c:pt idx="0">
                  <c:v>-56.095217280131713</c:v>
                </c:pt>
                <c:pt idx="1">
                  <c:v>-43.347771237000003</c:v>
                </c:pt>
                <c:pt idx="2">
                  <c:v>7.2169154994783495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11-4DE3-B6DE-ACEA4805871D}"/>
            </c:ext>
          </c:extLst>
        </c:ser>
        <c:ser>
          <c:idx val="4"/>
          <c:order val="4"/>
          <c:tx>
            <c:strRef>
              <c:f>'טבלאות תרשים 2'!$AL$3:$AL$4</c:f>
              <c:strCache>
                <c:ptCount val="1"/>
                <c:pt idx="0">
                  <c:v>שימוש בחלופות מימון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2'!$AL$5:$AL$9</c:f>
              <c:numCache>
                <c:formatCode>General</c:formatCode>
                <c:ptCount val="3"/>
                <c:pt idx="0">
                  <c:v>-12.312103011513063</c:v>
                </c:pt>
                <c:pt idx="1">
                  <c:v>-10.279494236750001</c:v>
                </c:pt>
                <c:pt idx="2">
                  <c:v>48.775482698428675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11-4DE3-B6DE-ACEA48058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482176"/>
        <c:axId val="154483712"/>
      </c:barChart>
      <c:lineChart>
        <c:grouping val="standard"/>
        <c:varyColors val="0"/>
        <c:ser>
          <c:idx val="0"/>
          <c:order val="0"/>
          <c:tx>
            <c:strRef>
              <c:f>'טבלאות תרשים 2'!$AH$3:$AH$4</c:f>
              <c:strCache>
                <c:ptCount val="1"/>
                <c:pt idx="0">
                  <c:v>השינוי שחל בביקוש לאשראי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2'!$AG$5:$AG$9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2'!$AH$5:$AH$9</c:f>
              <c:numCache>
                <c:formatCode>General</c:formatCode>
                <c:ptCount val="3"/>
                <c:pt idx="0">
                  <c:v>-7.3938900949778184</c:v>
                </c:pt>
                <c:pt idx="1">
                  <c:v>28.337336286999999</c:v>
                </c:pt>
                <c:pt idx="2">
                  <c:v>48.124578623855626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11-4DE3-B6DE-ACEA48058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482176"/>
        <c:axId val="154483712"/>
      </c:lineChart>
      <c:catAx>
        <c:axId val="15448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483712"/>
        <c:crosses val="autoZero"/>
        <c:auto val="1"/>
        <c:lblAlgn val="ctr"/>
        <c:lblOffset val="100"/>
        <c:noMultiLvlLbl val="0"/>
      </c:catAx>
      <c:valAx>
        <c:axId val="154483712"/>
        <c:scaling>
          <c:orientation val="minMax"/>
          <c:max val="200"/>
          <c:min val="-2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448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14398946374808E-3"/>
          <c:y val="0.87536859522994404"/>
          <c:w val="0.99828560105362518"/>
          <c:h val="0.124631404770055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noFill/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א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 מרווחים ברמת סיכון</a:t>
            </a: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 בינונית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3109459317585304"/>
          <c:y val="1.9608839217678431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chemeClr val="accent3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4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8.824744478882586E-2"/>
          <c:y val="0.10431276598899712"/>
          <c:w val="0.86204955046086862"/>
          <c:h val="0.54460616665341066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3'!$B$3:$B$4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3'!$B$5:$B$9</c:f>
              <c:numCache>
                <c:formatCode>General</c:formatCode>
                <c:ptCount val="3"/>
                <c:pt idx="0">
                  <c:v>-66.090939345601726</c:v>
                </c:pt>
                <c:pt idx="1">
                  <c:v>-79.580551563</c:v>
                </c:pt>
                <c:pt idx="2">
                  <c:v>-94.450527062516642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50-4240-A341-D0277A9B1E5E}"/>
            </c:ext>
          </c:extLst>
        </c:ser>
        <c:ser>
          <c:idx val="1"/>
          <c:order val="1"/>
          <c:tx>
            <c:strRef>
              <c:f>'טבלאות תרשים 3'!$C$3:$C$4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3'!$C$5:$C$9</c:f>
              <c:numCache>
                <c:formatCode>General</c:formatCode>
                <c:ptCount val="3"/>
                <c:pt idx="0">
                  <c:v>-58.796929473517594</c:v>
                </c:pt>
                <c:pt idx="1">
                  <c:v>-63.531385119572938</c:v>
                </c:pt>
                <c:pt idx="2">
                  <c:v>4.8901452272706587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50-4240-A341-D0277A9B1E5E}"/>
            </c:ext>
          </c:extLst>
        </c:ser>
        <c:ser>
          <c:idx val="2"/>
          <c:order val="2"/>
          <c:tx>
            <c:strRef>
              <c:f>'טבלאות תרשים 3'!$D$3:$D$4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3'!$D$5:$D$9</c:f>
              <c:numCache>
                <c:formatCode>General</c:formatCode>
                <c:ptCount val="3"/>
                <c:pt idx="0">
                  <c:v>-91.242610371264973</c:v>
                </c:pt>
                <c:pt idx="1">
                  <c:v>-79.838715352179833</c:v>
                </c:pt>
                <c:pt idx="2">
                  <c:v>-93.983683746187964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50-4240-A341-D0277A9B1E5E}"/>
            </c:ext>
          </c:extLst>
        </c:ser>
        <c:ser>
          <c:idx val="3"/>
          <c:order val="3"/>
          <c:tx>
            <c:strRef>
              <c:f>'טבלאות תרשים 3'!$E$3:$E$4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3'!$E$5:$E$9</c:f>
              <c:numCache>
                <c:formatCode>General</c:formatCode>
                <c:ptCount val="3"/>
                <c:pt idx="0">
                  <c:v>-67.060992417932937</c:v>
                </c:pt>
                <c:pt idx="1">
                  <c:v>-73.533776930326468</c:v>
                </c:pt>
                <c:pt idx="2">
                  <c:v>-44.693977485946938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050-4240-A341-D0277A9B1E5E}"/>
            </c:ext>
          </c:extLst>
        </c:ser>
        <c:ser>
          <c:idx val="4"/>
          <c:order val="4"/>
          <c:tx>
            <c:strRef>
              <c:f>'טבלאות תרשים 3'!$F$3:$F$4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3'!$F$5:$F$9</c:f>
              <c:numCache>
                <c:formatCode>General</c:formatCode>
                <c:ptCount val="3"/>
                <c:pt idx="0">
                  <c:v>-81.333262546244001</c:v>
                </c:pt>
                <c:pt idx="1">
                  <c:v>-81.278122288756165</c:v>
                </c:pt>
                <c:pt idx="2">
                  <c:v>-82.366098035252904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050-4240-A341-D0277A9B1E5E}"/>
            </c:ext>
          </c:extLst>
        </c:ser>
        <c:ser>
          <c:idx val="5"/>
          <c:order val="5"/>
          <c:tx>
            <c:strRef>
              <c:f>'טבלאות תרשים 3'!$G$3:$G$4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3'!$G$5:$G$9</c:f>
              <c:numCache>
                <c:formatCode>General</c:formatCode>
                <c:ptCount val="3"/>
                <c:pt idx="0">
                  <c:v>-76.969999666023639</c:v>
                </c:pt>
                <c:pt idx="1">
                  <c:v>-59.69195148536123</c:v>
                </c:pt>
                <c:pt idx="2">
                  <c:v>-34.28655054213143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050-4240-A341-D0277A9B1E5E}"/>
            </c:ext>
          </c:extLst>
        </c:ser>
        <c:ser>
          <c:idx val="6"/>
          <c:order val="6"/>
          <c:tx>
            <c:strRef>
              <c:f>'טבלאות תרשים 3'!$H$3:$H$4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3'!$H$5:$H$9</c:f>
              <c:numCache>
                <c:formatCode>General</c:formatCode>
                <c:ptCount val="3"/>
                <c:pt idx="0">
                  <c:v>-66.581487750299743</c:v>
                </c:pt>
                <c:pt idx="1">
                  <c:v>-58.388926487116777</c:v>
                </c:pt>
                <c:pt idx="2">
                  <c:v>-35.375446285729247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050-4240-A341-D0277A9B1E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032576"/>
        <c:axId val="155034752"/>
      </c:lineChart>
      <c:catAx>
        <c:axId val="15503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5034752"/>
        <c:crosses val="autoZero"/>
        <c:auto val="1"/>
        <c:lblAlgn val="ctr"/>
        <c:lblOffset val="100"/>
        <c:noMultiLvlLbl val="0"/>
      </c:catAx>
      <c:valAx>
        <c:axId val="155034752"/>
        <c:scaling>
          <c:orientation val="minMax"/>
          <c:max val="100"/>
          <c:min val="-1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503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50708661417324E-3"/>
          <c:y val="0.8457405787239558"/>
          <c:w val="0.99454929133858272"/>
          <c:h val="0.15425942127604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3!גרף 3 ב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מרווחים ברמת סיכון גבוהה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62937270877950069"/>
          <c:y val="3.291120867956022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0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2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13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15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16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  <c:pivotFmt>
        <c:idx val="17"/>
        <c:spPr>
          <a:solidFill>
            <a:schemeClr val="accent1"/>
          </a:solidFill>
          <a:ln w="28575" cap="rnd">
            <a:solidFill>
              <a:srgbClr val="D87585"/>
            </a:solidFill>
            <a:round/>
          </a:ln>
          <a:effectLst/>
        </c:spPr>
        <c:marker>
          <c:symbol val="circle"/>
          <c:size val="5"/>
          <c:spPr>
            <a:solidFill>
              <a:srgbClr val="D87585"/>
            </a:solidFill>
            <a:ln w="9525">
              <a:solidFill>
                <a:srgbClr val="D87585"/>
              </a:solidFill>
            </a:ln>
            <a:effectLst/>
          </c:spPr>
        </c:marker>
      </c:pivotFmt>
      <c:pivotFmt>
        <c:idx val="18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2"/>
            </a:solidFill>
            <a:ln w="9525">
              <a:solidFill>
                <a:schemeClr val="accent2"/>
              </a:solidFill>
            </a:ln>
            <a:effectLst/>
          </c:spPr>
        </c:marker>
      </c:pivotFmt>
      <c:pivotFmt>
        <c:idx val="19"/>
        <c:spPr>
          <a:solidFill>
            <a:schemeClr val="accent1"/>
          </a:solidFill>
          <a:ln w="28575" cap="rnd">
            <a:solidFill>
              <a:srgbClr val="6C63FF"/>
            </a:solidFill>
            <a:round/>
          </a:ln>
          <a:effectLst/>
        </c:spPr>
        <c:marker>
          <c:symbol val="circle"/>
          <c:size val="5"/>
          <c:spPr>
            <a:solidFill>
              <a:srgbClr val="6C63FF"/>
            </a:solidFill>
            <a:ln w="9525">
              <a:solidFill>
                <a:srgbClr val="6C63FF"/>
              </a:solidFill>
            </a:ln>
            <a:effectLst/>
          </c:spPr>
        </c:marker>
      </c:pivotFmt>
      <c:pivotFmt>
        <c:idx val="20"/>
        <c:spPr>
          <a:solidFill>
            <a:schemeClr val="accent1"/>
          </a:solidFill>
          <a:ln w="28575" cap="rnd">
            <a:solidFill>
              <a:srgbClr val="D98D25"/>
            </a:solidFill>
            <a:round/>
          </a:ln>
          <a:effectLst/>
        </c:spPr>
        <c:marker>
          <c:symbol val="circle"/>
          <c:size val="5"/>
          <c:spPr>
            <a:solidFill>
              <a:srgbClr val="D98D25"/>
            </a:solidFill>
            <a:ln w="9525">
              <a:solidFill>
                <a:srgbClr val="D98D25"/>
              </a:solidFill>
            </a:ln>
            <a:effectLst/>
          </c:spPr>
        </c:marker>
      </c:pivotFmt>
      <c:pivotFmt>
        <c:idx val="21"/>
        <c:spPr>
          <a:solidFill>
            <a:schemeClr val="accent1"/>
          </a:solidFill>
          <a:ln w="28575" cap="rnd">
            <a:solidFill>
              <a:srgbClr val="008DA3"/>
            </a:solidFill>
            <a:round/>
          </a:ln>
          <a:effectLst/>
        </c:spPr>
        <c:marker>
          <c:symbol val="circle"/>
          <c:size val="5"/>
          <c:spPr>
            <a:solidFill>
              <a:srgbClr val="008DA3"/>
            </a:solidFill>
            <a:ln w="9525">
              <a:solidFill>
                <a:srgbClr val="008DA3"/>
              </a:solidFill>
            </a:ln>
            <a:effectLst/>
          </c:spPr>
        </c:marker>
      </c:pivotFmt>
      <c:pivotFmt>
        <c:idx val="2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6"/>
            </a:solidFill>
            <a:ln w="9525">
              <a:solidFill>
                <a:schemeClr val="accent6"/>
              </a:solidFill>
            </a:ln>
            <a:effectLst/>
          </c:spPr>
        </c:marker>
      </c:pivotFmt>
      <c:pivotFmt>
        <c:idx val="23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circle"/>
          <c:size val="5"/>
          <c:spPr>
            <a:solidFill>
              <a:schemeClr val="accent1">
                <a:lumMod val="60000"/>
              </a:schemeClr>
            </a:solidFill>
            <a:ln w="9525">
              <a:solidFill>
                <a:schemeClr val="accent1">
                  <a:lumMod val="60000"/>
                </a:schemeClr>
              </a:solidFill>
            </a:ln>
            <a:effectLst/>
          </c:spPr>
        </c:marker>
      </c:pivotFmt>
    </c:pivotFmts>
    <c:plotArea>
      <c:layout>
        <c:manualLayout>
          <c:layoutTarget val="inner"/>
          <c:xMode val="edge"/>
          <c:yMode val="edge"/>
          <c:x val="9.7659252545042735E-2"/>
          <c:y val="0.10431276598899712"/>
          <c:w val="0.88146001678479857"/>
          <c:h val="0.50618793693618835"/>
        </c:manualLayout>
      </c:layout>
      <c:lineChart>
        <c:grouping val="standard"/>
        <c:varyColors val="0"/>
        <c:ser>
          <c:idx val="0"/>
          <c:order val="0"/>
          <c:tx>
            <c:strRef>
              <c:f>'טבלאות תרשים 3'!$L$3:$L$4</c:f>
              <c:strCache>
                <c:ptCount val="1"/>
                <c:pt idx="0">
                  <c:v>בינוי</c:v>
                </c:pt>
              </c:strCache>
            </c:strRef>
          </c:tx>
          <c:spPr>
            <a:ln w="28575" cap="rnd">
              <a:solidFill>
                <a:srgbClr val="D8758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87585"/>
              </a:solidFill>
              <a:ln w="9525">
                <a:solidFill>
                  <a:srgbClr val="D87585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3'!$L$5:$L$9</c:f>
              <c:numCache>
                <c:formatCode>General</c:formatCode>
                <c:ptCount val="3"/>
                <c:pt idx="0">
                  <c:v>2.184679518793446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FE-4473-B1E6-494DBDF1B202}"/>
            </c:ext>
          </c:extLst>
        </c:ser>
        <c:ser>
          <c:idx val="1"/>
          <c:order val="1"/>
          <c:tx>
            <c:strRef>
              <c:f>'טבלאות תרשים 3'!$M$3:$M$4</c:f>
              <c:strCache>
                <c:ptCount val="1"/>
                <c:pt idx="0">
                  <c:v>דיור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3'!$M$5:$M$9</c:f>
              <c:numCache>
                <c:formatCode>General</c:formatCode>
                <c:ptCount val="3"/>
                <c:pt idx="0">
                  <c:v>13.1497960314263</c:v>
                </c:pt>
                <c:pt idx="1">
                  <c:v>21.27471974885745</c:v>
                </c:pt>
                <c:pt idx="2">
                  <c:v>40.095033866059431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FE-4473-B1E6-494DBDF1B202}"/>
            </c:ext>
          </c:extLst>
        </c:ser>
        <c:ser>
          <c:idx val="2"/>
          <c:order val="2"/>
          <c:tx>
            <c:strRef>
              <c:f>'טבלאות תרשים 3'!$N$3:$N$4</c:f>
              <c:strCache>
                <c:ptCount val="1"/>
                <c:pt idx="0">
                  <c:v>נדל"ן</c:v>
                </c:pt>
              </c:strCache>
            </c:strRef>
          </c:tx>
          <c:spPr>
            <a:ln w="28575" cap="rnd">
              <a:solidFill>
                <a:srgbClr val="6C63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C63FF"/>
              </a:solidFill>
              <a:ln w="9525">
                <a:solidFill>
                  <a:srgbClr val="6C63FF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3'!$N$5:$N$9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FE-4473-B1E6-494DBDF1B202}"/>
            </c:ext>
          </c:extLst>
        </c:ser>
        <c:ser>
          <c:idx val="3"/>
          <c:order val="3"/>
          <c:tx>
            <c:strRef>
              <c:f>'טבלאות תרשים 3'!$O$3:$O$4</c:f>
              <c:strCache>
                <c:ptCount val="1"/>
                <c:pt idx="0">
                  <c:v>עסקים בינוניים</c:v>
                </c:pt>
              </c:strCache>
            </c:strRef>
          </c:tx>
          <c:spPr>
            <a:ln w="28575" cap="rnd">
              <a:solidFill>
                <a:srgbClr val="D98D2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D98D25"/>
              </a:solidFill>
              <a:ln w="9525">
                <a:solidFill>
                  <a:srgbClr val="D98D25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3'!$O$5:$O$9</c:f>
              <c:numCache>
                <c:formatCode>General</c:formatCode>
                <c:ptCount val="3"/>
                <c:pt idx="0">
                  <c:v>49.84993038145015</c:v>
                </c:pt>
                <c:pt idx="1">
                  <c:v>43.145480247956854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FE-4473-B1E6-494DBDF1B202}"/>
            </c:ext>
          </c:extLst>
        </c:ser>
        <c:ser>
          <c:idx val="4"/>
          <c:order val="4"/>
          <c:tx>
            <c:strRef>
              <c:f>'טבלאות תרשים 3'!$P$3:$P$4</c:f>
              <c:strCache>
                <c:ptCount val="1"/>
                <c:pt idx="0">
                  <c:v>עסקים גדולים</c:v>
                </c:pt>
              </c:strCache>
            </c:strRef>
          </c:tx>
          <c:spPr>
            <a:ln w="28575" cap="rnd">
              <a:solidFill>
                <a:srgbClr val="008DA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8DA3"/>
              </a:solidFill>
              <a:ln w="9525">
                <a:solidFill>
                  <a:srgbClr val="008DA3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3'!$P$5:$P$9</c:f>
              <c:numCache>
                <c:formatCode>General</c:formatCode>
                <c:ptCount val="3"/>
                <c:pt idx="0">
                  <c:v>10.375200383531126</c:v>
                </c:pt>
                <c:pt idx="1">
                  <c:v>8.9104081618732689</c:v>
                </c:pt>
                <c:pt idx="2">
                  <c:v>-15.425582625953723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CFE-4473-B1E6-494DBDF1B202}"/>
            </c:ext>
          </c:extLst>
        </c:ser>
        <c:ser>
          <c:idx val="5"/>
          <c:order val="5"/>
          <c:tx>
            <c:strRef>
              <c:f>'טבלאות תרשים 3'!$Q$3:$Q$4</c:f>
              <c:strCache>
                <c:ptCount val="1"/>
                <c:pt idx="0">
                  <c:v>עסקים קטנים וזעירים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3'!$Q$5:$Q$9</c:f>
              <c:numCache>
                <c:formatCode>General</c:formatCode>
                <c:ptCount val="3"/>
                <c:pt idx="0">
                  <c:v>-23.958981049387507</c:v>
                </c:pt>
                <c:pt idx="1">
                  <c:v>-25.501608870897993</c:v>
                </c:pt>
                <c:pt idx="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CFE-4473-B1E6-494DBDF1B202}"/>
            </c:ext>
          </c:extLst>
        </c:ser>
        <c:ser>
          <c:idx val="6"/>
          <c:order val="6"/>
          <c:tx>
            <c:strRef>
              <c:f>'טבלאות תרשים 3'!$R$3:$R$4</c:f>
              <c:strCache>
                <c:ptCount val="1"/>
                <c:pt idx="0">
                  <c:v>צרכני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multiLvlStrRef>
              <c:f>'טבלאות תרשים 3'!$K$5:$K$9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3'!$R$5:$R$9</c:f>
              <c:numCache>
                <c:formatCode>General</c:formatCode>
                <c:ptCount val="3"/>
                <c:pt idx="0">
                  <c:v>-13.927856785941783</c:v>
                </c:pt>
                <c:pt idx="1">
                  <c:v>-17.22493632453445</c:v>
                </c:pt>
                <c:pt idx="2">
                  <c:v>-8.3245190163833502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CFE-4473-B1E6-494DBDF1B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188608"/>
        <c:axId val="155399680"/>
      </c:lineChart>
      <c:catAx>
        <c:axId val="15518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5399680"/>
        <c:crosses val="autoZero"/>
        <c:auto val="1"/>
        <c:lblAlgn val="ctr"/>
        <c:lblOffset val="100"/>
        <c:noMultiLvlLbl val="0"/>
      </c:catAx>
      <c:valAx>
        <c:axId val="155399680"/>
        <c:scaling>
          <c:orientation val="minMax"/>
          <c:max val="100"/>
          <c:min val="-1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551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896100012814944E-3"/>
          <c:y val="0.81531140078626108"/>
          <c:w val="0.98621681267302452"/>
          <c:h val="0.18468859921373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5!PivotTable29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א.</a:t>
            </a:r>
            <a:r>
              <a:rPr lang="he-IL" sz="1400" baseline="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 אשראי לעסקים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5029678982434889"/>
          <c:y val="4.2858167319249039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3974318828367714E-2"/>
          <c:y val="0.12200435729847495"/>
          <c:w val="0.9160256811716323"/>
          <c:h val="0.555636293651441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'טבלאות תרשים 5'!$B$3:$B$4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5'!$B$5:$B$9</c:f>
              <c:numCache>
                <c:formatCode>General</c:formatCode>
                <c:ptCount val="3"/>
                <c:pt idx="0">
                  <c:v>-45.08382243193909</c:v>
                </c:pt>
                <c:pt idx="1">
                  <c:v>-49.428250642598854</c:v>
                </c:pt>
                <c:pt idx="2">
                  <c:v>-50.106956603384084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17-4B78-ADF3-11370448A685}"/>
            </c:ext>
          </c:extLst>
        </c:ser>
        <c:ser>
          <c:idx val="1"/>
          <c:order val="1"/>
          <c:tx>
            <c:strRef>
              <c:f>'טבלאות תרשים 5'!$C$3:$C$4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5'!$C$5:$C$9</c:f>
              <c:numCache>
                <c:formatCode>General</c:formatCode>
                <c:ptCount val="3"/>
                <c:pt idx="0">
                  <c:v>-22.527219485869413</c:v>
                </c:pt>
                <c:pt idx="1">
                  <c:v>-18.011808378702689</c:v>
                </c:pt>
                <c:pt idx="2">
                  <c:v>-13.500200477094502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17-4B78-ADF3-11370448A685}"/>
            </c:ext>
          </c:extLst>
        </c:ser>
        <c:ser>
          <c:idx val="2"/>
          <c:order val="2"/>
          <c:tx>
            <c:strRef>
              <c:f>'טבלאות תרשים 5'!$D$3:$D$4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5'!$D$5:$D$9</c:f>
              <c:numCache>
                <c:formatCode>General</c:formatCode>
                <c:ptCount val="3"/>
                <c:pt idx="0">
                  <c:v>-24.533247020220799</c:v>
                </c:pt>
                <c:pt idx="1">
                  <c:v>-10.981724558021963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17-4B78-ADF3-11370448A685}"/>
            </c:ext>
          </c:extLst>
        </c:ser>
        <c:ser>
          <c:idx val="3"/>
          <c:order val="3"/>
          <c:tx>
            <c:strRef>
              <c:f>'טבלאות תרשים 5'!$E$3:$E$4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5'!$E$5:$E$9</c:f>
              <c:numCache>
                <c:formatCode>General</c:formatCode>
                <c:ptCount val="3"/>
                <c:pt idx="0">
                  <c:v>15.986020816877208</c:v>
                </c:pt>
                <c:pt idx="1">
                  <c:v>3.6605748526739879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17-4B78-ADF3-11370448A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838784"/>
        <c:axId val="160840320"/>
      </c:barChart>
      <c:lineChart>
        <c:grouping val="standard"/>
        <c:varyColors val="0"/>
        <c:ser>
          <c:idx val="4"/>
          <c:order val="4"/>
          <c:tx>
            <c:strRef>
              <c:f>'טבלאות תרשים 5'!$F$3:$F$4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5'!$A$5:$A$9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5'!$F$5:$F$9</c:f>
              <c:numCache>
                <c:formatCode>General</c:formatCode>
                <c:ptCount val="3"/>
                <c:pt idx="0">
                  <c:v>-58.966442424530698</c:v>
                </c:pt>
                <c:pt idx="1">
                  <c:v>-57.244972258864493</c:v>
                </c:pt>
                <c:pt idx="2">
                  <c:v>-45.745872862870222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17-4B78-ADF3-11370448A6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838784"/>
        <c:axId val="160840320"/>
      </c:lineChart>
      <c:catAx>
        <c:axId val="16083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0840320"/>
        <c:crosses val="autoZero"/>
        <c:auto val="1"/>
        <c:lblAlgn val="ctr"/>
        <c:lblOffset val="100"/>
        <c:noMultiLvlLbl val="0"/>
      </c:catAx>
      <c:valAx>
        <c:axId val="160840320"/>
        <c:scaling>
          <c:orientation val="minMax"/>
          <c:max val="200"/>
          <c:min val="-2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ssistant" panose="00000500000000000000" pitchFamily="2" charset="-79"/>
                <a:ea typeface="+mn-ea"/>
                <a:cs typeface="Assistant" panose="00000500000000000000" pitchFamily="2" charset="-79"/>
              </a:defRPr>
            </a:pPr>
            <a:endParaRPr lang="he-IL"/>
          </a:p>
        </c:txPr>
        <c:crossAx val="160838784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150363615615252"/>
          <c:w val="0.6181588201691709"/>
          <c:h val="0.178496363843847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5!PivotTable30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ב. אשראי לדיור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9116099890081126"/>
          <c:y val="2.1558264121094455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9785808696438069E-2"/>
          <c:y val="0.10795645626263931"/>
          <c:w val="0.90750309726348766"/>
          <c:h val="0.5396995712865135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5'!$J$3:$J$4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5'!$J$5:$J$9</c:f>
              <c:numCache>
                <c:formatCode>General</c:formatCode>
                <c:ptCount val="3"/>
                <c:pt idx="0">
                  <c:v>-93.867146401587732</c:v>
                </c:pt>
                <c:pt idx="1">
                  <c:v>-100</c:v>
                </c:pt>
                <c:pt idx="2">
                  <c:v>-75.779488555245322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B-42B3-A299-191C48C1565E}"/>
            </c:ext>
          </c:extLst>
        </c:ser>
        <c:ser>
          <c:idx val="2"/>
          <c:order val="2"/>
          <c:tx>
            <c:strRef>
              <c:f>'טבלאות תרשים 5'!$K$3:$K$4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5'!$K$5:$K$9</c:f>
              <c:numCache>
                <c:formatCode>General</c:formatCode>
                <c:ptCount val="3"/>
                <c:pt idx="0">
                  <c:v>22.658702474045317</c:v>
                </c:pt>
                <c:pt idx="1">
                  <c:v>12.74530887057451</c:v>
                </c:pt>
                <c:pt idx="2">
                  <c:v>20.396323313777621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9B-42B3-A299-191C48C1565E}"/>
            </c:ext>
          </c:extLst>
        </c:ser>
        <c:ser>
          <c:idx val="3"/>
          <c:order val="3"/>
          <c:tx>
            <c:strRef>
              <c:f>'טבלאות תרשים 5'!$L$3:$L$4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5'!$L$5:$L$9</c:f>
              <c:numCache>
                <c:formatCode>General</c:formatCode>
                <c:ptCount val="3"/>
                <c:pt idx="0">
                  <c:v>-2.1544678727043087</c:v>
                </c:pt>
                <c:pt idx="1">
                  <c:v>-2.1606373767956786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9B-42B3-A299-191C48C1565E}"/>
            </c:ext>
          </c:extLst>
        </c:ser>
        <c:ser>
          <c:idx val="4"/>
          <c:order val="4"/>
          <c:tx>
            <c:strRef>
              <c:f>'טבלאות תרשים 5'!$M$3:$M$4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5'!$M$5:$M$9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-2.1732501030869606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9B-42B3-A299-191C48C1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120256"/>
        <c:axId val="161121792"/>
      </c:barChart>
      <c:lineChart>
        <c:grouping val="standard"/>
        <c:varyColors val="0"/>
        <c:ser>
          <c:idx val="0"/>
          <c:order val="0"/>
          <c:tx>
            <c:strRef>
              <c:f>'טבלאות תרשים 5'!$I$3:$I$4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5'!$H$5:$H$9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5'!$I$5:$I$9</c:f>
              <c:numCache>
                <c:formatCode>General</c:formatCode>
                <c:ptCount val="3"/>
                <c:pt idx="0">
                  <c:v>-22.823566721045648</c:v>
                </c:pt>
                <c:pt idx="1">
                  <c:v>-21.128332685357744</c:v>
                </c:pt>
                <c:pt idx="2">
                  <c:v>22.492589546665045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B9B-42B3-A299-191C48C1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120256"/>
        <c:axId val="161121792"/>
      </c:lineChart>
      <c:catAx>
        <c:axId val="16112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1121792"/>
        <c:crosses val="autoZero"/>
        <c:auto val="1"/>
        <c:lblAlgn val="ctr"/>
        <c:lblOffset val="100"/>
        <c:noMultiLvlLbl val="0"/>
      </c:catAx>
      <c:valAx>
        <c:axId val="161121792"/>
        <c:scaling>
          <c:orientation val="minMax"/>
          <c:max val="200"/>
          <c:min val="-2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112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109332866077539E-3"/>
          <c:y val="0.82674358774460122"/>
          <c:w val="0.59776262723257145"/>
          <c:h val="0.173256412255398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[גרפים אוטומטי מעודכן.xlsx]טבלאות תרשים 5!PivotTable31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1400">
                <a:solidFill>
                  <a:sysClr val="windowText" lastClr="000000"/>
                </a:solidFill>
                <a:latin typeface="Assistant" panose="00000500000000000000" pitchFamily="2" charset="-79"/>
                <a:cs typeface="Assistant" panose="00000500000000000000" pitchFamily="2" charset="-79"/>
              </a:rPr>
              <a:t>ג. אשראי צרכני</a:t>
            </a:r>
            <a:endParaRPr lang="en-US" sz="1400">
              <a:solidFill>
                <a:sysClr val="windowText" lastClr="000000"/>
              </a:solidFill>
              <a:latin typeface="Assistant" panose="00000500000000000000" pitchFamily="2" charset="-79"/>
              <a:cs typeface="Assistant" panose="00000500000000000000" pitchFamily="2" charset="-79"/>
            </a:endParaRPr>
          </a:p>
        </c:rich>
      </c:tx>
      <c:layout>
        <c:manualLayout>
          <c:xMode val="edge"/>
          <c:yMode val="edge"/>
          <c:x val="0.79152579972122805"/>
          <c:y val="7.438073010956732E-3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5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  <c:pivotFmt>
        <c:idx val="10"/>
        <c:spPr>
          <a:solidFill>
            <a:srgbClr val="D98D25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rgbClr val="008DA3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rgbClr val="D87585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rgbClr val="6C63FF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 w="28575" cap="rnd">
            <a:solidFill>
              <a:srgbClr val="000000"/>
            </a:solidFill>
            <a:round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8.6741248835529597E-2"/>
          <c:y val="7.7746695022270329E-2"/>
          <c:w val="0.89989768544862825"/>
          <c:h val="0.57362928859449203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'טבלאות תרשים 5'!$Q$3:$Q$4</c:f>
              <c:strCache>
                <c:ptCount val="1"/>
                <c:pt idx="0">
                  <c:v>לחצי תחרות</c:v>
                </c:pt>
              </c:strCache>
            </c:strRef>
          </c:tx>
          <c:spPr>
            <a:solidFill>
              <a:srgbClr val="D98D2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5'!$Q$5:$Q$9</c:f>
              <c:numCache>
                <c:formatCode>General</c:formatCode>
                <c:ptCount val="3"/>
                <c:pt idx="0">
                  <c:v>-98.665359882095999</c:v>
                </c:pt>
                <c:pt idx="1">
                  <c:v>-99.611458273799229</c:v>
                </c:pt>
                <c:pt idx="2">
                  <c:v>-50.346578741499307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0-49B9-A7BE-3E0A625C8F4A}"/>
            </c:ext>
          </c:extLst>
        </c:ser>
        <c:ser>
          <c:idx val="2"/>
          <c:order val="2"/>
          <c:tx>
            <c:strRef>
              <c:f>'טבלאות תרשים 5'!$R$3:$R$4</c:f>
              <c:strCache>
                <c:ptCount val="1"/>
                <c:pt idx="0">
                  <c:v>עלויות גיוס המקורות ומגבלות הרכב המאזן</c:v>
                </c:pt>
              </c:strCache>
            </c:strRef>
          </c:tx>
          <c:spPr>
            <a:solidFill>
              <a:srgbClr val="008DA3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5'!$R$5:$R$9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0-49B9-A7BE-3E0A625C8F4A}"/>
            </c:ext>
          </c:extLst>
        </c:ser>
        <c:ser>
          <c:idx val="3"/>
          <c:order val="3"/>
          <c:tx>
            <c:strRef>
              <c:f>'טבלאות תרשים 5'!$S$3:$S$4</c:f>
              <c:strCache>
                <c:ptCount val="1"/>
                <c:pt idx="0">
                  <c:v>תאבון וקיבולת לסיכון אשראי</c:v>
                </c:pt>
              </c:strCache>
            </c:strRef>
          </c:tx>
          <c:spPr>
            <a:solidFill>
              <a:srgbClr val="D87585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5'!$S$5:$S$9</c:f>
              <c:numCache>
                <c:formatCode>General</c:formatCode>
                <c:ptCount val="3"/>
                <c:pt idx="0">
                  <c:v>0</c:v>
                </c:pt>
                <c:pt idx="1">
                  <c:v>-22.306118013044614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D0-49B9-A7BE-3E0A625C8F4A}"/>
            </c:ext>
          </c:extLst>
        </c:ser>
        <c:ser>
          <c:idx val="4"/>
          <c:order val="4"/>
          <c:tx>
            <c:strRef>
              <c:f>'טבלאות תרשים 5'!$T$3:$T$4</c:f>
              <c:strCache>
                <c:ptCount val="1"/>
                <c:pt idx="0">
                  <c:v>תפיסת סיכון בבנק</c:v>
                </c:pt>
              </c:strCache>
            </c:strRef>
          </c:tx>
          <c:spPr>
            <a:solidFill>
              <a:srgbClr val="6C63FF"/>
            </a:solidFill>
            <a:ln>
              <a:noFill/>
            </a:ln>
            <a:effectLst/>
          </c:spPr>
          <c:invertIfNegative val="0"/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5'!$T$5:$T$9</c:f>
              <c:numCache>
                <c:formatCode>General</c:formatCode>
                <c:ptCount val="3"/>
                <c:pt idx="0">
                  <c:v>0.18936644820056811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D0-49B9-A7BE-3E0A625C8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617024"/>
        <c:axId val="161618560"/>
      </c:barChart>
      <c:lineChart>
        <c:grouping val="standard"/>
        <c:varyColors val="0"/>
        <c:ser>
          <c:idx val="0"/>
          <c:order val="0"/>
          <c:tx>
            <c:strRef>
              <c:f>'טבלאות תרשים 5'!$P$3:$P$4</c:f>
              <c:strCache>
                <c:ptCount val="1"/>
                <c:pt idx="0">
                  <c:v>השינוי שחל במרווחים</c:v>
                </c:pt>
              </c:strCache>
            </c:strRef>
          </c:tx>
          <c:spPr>
            <a:ln w="28575" cap="rnd">
              <a:solidFill>
                <a:srgbClr val="000000"/>
              </a:solidFill>
              <a:round/>
            </a:ln>
            <a:effectLst/>
          </c:spPr>
          <c:marker>
            <c:symbol val="none"/>
          </c:marker>
          <c:cat>
            <c:multiLvlStrRef>
              <c:f>'טבלאות תרשים 5'!$O$5:$O$9</c:f>
              <c:multiLvlStrCache>
                <c:ptCount val="3"/>
                <c:lvl>
                  <c:pt idx="0">
                    <c:v>Q3</c:v>
                  </c:pt>
                  <c:pt idx="1">
                    <c:v>Q4</c:v>
                  </c:pt>
                  <c:pt idx="2">
                    <c:v>Q1</c:v>
                  </c:pt>
                </c:lvl>
                <c:lvl>
                  <c:pt idx="0">
                    <c:v>2024</c:v>
                  </c:pt>
                  <c:pt idx="2">
                    <c:v>2025</c:v>
                  </c:pt>
                </c:lvl>
              </c:multiLvlStrCache>
            </c:multiLvlStrRef>
          </c:cat>
          <c:val>
            <c:numRef>
              <c:f>'טבלאות תרשים 5'!$P$5:$P$9</c:f>
              <c:numCache>
                <c:formatCode>General</c:formatCode>
                <c:ptCount val="3"/>
                <c:pt idx="0">
                  <c:v>-40.254672268120764</c:v>
                </c:pt>
                <c:pt idx="1">
                  <c:v>-37.806931405825615</c:v>
                </c:pt>
                <c:pt idx="2">
                  <c:v>-21.849982651056301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D0-49B9-A7BE-3E0A625C8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617024"/>
        <c:axId val="161618560"/>
      </c:lineChart>
      <c:catAx>
        <c:axId val="16161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1618560"/>
        <c:crosses val="autoZero"/>
        <c:auto val="1"/>
        <c:lblAlgn val="ctr"/>
        <c:lblOffset val="100"/>
        <c:noMultiLvlLbl val="0"/>
      </c:catAx>
      <c:valAx>
        <c:axId val="161618560"/>
        <c:scaling>
          <c:orientation val="minMax"/>
          <c:max val="200"/>
          <c:min val="-200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6161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58965963438343E-2"/>
          <c:y val="0.81980417118518867"/>
          <c:w val="0.57894861753886318"/>
          <c:h val="0.180195828814811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ssistant" panose="00000500000000000000" pitchFamily="2" charset="-79"/>
              <a:ea typeface="+mn-ea"/>
              <a:cs typeface="Assistant" panose="00000500000000000000" pitchFamily="2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F6A73-EBE8-415D-BC18-CD39623E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3707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רמסיס גרא</dc:creator>
  <cp:lastModifiedBy>רוסול דכוור</cp:lastModifiedBy>
  <cp:revision>2</cp:revision>
  <dcterms:created xsi:type="dcterms:W3CDTF">2025-04-17T06:55:00Z</dcterms:created>
  <dcterms:modified xsi:type="dcterms:W3CDTF">2025-04-17T06:55:00Z</dcterms:modified>
</cp:coreProperties>
</file>