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532E" w14:textId="77777777" w:rsidR="006A415B" w:rsidRPr="006F18D3" w:rsidRDefault="006A415B" w:rsidP="00C2592B">
      <w:pPr>
        <w:pStyle w:val="Heading1"/>
        <w:numPr>
          <w:ilvl w:val="0"/>
          <w:numId w:val="0"/>
        </w:numPr>
        <w:tabs>
          <w:tab w:val="left" w:pos="180"/>
        </w:tabs>
        <w:bidi w:val="0"/>
        <w:spacing w:line="240" w:lineRule="auto"/>
        <w:ind w:right="32"/>
        <w:rPr>
          <w:rtl/>
          <w:lang w:eastAsia="en-US"/>
        </w:rPr>
      </w:pPr>
    </w:p>
    <w:p w14:paraId="64AAE77F" w14:textId="02D79FA9" w:rsidR="006A415B" w:rsidRPr="006F18D3" w:rsidRDefault="00194663" w:rsidP="00C2592B">
      <w:pPr>
        <w:pStyle w:val="Heading1"/>
        <w:numPr>
          <w:ilvl w:val="0"/>
          <w:numId w:val="0"/>
        </w:numPr>
        <w:tabs>
          <w:tab w:val="left" w:pos="180"/>
        </w:tabs>
        <w:bidi w:val="0"/>
        <w:spacing w:line="240" w:lineRule="auto"/>
        <w:ind w:right="32"/>
        <w:jc w:val="right"/>
        <w:rPr>
          <w:rtl/>
          <w:lang w:eastAsia="en-US"/>
        </w:rPr>
      </w:pPr>
      <w:r>
        <w:rPr>
          <w:lang w:eastAsia="en-US"/>
        </w:rPr>
        <w:t>July 10</w:t>
      </w:r>
      <w:r w:rsidR="00D22CE3">
        <w:rPr>
          <w:lang w:eastAsia="en-US"/>
        </w:rPr>
        <w:t>, 2023</w:t>
      </w:r>
    </w:p>
    <w:p w14:paraId="0B7FE089" w14:textId="77777777" w:rsidR="006A415B" w:rsidRPr="006F18D3" w:rsidRDefault="006A415B" w:rsidP="00C2592B">
      <w:pPr>
        <w:pStyle w:val="Header"/>
        <w:bidi w:val="0"/>
        <w:spacing w:line="240" w:lineRule="auto"/>
      </w:pPr>
    </w:p>
    <w:p w14:paraId="43D5A2BD" w14:textId="77777777" w:rsidR="006A415B" w:rsidRPr="006F18D3" w:rsidRDefault="006A415B" w:rsidP="00C2592B">
      <w:pPr>
        <w:pStyle w:val="Header"/>
        <w:bidi w:val="0"/>
        <w:spacing w:line="240" w:lineRule="auto"/>
        <w:jc w:val="center"/>
        <w:rPr>
          <w:b/>
          <w:bCs/>
          <w:sz w:val="26"/>
          <w:szCs w:val="26"/>
        </w:rPr>
      </w:pPr>
      <w:r w:rsidRPr="006F18D3">
        <w:rPr>
          <w:b/>
          <w:bCs/>
          <w:sz w:val="26"/>
          <w:szCs w:val="26"/>
        </w:rPr>
        <w:t>Press Release</w:t>
      </w:r>
    </w:p>
    <w:p w14:paraId="75D1049F" w14:textId="77777777" w:rsidR="006A415B" w:rsidRPr="006F18D3" w:rsidRDefault="006A415B" w:rsidP="00C2592B">
      <w:pPr>
        <w:jc w:val="center"/>
        <w:rPr>
          <w:b/>
          <w:bCs/>
        </w:rPr>
      </w:pPr>
    </w:p>
    <w:p w14:paraId="6EAB5167" w14:textId="5BDE5F83" w:rsidR="006A415B" w:rsidRPr="00FE52C4" w:rsidRDefault="006A415B" w:rsidP="00194663">
      <w:pPr>
        <w:jc w:val="center"/>
        <w:rPr>
          <w:b/>
          <w:bCs/>
          <w:sz w:val="32"/>
          <w:szCs w:val="32"/>
        </w:rPr>
      </w:pPr>
      <w:r w:rsidRPr="00FE52C4">
        <w:rPr>
          <w:b/>
          <w:bCs/>
          <w:sz w:val="32"/>
          <w:szCs w:val="32"/>
        </w:rPr>
        <w:t xml:space="preserve">The Monetary Committee decides on </w:t>
      </w:r>
      <w:r w:rsidR="00194663">
        <w:rPr>
          <w:b/>
          <w:bCs/>
          <w:sz w:val="32"/>
          <w:szCs w:val="32"/>
        </w:rPr>
        <w:t>July 10</w:t>
      </w:r>
      <w:r w:rsidR="00D22CE3" w:rsidRPr="00FE52C4">
        <w:rPr>
          <w:b/>
          <w:bCs/>
          <w:sz w:val="32"/>
          <w:szCs w:val="32"/>
        </w:rPr>
        <w:t>, 2023</w:t>
      </w:r>
      <w:r w:rsidRPr="00FE52C4">
        <w:rPr>
          <w:b/>
          <w:bCs/>
          <w:sz w:val="32"/>
          <w:szCs w:val="32"/>
        </w:rPr>
        <w:t xml:space="preserve"> </w:t>
      </w:r>
    </w:p>
    <w:p w14:paraId="3D5ED02F" w14:textId="26CE9599" w:rsidR="006A415B" w:rsidRPr="006F18D3" w:rsidRDefault="006A415B" w:rsidP="000A7BAF">
      <w:pPr>
        <w:jc w:val="center"/>
        <w:rPr>
          <w:b/>
          <w:bCs/>
          <w:sz w:val="32"/>
          <w:szCs w:val="32"/>
        </w:rPr>
      </w:pPr>
      <w:proofErr w:type="gramStart"/>
      <w:r w:rsidRPr="000A7BAF">
        <w:rPr>
          <w:b/>
          <w:bCs/>
          <w:sz w:val="32"/>
          <w:szCs w:val="32"/>
        </w:rPr>
        <w:t>to</w:t>
      </w:r>
      <w:proofErr w:type="gramEnd"/>
      <w:r w:rsidRPr="000A7BAF">
        <w:rPr>
          <w:b/>
          <w:bCs/>
          <w:sz w:val="32"/>
          <w:szCs w:val="32"/>
        </w:rPr>
        <w:t xml:space="preserve"> </w:t>
      </w:r>
      <w:r w:rsidR="000A7BAF" w:rsidRPr="000A7BAF">
        <w:rPr>
          <w:b/>
          <w:bCs/>
          <w:sz w:val="32"/>
          <w:szCs w:val="32"/>
        </w:rPr>
        <w:t>leave</w:t>
      </w:r>
      <w:r w:rsidR="00CB5669" w:rsidRPr="000A7BAF">
        <w:rPr>
          <w:b/>
          <w:bCs/>
          <w:sz w:val="32"/>
          <w:szCs w:val="32"/>
        </w:rPr>
        <w:t xml:space="preserve"> </w:t>
      </w:r>
      <w:r w:rsidR="00773125" w:rsidRPr="000A7BAF">
        <w:rPr>
          <w:b/>
          <w:bCs/>
          <w:sz w:val="32"/>
          <w:szCs w:val="32"/>
        </w:rPr>
        <w:t>the interest rate</w:t>
      </w:r>
      <w:r w:rsidR="00B14C6C" w:rsidRPr="000A7BAF">
        <w:rPr>
          <w:b/>
          <w:bCs/>
          <w:sz w:val="32"/>
          <w:szCs w:val="32"/>
        </w:rPr>
        <w:t xml:space="preserve"> </w:t>
      </w:r>
      <w:r w:rsidR="000A7BAF" w:rsidRPr="000A7BAF">
        <w:rPr>
          <w:b/>
          <w:bCs/>
          <w:sz w:val="32"/>
          <w:szCs w:val="32"/>
        </w:rPr>
        <w:t>unchanged at</w:t>
      </w:r>
      <w:r w:rsidR="00CB5669" w:rsidRPr="000A7BAF">
        <w:rPr>
          <w:b/>
          <w:bCs/>
          <w:sz w:val="32"/>
          <w:szCs w:val="32"/>
        </w:rPr>
        <w:t xml:space="preserve"> </w:t>
      </w:r>
      <w:r w:rsidR="00FF505B" w:rsidRPr="000A7BAF">
        <w:rPr>
          <w:b/>
          <w:bCs/>
          <w:sz w:val="32"/>
          <w:szCs w:val="32"/>
        </w:rPr>
        <w:t>4.</w:t>
      </w:r>
      <w:r w:rsidR="00FE52C4" w:rsidRPr="000A7BAF">
        <w:rPr>
          <w:b/>
          <w:bCs/>
          <w:sz w:val="32"/>
          <w:szCs w:val="32"/>
        </w:rPr>
        <w:t>7</w:t>
      </w:r>
      <w:r w:rsidR="00FF505B" w:rsidRPr="000A7BAF">
        <w:rPr>
          <w:b/>
          <w:bCs/>
          <w:sz w:val="32"/>
          <w:szCs w:val="32"/>
        </w:rPr>
        <w:t>5</w:t>
      </w:r>
      <w:r w:rsidR="00773125" w:rsidRPr="00FE52C4">
        <w:rPr>
          <w:b/>
          <w:bCs/>
          <w:sz w:val="32"/>
          <w:szCs w:val="32"/>
        </w:rPr>
        <w:t xml:space="preserve"> percent</w:t>
      </w:r>
    </w:p>
    <w:p w14:paraId="796566F9" w14:textId="77777777" w:rsidR="003768D8" w:rsidRPr="006F18D3" w:rsidRDefault="003768D8" w:rsidP="00C2592B">
      <w:pPr>
        <w:rPr>
          <w:b/>
          <w:bCs/>
          <w:sz w:val="32"/>
          <w:szCs w:val="32"/>
        </w:rPr>
      </w:pPr>
    </w:p>
    <w:p w14:paraId="422C5EBC" w14:textId="77777777" w:rsidR="000512B0" w:rsidRPr="006F18D3" w:rsidRDefault="000512B0" w:rsidP="00C2592B">
      <w:pPr>
        <w:jc w:val="both"/>
      </w:pPr>
    </w:p>
    <w:p w14:paraId="70532B56" w14:textId="557B91DD" w:rsidR="008D78E5" w:rsidRPr="007F290D" w:rsidRDefault="001E34CC" w:rsidP="005D3898">
      <w:pPr>
        <w:pStyle w:val="ListParagraph"/>
        <w:numPr>
          <w:ilvl w:val="0"/>
          <w:numId w:val="8"/>
        </w:numPr>
        <w:bidi w:val="0"/>
        <w:spacing w:line="240" w:lineRule="auto"/>
      </w:pPr>
      <w:proofErr w:type="gramStart"/>
      <w:r w:rsidRPr="007F290D">
        <w:t>Inflation</w:t>
      </w:r>
      <w:r w:rsidR="007F290D">
        <w:rPr>
          <w:rFonts w:hint="cs"/>
          <w:rtl/>
        </w:rPr>
        <w:t xml:space="preserve"> </w:t>
      </w:r>
      <w:r w:rsidR="007F290D">
        <w:t xml:space="preserve">is moderating, but </w:t>
      </w:r>
      <w:r w:rsidR="001D1BFB" w:rsidRPr="007F290D">
        <w:t>is</w:t>
      </w:r>
      <w:r w:rsidR="005D3898">
        <w:t xml:space="preserve"> still</w:t>
      </w:r>
      <w:r w:rsidR="001D1BFB" w:rsidRPr="007F290D">
        <w:t xml:space="preserve"> high </w:t>
      </w:r>
      <w:r w:rsidR="005D3898">
        <w:t>over</w:t>
      </w:r>
      <w:r w:rsidR="001D1BFB" w:rsidRPr="007F290D">
        <w:t xml:space="preserve"> </w:t>
      </w:r>
      <w:r w:rsidR="00D22CE3" w:rsidRPr="007F290D">
        <w:t>a wide range of CPI components.</w:t>
      </w:r>
      <w:proofErr w:type="gramEnd"/>
      <w:r w:rsidR="008D78E5" w:rsidRPr="007F290D">
        <w:t xml:space="preserve"> </w:t>
      </w:r>
      <w:r w:rsidR="007F290D">
        <w:t xml:space="preserve">Inflation over the past 12 months is 4.6 percent. </w:t>
      </w:r>
      <w:r w:rsidR="00FF3CBD" w:rsidRPr="007F290D">
        <w:rPr>
          <w:rFonts w:hint="cs"/>
        </w:rPr>
        <w:t>L</w:t>
      </w:r>
      <w:r w:rsidR="00FF3CBD" w:rsidRPr="007F290D">
        <w:t>ooking at</w:t>
      </w:r>
      <w:r w:rsidR="000C5C39" w:rsidRPr="007F290D">
        <w:t xml:space="preserve"> the past 6 </w:t>
      </w:r>
      <w:proofErr w:type="gramStart"/>
      <w:r w:rsidR="000C5C39" w:rsidRPr="007F290D">
        <w:t>months,</w:t>
      </w:r>
      <w:proofErr w:type="gramEnd"/>
      <w:r w:rsidR="000C5C39" w:rsidRPr="007F290D">
        <w:t xml:space="preserve"> and even more so over the past 3 months, </w:t>
      </w:r>
      <w:r w:rsidR="00FF3CBD" w:rsidRPr="007F290D">
        <w:t>the pace of inflation is</w:t>
      </w:r>
      <w:r w:rsidR="007F290D">
        <w:t xml:space="preserve"> moderating in the prices of both tradable goods and </w:t>
      </w:r>
      <w:proofErr w:type="spellStart"/>
      <w:r w:rsidR="007F290D">
        <w:t>nontradables</w:t>
      </w:r>
      <w:proofErr w:type="spellEnd"/>
      <w:r w:rsidR="000C5C39" w:rsidRPr="007F290D">
        <w:t>.</w:t>
      </w:r>
    </w:p>
    <w:p w14:paraId="3B3B2AF0" w14:textId="03D9CB9D" w:rsidR="001E34CC" w:rsidRPr="007F290D" w:rsidRDefault="005D3898" w:rsidP="005D3898">
      <w:pPr>
        <w:pStyle w:val="ListParagraph"/>
        <w:numPr>
          <w:ilvl w:val="0"/>
          <w:numId w:val="8"/>
        </w:numPr>
        <w:bidi w:val="0"/>
        <w:spacing w:line="240" w:lineRule="auto"/>
      </w:pPr>
      <w:r>
        <w:t>One-year i</w:t>
      </w:r>
      <w:r w:rsidR="008D78E5" w:rsidRPr="007F290D">
        <w:t xml:space="preserve">nflation expectations and forecasts </w:t>
      </w:r>
      <w:r w:rsidR="007F290D">
        <w:t>are within</w:t>
      </w:r>
      <w:r w:rsidR="008D78E5" w:rsidRPr="007F290D">
        <w:t xml:space="preserve"> the target range</w:t>
      </w:r>
      <w:r w:rsidR="007F290D">
        <w:t>, near the upper bound</w:t>
      </w:r>
      <w:r w:rsidR="008D78E5" w:rsidRPr="007F290D">
        <w:t>.</w:t>
      </w:r>
      <w:r w:rsidR="0041770E" w:rsidRPr="007F290D">
        <w:t xml:space="preserve"> </w:t>
      </w:r>
      <w:r w:rsidR="008D78E5" w:rsidRPr="007F290D">
        <w:t>Expectations derived from the capital market for the second year onward are within the target range.</w:t>
      </w:r>
      <w:r w:rsidR="00441BDC" w:rsidRPr="007F290D">
        <w:t xml:space="preserve"> </w:t>
      </w:r>
    </w:p>
    <w:p w14:paraId="645FA3A6" w14:textId="77777777" w:rsidR="007F290D" w:rsidRDefault="00B0166C" w:rsidP="007F290D">
      <w:pPr>
        <w:pStyle w:val="ListParagraph"/>
        <w:numPr>
          <w:ilvl w:val="0"/>
          <w:numId w:val="8"/>
        </w:numPr>
        <w:bidi w:val="0"/>
        <w:spacing w:line="240" w:lineRule="auto"/>
      </w:pPr>
      <w:r w:rsidRPr="007F290D">
        <w:t>E</w:t>
      </w:r>
      <w:r w:rsidR="00D25B59" w:rsidRPr="007F290D">
        <w:t>conomic activity in Israel</w:t>
      </w:r>
      <w:r w:rsidRPr="007F290D">
        <w:t xml:space="preserve"> remains strong</w:t>
      </w:r>
      <w:r w:rsidR="008D78E5" w:rsidRPr="007F290D">
        <w:t>,</w:t>
      </w:r>
      <w:r w:rsidR="00D22CE3" w:rsidRPr="007F290D">
        <w:t xml:space="preserve"> but </w:t>
      </w:r>
      <w:r w:rsidR="007F290D">
        <w:t>a number of</w:t>
      </w:r>
      <w:r w:rsidR="000C5C39" w:rsidRPr="007F290D">
        <w:t xml:space="preserve"> economic indicators point to </w:t>
      </w:r>
      <w:r w:rsidR="007F290D">
        <w:t>some</w:t>
      </w:r>
      <w:r w:rsidRPr="007F290D">
        <w:t xml:space="preserve"> </w:t>
      </w:r>
      <w:r w:rsidR="000C5C39" w:rsidRPr="007F290D">
        <w:t xml:space="preserve">moderation in activity. </w:t>
      </w:r>
      <w:r w:rsidR="00D25B59" w:rsidRPr="007F290D">
        <w:t xml:space="preserve">The labor market </w:t>
      </w:r>
      <w:r w:rsidR="000C5C39" w:rsidRPr="007F290D">
        <w:t>remains</w:t>
      </w:r>
      <w:r w:rsidR="00D25B59" w:rsidRPr="007F290D">
        <w:t xml:space="preserve"> tight</w:t>
      </w:r>
      <w:r w:rsidR="00FE22B6" w:rsidRPr="007F290D">
        <w:t>,</w:t>
      </w:r>
      <w:r w:rsidR="008D78E5" w:rsidRPr="007F290D">
        <w:t xml:space="preserve"> and </w:t>
      </w:r>
      <w:r w:rsidR="000C5C39" w:rsidRPr="007F290D">
        <w:t>in a full</w:t>
      </w:r>
      <w:r w:rsidR="008D78E5" w:rsidRPr="007F290D">
        <w:t xml:space="preserve"> employment </w:t>
      </w:r>
      <w:r w:rsidR="000C5C39" w:rsidRPr="007F290D">
        <w:t>environment, but</w:t>
      </w:r>
      <w:r w:rsidR="008D78E5" w:rsidRPr="007F290D">
        <w:t xml:space="preserve"> the </w:t>
      </w:r>
      <w:r w:rsidR="000C5C39" w:rsidRPr="007F290D">
        <w:t>downward trend</w:t>
      </w:r>
      <w:r w:rsidR="007F290D">
        <w:t xml:space="preserve"> in the </w:t>
      </w:r>
      <w:r w:rsidR="007F290D" w:rsidRPr="007F290D">
        <w:t>job vacancy rate</w:t>
      </w:r>
      <w:r w:rsidR="007F290D">
        <w:t xml:space="preserve"> continues</w:t>
      </w:r>
      <w:r w:rsidR="008D78E5" w:rsidRPr="007F290D">
        <w:t>.</w:t>
      </w:r>
    </w:p>
    <w:p w14:paraId="67EB0E74" w14:textId="3389241F" w:rsidR="00D22CE3" w:rsidRPr="007F290D" w:rsidRDefault="007F290D" w:rsidP="005D3898">
      <w:pPr>
        <w:pStyle w:val="ListParagraph"/>
        <w:numPr>
          <w:ilvl w:val="0"/>
          <w:numId w:val="8"/>
        </w:numPr>
        <w:bidi w:val="0"/>
        <w:spacing w:line="240" w:lineRule="auto"/>
      </w:pPr>
      <w:r>
        <w:t>The Research Department revised its ma</w:t>
      </w:r>
      <w:r w:rsidR="005D3898">
        <w:t>c</w:t>
      </w:r>
      <w:r>
        <w:t xml:space="preserve">roeconomic forecast.  In its assessment, GDP will grow by 3 percent in each of 2023 and 2024, and some of the moderating effects of monetary restraint on activity </w:t>
      </w:r>
      <w:proofErr w:type="gramStart"/>
      <w:r>
        <w:t>will be realized</w:t>
      </w:r>
      <w:proofErr w:type="gramEnd"/>
      <w:r>
        <w:t xml:space="preserve"> later than in the April assessment.  The main risk to the forecast is the </w:t>
      </w:r>
      <w:r w:rsidR="005D3898">
        <w:t>materialization</w:t>
      </w:r>
      <w:r>
        <w:t xml:space="preserve"> of a scenario in which the legislative and institutional changes </w:t>
      </w:r>
      <w:r w:rsidR="005D3898">
        <w:t xml:space="preserve">with regard to the judicial system </w:t>
      </w:r>
      <w:proofErr w:type="gramStart"/>
      <w:r>
        <w:t>are accompanied</w:t>
      </w:r>
      <w:proofErr w:type="gramEnd"/>
      <w:r>
        <w:t xml:space="preserve"> by an increase in the country’s risk premium and continued depreciation of the shekel, an adverse impact to exports, and declines in domestic investments and in demand for private consumption.  The April forecast contained a quantitative assessment of this scenario.</w:t>
      </w:r>
      <w:r w:rsidR="00D22CE3" w:rsidRPr="007F290D">
        <w:t xml:space="preserve"> </w:t>
      </w:r>
    </w:p>
    <w:p w14:paraId="08E46D0B" w14:textId="4E674671" w:rsidR="00D25B59" w:rsidRPr="007F290D" w:rsidRDefault="007F290D" w:rsidP="007F290D">
      <w:pPr>
        <w:pStyle w:val="ListParagraph"/>
        <w:numPr>
          <w:ilvl w:val="0"/>
          <w:numId w:val="8"/>
        </w:numPr>
        <w:bidi w:val="0"/>
        <w:spacing w:line="240" w:lineRule="auto"/>
      </w:pPr>
      <w:r>
        <w:t>The volume of activity i</w:t>
      </w:r>
      <w:r w:rsidR="008D78E5" w:rsidRPr="007F290D">
        <w:t>n the housing market</w:t>
      </w:r>
      <w:r>
        <w:t xml:space="preserve"> continues to moderate.  </w:t>
      </w:r>
      <w:proofErr w:type="gramStart"/>
      <w:r>
        <w:t>In the aggregate</w:t>
      </w:r>
      <w:proofErr w:type="gramEnd"/>
      <w:r>
        <w:t>, prices have remained unchanged since the beginning of the year.</w:t>
      </w:r>
      <w:r w:rsidR="008D78E5" w:rsidRPr="007F290D">
        <w:t xml:space="preserve"> </w:t>
      </w:r>
      <w:r>
        <w:t>T</w:t>
      </w:r>
      <w:r w:rsidR="008D78E5" w:rsidRPr="007F290D">
        <w:t xml:space="preserve">he </w:t>
      </w:r>
      <w:r>
        <w:t xml:space="preserve">downward trend in the </w:t>
      </w:r>
      <w:r w:rsidR="008D78E5" w:rsidRPr="007F290D">
        <w:t>number of purchases and new mortgage</w:t>
      </w:r>
      <w:r w:rsidR="00D517F7" w:rsidRPr="007F290D">
        <w:t xml:space="preserve"> volume</w:t>
      </w:r>
      <w:r w:rsidR="008D78E5" w:rsidRPr="007F290D">
        <w:t xml:space="preserve"> continue</w:t>
      </w:r>
      <w:r>
        <w:t>s</w:t>
      </w:r>
      <w:r w:rsidR="008D78E5" w:rsidRPr="007F290D">
        <w:t>.</w:t>
      </w:r>
      <w:r w:rsidR="000C5C39" w:rsidRPr="007F290D">
        <w:t xml:space="preserve"> </w:t>
      </w:r>
      <w:r>
        <w:t xml:space="preserve">The </w:t>
      </w:r>
      <w:r w:rsidR="005D3898">
        <w:t xml:space="preserve">owner-occupied </w:t>
      </w:r>
      <w:r>
        <w:t xml:space="preserve">housing services item in the Consumer Price Index continued to increase, to 7.6 percent over the past year. </w:t>
      </w:r>
    </w:p>
    <w:p w14:paraId="3E37F65E" w14:textId="291DD869" w:rsidR="00FE22B6" w:rsidRPr="007F290D" w:rsidRDefault="00FE22B6" w:rsidP="007F290D">
      <w:pPr>
        <w:pStyle w:val="ListParagraph"/>
        <w:numPr>
          <w:ilvl w:val="0"/>
          <w:numId w:val="8"/>
        </w:numPr>
        <w:bidi w:val="0"/>
        <w:spacing w:line="240" w:lineRule="auto"/>
      </w:pPr>
      <w:r w:rsidRPr="007F290D">
        <w:t xml:space="preserve">Since the previous monetary policy decision, the shekel </w:t>
      </w:r>
      <w:r w:rsidR="00D22CE3" w:rsidRPr="007F290D">
        <w:t>weakened</w:t>
      </w:r>
      <w:r w:rsidRPr="007F290D">
        <w:t xml:space="preserve"> by </w:t>
      </w:r>
      <w:r w:rsidR="00D22CE3" w:rsidRPr="007F290D">
        <w:t>1.</w:t>
      </w:r>
      <w:r w:rsidR="007F290D">
        <w:t>8</w:t>
      </w:r>
      <w:r w:rsidRPr="007F290D">
        <w:t xml:space="preserve"> percent against the US dollar,</w:t>
      </w:r>
      <w:r w:rsidR="00D22CE3" w:rsidRPr="007F290D">
        <w:t xml:space="preserve"> by </w:t>
      </w:r>
      <w:r w:rsidR="007F290D">
        <w:t>2.3</w:t>
      </w:r>
      <w:r w:rsidR="00D22CE3" w:rsidRPr="007F290D">
        <w:t xml:space="preserve"> percent against the euro,</w:t>
      </w:r>
      <w:r w:rsidRPr="007F290D">
        <w:t xml:space="preserve"> and by </w:t>
      </w:r>
      <w:r w:rsidR="000C5C39" w:rsidRPr="007F290D">
        <w:t>0.</w:t>
      </w:r>
      <w:r w:rsidR="007F290D">
        <w:t>2</w:t>
      </w:r>
      <w:r w:rsidRPr="007F290D">
        <w:t xml:space="preserve"> percent in terms of the nominal effective exchange rate.</w:t>
      </w:r>
    </w:p>
    <w:p w14:paraId="03F356E8" w14:textId="6B063D42" w:rsidR="00BA018E" w:rsidRPr="007F290D" w:rsidRDefault="000C5C39" w:rsidP="005D3898">
      <w:pPr>
        <w:pStyle w:val="ListParagraph"/>
        <w:numPr>
          <w:ilvl w:val="0"/>
          <w:numId w:val="8"/>
        </w:numPr>
        <w:bidi w:val="0"/>
        <w:spacing w:line="240" w:lineRule="auto"/>
      </w:pPr>
      <w:r w:rsidRPr="007F290D">
        <w:t xml:space="preserve">Globally, </w:t>
      </w:r>
      <w:r w:rsidR="00004259">
        <w:t xml:space="preserve">the pace of economic activity continues to moderate, and a number of factors continue to weigh on activity. </w:t>
      </w:r>
      <w:r w:rsidRPr="007F290D">
        <w:t xml:space="preserve">The </w:t>
      </w:r>
      <w:r w:rsidR="008D78E5" w:rsidRPr="007F290D">
        <w:t xml:space="preserve">inflation environment </w:t>
      </w:r>
      <w:r w:rsidR="00004259">
        <w:t>is moderating in many countries, but remains above the central bank targets, while core inflation is sticky. With that, monetary tightening around the world continues.</w:t>
      </w:r>
      <w:r w:rsidR="000B7A80" w:rsidRPr="007F290D">
        <w:t xml:space="preserve"> </w:t>
      </w:r>
    </w:p>
    <w:p w14:paraId="2959C532" w14:textId="77777777" w:rsidR="00BA018E" w:rsidRPr="007F290D" w:rsidRDefault="00BA018E" w:rsidP="00C2592B"/>
    <w:p w14:paraId="73F8BC61" w14:textId="66241C73" w:rsidR="002919ED" w:rsidRPr="00004259" w:rsidRDefault="000B7A80" w:rsidP="005D3898">
      <w:pPr>
        <w:jc w:val="both"/>
        <w:rPr>
          <w:b/>
          <w:bCs/>
        </w:rPr>
      </w:pPr>
      <w:r w:rsidRPr="00004259">
        <w:rPr>
          <w:b/>
          <w:bCs/>
        </w:rPr>
        <w:t xml:space="preserve">Economic activity in Israel is at a high level, and is accompanied by </w:t>
      </w:r>
      <w:r w:rsidR="005529B6" w:rsidRPr="00004259">
        <w:rPr>
          <w:b/>
          <w:bCs/>
        </w:rPr>
        <w:t>a tight labor market</w:t>
      </w:r>
      <w:r w:rsidRPr="00004259">
        <w:rPr>
          <w:b/>
          <w:bCs/>
        </w:rPr>
        <w:t xml:space="preserve">, although there is some moderation in a number of indicators. Inflation is broad and remains high. </w:t>
      </w:r>
      <w:r w:rsidR="00004259" w:rsidRPr="00004259">
        <w:rPr>
          <w:b/>
          <w:bCs/>
        </w:rPr>
        <w:t xml:space="preserve">With that, in recent months inflation appears to be slowing. </w:t>
      </w:r>
      <w:proofErr w:type="gramStart"/>
      <w:r w:rsidR="002919ED" w:rsidRPr="00004259">
        <w:rPr>
          <w:b/>
          <w:bCs/>
        </w:rPr>
        <w:t xml:space="preserve">Therefore, the Monetary Committee decided to </w:t>
      </w:r>
      <w:r w:rsidR="00004259" w:rsidRPr="00004259">
        <w:rPr>
          <w:b/>
          <w:bCs/>
        </w:rPr>
        <w:t>leave</w:t>
      </w:r>
      <w:r w:rsidR="002919ED" w:rsidRPr="00004259">
        <w:rPr>
          <w:b/>
          <w:bCs/>
        </w:rPr>
        <w:t xml:space="preserve"> the interest rate</w:t>
      </w:r>
      <w:r w:rsidR="00004259" w:rsidRPr="00004259">
        <w:rPr>
          <w:b/>
          <w:bCs/>
        </w:rPr>
        <w:t xml:space="preserve"> unchanged, but sees a real possibility of </w:t>
      </w:r>
      <w:r w:rsidR="005D3898">
        <w:rPr>
          <w:b/>
          <w:bCs/>
        </w:rPr>
        <w:t>having</w:t>
      </w:r>
      <w:r w:rsidR="00004259" w:rsidRPr="00004259">
        <w:rPr>
          <w:b/>
          <w:bCs/>
        </w:rPr>
        <w:t xml:space="preserve"> </w:t>
      </w:r>
      <w:r w:rsidR="00004259" w:rsidRPr="00004259">
        <w:rPr>
          <w:b/>
          <w:bCs/>
        </w:rPr>
        <w:lastRenderedPageBreak/>
        <w:t>to raise the interest rate in future decisions, if the inflation environment does not continue to moderate as expected</w:t>
      </w:r>
      <w:r w:rsidR="002919ED" w:rsidRPr="00004259">
        <w:rPr>
          <w:b/>
          <w:bCs/>
        </w:rPr>
        <w:t>.</w:t>
      </w:r>
      <w:proofErr w:type="gramEnd"/>
      <w:r w:rsidRPr="00004259">
        <w:rPr>
          <w:b/>
          <w:bCs/>
        </w:rPr>
        <w:t xml:space="preserve"> The interest rate path</w:t>
      </w:r>
      <w:r w:rsidR="002919ED" w:rsidRPr="00004259">
        <w:rPr>
          <w:b/>
          <w:bCs/>
        </w:rPr>
        <w:t xml:space="preserve"> will be determined in accordance with activity data and the development of inflation, in order to continue supporting the attainment of the policy goals.</w:t>
      </w:r>
    </w:p>
    <w:p w14:paraId="58249C36" w14:textId="0F89AB65" w:rsidR="000B7A80" w:rsidRPr="00004259" w:rsidRDefault="000B7A80" w:rsidP="00C2592B">
      <w:pPr>
        <w:jc w:val="both"/>
        <w:rPr>
          <w:b/>
          <w:bCs/>
        </w:rPr>
      </w:pPr>
    </w:p>
    <w:p w14:paraId="2ADBB1AC" w14:textId="77777777" w:rsidR="00514240" w:rsidRPr="00004259" w:rsidRDefault="00514240" w:rsidP="00C2592B">
      <w:pPr>
        <w:jc w:val="both"/>
        <w:rPr>
          <w:b/>
          <w:bCs/>
        </w:rPr>
      </w:pPr>
    </w:p>
    <w:p w14:paraId="493BE23C" w14:textId="77777777" w:rsidR="007B5771" w:rsidRPr="006F18D3" w:rsidRDefault="007B5771" w:rsidP="00C2592B">
      <w:pPr>
        <w:rPr>
          <w:b/>
          <w:bCs/>
        </w:rPr>
      </w:pPr>
      <w:r w:rsidRPr="00004259">
        <w:rPr>
          <w:b/>
          <w:bCs/>
        </w:rPr>
        <w:t>For the file of figures accompanying this notice, click here.</w:t>
      </w:r>
    </w:p>
    <w:p w14:paraId="1962EDF8" w14:textId="77777777" w:rsidR="002E392D" w:rsidRPr="006F18D3" w:rsidRDefault="002E392D" w:rsidP="00C2592B">
      <w:pPr>
        <w:jc w:val="both"/>
      </w:pPr>
    </w:p>
    <w:p w14:paraId="0F14221D" w14:textId="3B70F10A" w:rsidR="00C2592B" w:rsidRDefault="0044265F" w:rsidP="005D3898">
      <w:pPr>
        <w:jc w:val="both"/>
      </w:pPr>
      <w:r w:rsidRPr="006F18D3">
        <w:t>E</w:t>
      </w:r>
      <w:r w:rsidR="00D12BFC" w:rsidRPr="006F18D3">
        <w:t xml:space="preserve">conomic activity in Israel </w:t>
      </w:r>
      <w:r w:rsidR="00B0166C">
        <w:t>remains strong</w:t>
      </w:r>
      <w:r w:rsidRPr="006F18D3">
        <w:t>,</w:t>
      </w:r>
      <w:r w:rsidR="000B7A80">
        <w:t xml:space="preserve"> although there is some </w:t>
      </w:r>
      <w:r w:rsidR="00194663">
        <w:t xml:space="preserve">continued </w:t>
      </w:r>
      <w:r w:rsidR="000B7A80">
        <w:t>moderation in a number of indicators.</w:t>
      </w:r>
      <w:r w:rsidR="00C03B5E">
        <w:t xml:space="preserve"> </w:t>
      </w:r>
      <w:r w:rsidR="000B7A80">
        <w:t>T</w:t>
      </w:r>
      <w:r w:rsidR="00C03B5E">
        <w:t>he labor market remai</w:t>
      </w:r>
      <w:r w:rsidR="002E392D" w:rsidRPr="006F18D3">
        <w:t xml:space="preserve">ns tight and </w:t>
      </w:r>
      <w:r w:rsidR="00C1469C" w:rsidRPr="006F18D3">
        <w:t>in a</w:t>
      </w:r>
      <w:r w:rsidR="002E392D" w:rsidRPr="006F18D3">
        <w:t xml:space="preserve"> full employment </w:t>
      </w:r>
      <w:r w:rsidR="00C1469C" w:rsidRPr="006F18D3">
        <w:t>environment</w:t>
      </w:r>
      <w:r w:rsidR="002E392D" w:rsidRPr="006F18D3">
        <w:t xml:space="preserve">. </w:t>
      </w:r>
      <w:r w:rsidR="00FF3644" w:rsidRPr="006F18D3">
        <w:t>Inflation is</w:t>
      </w:r>
      <w:r w:rsidR="00194663">
        <w:t xml:space="preserve"> moderating, but remains</w:t>
      </w:r>
      <w:r w:rsidR="00FF3644" w:rsidRPr="006F18D3">
        <w:t xml:space="preserve"> above the target range</w:t>
      </w:r>
      <w:r w:rsidR="006A2746">
        <w:t xml:space="preserve">, and </w:t>
      </w:r>
      <w:r w:rsidR="00B0166C">
        <w:t xml:space="preserve">is high over </w:t>
      </w:r>
      <w:r w:rsidR="006A2746">
        <w:t>a wide range of CPI components</w:t>
      </w:r>
      <w:r w:rsidR="00FF3644" w:rsidRPr="006F18D3">
        <w:t>.</w:t>
      </w:r>
      <w:r w:rsidR="0041770E">
        <w:t xml:space="preserve"> </w:t>
      </w:r>
      <w:r w:rsidR="00C13566">
        <w:t xml:space="preserve">The </w:t>
      </w:r>
      <w:r w:rsidR="00194663">
        <w:t xml:space="preserve">continued </w:t>
      </w:r>
      <w:r w:rsidR="00C13566">
        <w:t>tight</w:t>
      </w:r>
      <w:r w:rsidR="008F265F">
        <w:t xml:space="preserve"> m</w:t>
      </w:r>
      <w:r w:rsidR="00B13CF3">
        <w:t xml:space="preserve">onetary policy and moderation </w:t>
      </w:r>
      <w:r w:rsidR="00661521">
        <w:t>of</w:t>
      </w:r>
      <w:r w:rsidR="00B13CF3">
        <w:t xml:space="preserve"> activity </w:t>
      </w:r>
      <w:r w:rsidR="00661521">
        <w:t xml:space="preserve">abroad </w:t>
      </w:r>
      <w:proofErr w:type="gramStart"/>
      <w:r w:rsidR="00B13CF3">
        <w:t>are expected</w:t>
      </w:r>
      <w:proofErr w:type="gramEnd"/>
      <w:r w:rsidR="00B13CF3">
        <w:t xml:space="preserve"> to lead to </w:t>
      </w:r>
      <w:r w:rsidR="004941E7">
        <w:t>a</w:t>
      </w:r>
      <w:r w:rsidR="00B13CF3">
        <w:t xml:space="preserve"> slow</w:t>
      </w:r>
      <w:r w:rsidR="004941E7">
        <w:t>ing</w:t>
      </w:r>
      <w:r w:rsidR="00B13CF3">
        <w:t xml:space="preserve"> in</w:t>
      </w:r>
      <w:r w:rsidR="004941E7">
        <w:t xml:space="preserve"> the pace of inflation alongside some slowdown</w:t>
      </w:r>
      <w:r w:rsidR="00B0166C">
        <w:t xml:space="preserve"> of</w:t>
      </w:r>
      <w:r w:rsidR="00B13CF3">
        <w:t xml:space="preserve"> economic activity in Israel</w:t>
      </w:r>
      <w:r w:rsidR="00FF3644" w:rsidRPr="006F18D3">
        <w:t>.</w:t>
      </w:r>
    </w:p>
    <w:p w14:paraId="034FF23A" w14:textId="37BAA9E2" w:rsidR="0044265F" w:rsidRPr="006F18D3" w:rsidRDefault="002E392D" w:rsidP="00C2592B">
      <w:pPr>
        <w:jc w:val="both"/>
      </w:pPr>
      <w:r w:rsidRPr="006F18D3">
        <w:t xml:space="preserve"> </w:t>
      </w:r>
    </w:p>
    <w:p w14:paraId="4DA0F1DA" w14:textId="7A9534AD" w:rsidR="00AD1B36" w:rsidRDefault="00822F9B" w:rsidP="00F93FDA">
      <w:pPr>
        <w:jc w:val="both"/>
      </w:pPr>
      <w:r w:rsidRPr="006F18D3">
        <w:t xml:space="preserve">Since the previous </w:t>
      </w:r>
      <w:r w:rsidR="000F5F46">
        <w:t>policy</w:t>
      </w:r>
      <w:r w:rsidRPr="006F18D3">
        <w:t xml:space="preserve"> decision, the CPI </w:t>
      </w:r>
      <w:r w:rsidR="00B13CF3">
        <w:t>increased</w:t>
      </w:r>
      <w:r w:rsidRPr="006F18D3">
        <w:t xml:space="preserve"> by 0.</w:t>
      </w:r>
      <w:r w:rsidR="00194663">
        <w:t>2</w:t>
      </w:r>
      <w:r w:rsidRPr="006F18D3">
        <w:t xml:space="preserve"> percent in</w:t>
      </w:r>
      <w:r w:rsidR="004941E7">
        <w:t xml:space="preserve"> Ma</w:t>
      </w:r>
      <w:r w:rsidR="00194663">
        <w:t>y</w:t>
      </w:r>
      <w:r w:rsidR="00B13CF3">
        <w:t>.</w:t>
      </w:r>
      <w:r w:rsidR="0041770E">
        <w:t xml:space="preserve"> </w:t>
      </w:r>
      <w:r w:rsidR="004941E7">
        <w:t xml:space="preserve">The </w:t>
      </w:r>
      <w:r w:rsidR="00194663">
        <w:t>May</w:t>
      </w:r>
      <w:r w:rsidR="004941E7">
        <w:t xml:space="preserve"> figure was </w:t>
      </w:r>
      <w:r w:rsidR="00194663">
        <w:t>lower</w:t>
      </w:r>
      <w:r w:rsidR="004941E7">
        <w:t xml:space="preserve"> than </w:t>
      </w:r>
      <w:r w:rsidR="00C736C1">
        <w:t>earl</w:t>
      </w:r>
      <w:r w:rsidR="00194663">
        <w:t>ier</w:t>
      </w:r>
      <w:r w:rsidR="004941E7">
        <w:t xml:space="preserve"> forecasts in the market</w:t>
      </w:r>
      <w:r w:rsidR="00194663">
        <w:t>.</w:t>
      </w:r>
      <w:r w:rsidR="004941E7">
        <w:t xml:space="preserve"> </w:t>
      </w:r>
      <w:r w:rsidR="00194663">
        <w:t>Inflation in the past 12 months declined, b</w:t>
      </w:r>
      <w:r w:rsidR="00004259">
        <w:t>u</w:t>
      </w:r>
      <w:r w:rsidR="00194663">
        <w:t>t remained above the upper bound of the target range, at 4.6 percent</w:t>
      </w:r>
      <w:r w:rsidR="006900D5">
        <w:t xml:space="preserve"> </w:t>
      </w:r>
      <w:r w:rsidRPr="006F18D3">
        <w:t>(</w:t>
      </w:r>
      <w:r w:rsidRPr="006F18D3">
        <w:rPr>
          <w:b/>
          <w:bCs/>
        </w:rPr>
        <w:t>Figure 1</w:t>
      </w:r>
      <w:r w:rsidRPr="006F18D3">
        <w:t>).</w:t>
      </w:r>
      <w:r w:rsidR="00441BDC">
        <w:t xml:space="preserve"> </w:t>
      </w:r>
      <w:r w:rsidR="00194663">
        <w:t>I</w:t>
      </w:r>
      <w:r w:rsidR="00C1469C" w:rsidRPr="00165FAB">
        <w:rPr>
          <w:rFonts w:cstheme="majorBidi"/>
        </w:rPr>
        <w:t xml:space="preserve">nflation in Israel </w:t>
      </w:r>
      <w:r w:rsidR="00FF3644" w:rsidRPr="00165FAB">
        <w:rPr>
          <w:rFonts w:cstheme="majorBidi"/>
        </w:rPr>
        <w:t>remains</w:t>
      </w:r>
      <w:r w:rsidR="00C1469C" w:rsidRPr="00165FAB">
        <w:rPr>
          <w:rFonts w:cstheme="majorBidi"/>
        </w:rPr>
        <w:t xml:space="preserve"> lower than in most of the </w:t>
      </w:r>
      <w:r w:rsidR="00BA018E" w:rsidRPr="00165FAB">
        <w:rPr>
          <w:rFonts w:cstheme="majorBidi"/>
        </w:rPr>
        <w:t>advanced economies</w:t>
      </w:r>
      <w:r w:rsidR="00194663">
        <w:rPr>
          <w:rFonts w:cstheme="majorBidi"/>
        </w:rPr>
        <w:t>, but the gap has narrowed in the past year.</w:t>
      </w:r>
      <w:r w:rsidR="00441BDC" w:rsidRPr="00165FAB">
        <w:rPr>
          <w:rFonts w:cstheme="majorBidi"/>
        </w:rPr>
        <w:t xml:space="preserve"> </w:t>
      </w:r>
      <w:r w:rsidR="001D1BFB" w:rsidRPr="00165FAB">
        <w:rPr>
          <w:rFonts w:cstheme="majorBidi"/>
        </w:rPr>
        <w:t>N</w:t>
      </w:r>
      <w:r w:rsidRPr="00165FAB">
        <w:rPr>
          <w:rFonts w:cstheme="majorBidi"/>
        </w:rPr>
        <w:t xml:space="preserve">et of </w:t>
      </w:r>
      <w:proofErr w:type="gramStart"/>
      <w:r w:rsidRPr="00165FAB">
        <w:rPr>
          <w:rFonts w:cstheme="majorBidi"/>
        </w:rPr>
        <w:t>energy and fruits</w:t>
      </w:r>
      <w:proofErr w:type="gramEnd"/>
      <w:r w:rsidRPr="00165FAB">
        <w:rPr>
          <w:rFonts w:cstheme="majorBidi"/>
        </w:rPr>
        <w:t xml:space="preserve"> and vegetables, inflation</w:t>
      </w:r>
      <w:r w:rsidR="00194663">
        <w:rPr>
          <w:rFonts w:cstheme="majorBidi"/>
        </w:rPr>
        <w:t xml:space="preserve"> in the past year</w:t>
      </w:r>
      <w:r w:rsidRPr="00165FAB">
        <w:rPr>
          <w:rFonts w:cstheme="majorBidi"/>
        </w:rPr>
        <w:t xml:space="preserve"> is </w:t>
      </w:r>
      <w:r w:rsidR="00194663">
        <w:rPr>
          <w:rFonts w:cstheme="majorBidi"/>
        </w:rPr>
        <w:t>4.9</w:t>
      </w:r>
      <w:r w:rsidRPr="00165FAB">
        <w:rPr>
          <w:rFonts w:cstheme="majorBidi"/>
        </w:rPr>
        <w:t xml:space="preserve"> percent,</w:t>
      </w:r>
      <w:r w:rsidR="006900D5" w:rsidRPr="00165FAB">
        <w:rPr>
          <w:rFonts w:cstheme="majorBidi"/>
        </w:rPr>
        <w:t xml:space="preserve"> </w:t>
      </w:r>
      <w:r w:rsidRPr="00165FAB">
        <w:rPr>
          <w:rFonts w:cstheme="majorBidi"/>
        </w:rPr>
        <w:t>and</w:t>
      </w:r>
      <w:r w:rsidR="006D18B5" w:rsidRPr="00165FAB">
        <w:rPr>
          <w:rFonts w:cstheme="majorBidi"/>
        </w:rPr>
        <w:t xml:space="preserve"> </w:t>
      </w:r>
      <w:r w:rsidR="004941E7" w:rsidRPr="00165FAB">
        <w:rPr>
          <w:rFonts w:cstheme="majorBidi"/>
        </w:rPr>
        <w:t>with the further neutralization of the effects of taxation and regulation inflation is</w:t>
      </w:r>
      <w:r w:rsidR="008F265F" w:rsidRPr="00165FAB">
        <w:rPr>
          <w:rFonts w:cstheme="majorBidi"/>
        </w:rPr>
        <w:t xml:space="preserve"> 5.</w:t>
      </w:r>
      <w:r w:rsidR="00194663">
        <w:rPr>
          <w:rFonts w:cstheme="majorBidi"/>
        </w:rPr>
        <w:t>1</w:t>
      </w:r>
      <w:r w:rsidR="008F265F" w:rsidRPr="00165FAB">
        <w:rPr>
          <w:rFonts w:cstheme="majorBidi"/>
        </w:rPr>
        <w:t xml:space="preserve"> percent </w:t>
      </w:r>
      <w:r w:rsidRPr="00165FAB">
        <w:rPr>
          <w:rFonts w:cstheme="majorBidi"/>
        </w:rPr>
        <w:t>(</w:t>
      </w:r>
      <w:r w:rsidRPr="00165FAB">
        <w:rPr>
          <w:rFonts w:cstheme="majorBidi"/>
          <w:b/>
          <w:bCs/>
        </w:rPr>
        <w:t xml:space="preserve">Figure </w:t>
      </w:r>
      <w:r w:rsidR="00F93FDA">
        <w:rPr>
          <w:rFonts w:cstheme="majorBidi"/>
          <w:b/>
          <w:bCs/>
        </w:rPr>
        <w:t>3</w:t>
      </w:r>
      <w:r w:rsidRPr="00165FAB">
        <w:rPr>
          <w:rFonts w:cstheme="majorBidi"/>
        </w:rPr>
        <w:t>).</w:t>
      </w:r>
      <w:r w:rsidR="00441BDC" w:rsidRPr="00165FAB">
        <w:rPr>
          <w:rFonts w:cstheme="majorBidi"/>
        </w:rPr>
        <w:t xml:space="preserve"> </w:t>
      </w:r>
      <w:r w:rsidR="00225374" w:rsidRPr="00165FAB">
        <w:rPr>
          <w:rFonts w:cstheme="majorBidi"/>
        </w:rPr>
        <w:t xml:space="preserve">The pace of </w:t>
      </w:r>
      <w:r w:rsidR="008F265F" w:rsidRPr="00165FAB">
        <w:rPr>
          <w:rFonts w:cstheme="majorBidi"/>
        </w:rPr>
        <w:t xml:space="preserve">annual </w:t>
      </w:r>
      <w:r w:rsidR="00225374" w:rsidRPr="00165FAB">
        <w:rPr>
          <w:rFonts w:cstheme="majorBidi"/>
        </w:rPr>
        <w:t>inflation of the nontradable components</w:t>
      </w:r>
      <w:r w:rsidR="00C736C1" w:rsidRPr="00165FAB">
        <w:rPr>
          <w:rFonts w:cstheme="majorBidi"/>
        </w:rPr>
        <w:t xml:space="preserve"> of the CPI</w:t>
      </w:r>
      <w:r w:rsidR="002919ED" w:rsidRPr="00165FAB">
        <w:rPr>
          <w:rFonts w:cstheme="majorBidi"/>
        </w:rPr>
        <w:t xml:space="preserve">, which mainly reflects the housing </w:t>
      </w:r>
      <w:r w:rsidR="004941E7" w:rsidRPr="00165FAB">
        <w:rPr>
          <w:rFonts w:cstheme="majorBidi"/>
        </w:rPr>
        <w:t xml:space="preserve">services </w:t>
      </w:r>
      <w:r w:rsidR="002919ED" w:rsidRPr="00165FAB">
        <w:rPr>
          <w:rFonts w:cstheme="majorBidi"/>
        </w:rPr>
        <w:t>component and services industries,</w:t>
      </w:r>
      <w:r w:rsidR="00225374" w:rsidRPr="00165FAB">
        <w:rPr>
          <w:rFonts w:cstheme="majorBidi"/>
        </w:rPr>
        <w:t xml:space="preserve"> </w:t>
      </w:r>
      <w:r w:rsidR="00194663">
        <w:rPr>
          <w:rFonts w:cstheme="majorBidi"/>
        </w:rPr>
        <w:t>remained high, at</w:t>
      </w:r>
      <w:r w:rsidR="00AD1B36" w:rsidRPr="00165FAB">
        <w:rPr>
          <w:rFonts w:cstheme="majorBidi"/>
        </w:rPr>
        <w:t xml:space="preserve"> 5.</w:t>
      </w:r>
      <w:r w:rsidR="00194663">
        <w:rPr>
          <w:rFonts w:cstheme="majorBidi"/>
        </w:rPr>
        <w:t>4</w:t>
      </w:r>
      <w:r w:rsidR="00B13CF3" w:rsidRPr="00165FAB">
        <w:rPr>
          <w:rFonts w:cstheme="majorBidi"/>
        </w:rPr>
        <w:t xml:space="preserve"> percent</w:t>
      </w:r>
      <w:r w:rsidR="00225374" w:rsidRPr="00165FAB">
        <w:rPr>
          <w:rFonts w:cstheme="majorBidi"/>
        </w:rPr>
        <w:t xml:space="preserve">. </w:t>
      </w:r>
      <w:r w:rsidR="00C736C1" w:rsidRPr="00165FAB">
        <w:rPr>
          <w:rFonts w:cstheme="majorBidi"/>
        </w:rPr>
        <w:t>T</w:t>
      </w:r>
      <w:r w:rsidR="000B288C" w:rsidRPr="00165FAB">
        <w:rPr>
          <w:rFonts w:cstheme="majorBidi"/>
        </w:rPr>
        <w:t xml:space="preserve">he annual pace of inflation </w:t>
      </w:r>
      <w:r w:rsidR="00FF3644" w:rsidRPr="00165FAB">
        <w:rPr>
          <w:rFonts w:cstheme="majorBidi"/>
        </w:rPr>
        <w:t>of</w:t>
      </w:r>
      <w:r w:rsidR="00E15CDB" w:rsidRPr="00165FAB">
        <w:rPr>
          <w:rFonts w:cstheme="majorBidi"/>
        </w:rPr>
        <w:t xml:space="preserve"> the tradable components</w:t>
      </w:r>
      <w:r w:rsidR="000F5F46" w:rsidRPr="00165FAB">
        <w:rPr>
          <w:rFonts w:cstheme="majorBidi"/>
        </w:rPr>
        <w:t xml:space="preserve"> </w:t>
      </w:r>
      <w:r w:rsidR="00194663">
        <w:rPr>
          <w:rFonts w:cstheme="majorBidi"/>
        </w:rPr>
        <w:t>declined, to</w:t>
      </w:r>
      <w:r w:rsidR="002919ED" w:rsidRPr="00165FAB">
        <w:rPr>
          <w:rFonts w:cstheme="majorBidi"/>
        </w:rPr>
        <w:t xml:space="preserve"> </w:t>
      </w:r>
      <w:r w:rsidR="00194663">
        <w:rPr>
          <w:rFonts w:cstheme="majorBidi"/>
        </w:rPr>
        <w:t>3.</w:t>
      </w:r>
      <w:r w:rsidR="002919ED" w:rsidRPr="00165FAB">
        <w:rPr>
          <w:rFonts w:cstheme="majorBidi"/>
        </w:rPr>
        <w:t>4 percent</w:t>
      </w:r>
      <w:r w:rsidR="00B13CF3" w:rsidRPr="00165FAB">
        <w:rPr>
          <w:rFonts w:cstheme="majorBidi"/>
        </w:rPr>
        <w:t xml:space="preserve"> </w:t>
      </w:r>
      <w:r w:rsidR="00225374" w:rsidRPr="00165FAB">
        <w:rPr>
          <w:rFonts w:cstheme="majorBidi"/>
        </w:rPr>
        <w:t>(</w:t>
      </w:r>
      <w:r w:rsidR="00225374" w:rsidRPr="00165FAB">
        <w:rPr>
          <w:rFonts w:cstheme="majorBidi"/>
          <w:b/>
          <w:bCs/>
        </w:rPr>
        <w:t xml:space="preserve">Figure </w:t>
      </w:r>
      <w:r w:rsidR="00F93FDA">
        <w:rPr>
          <w:rFonts w:cstheme="majorBidi"/>
          <w:b/>
          <w:bCs/>
        </w:rPr>
        <w:t>4</w:t>
      </w:r>
      <w:r w:rsidR="00225374" w:rsidRPr="00165FAB">
        <w:rPr>
          <w:rFonts w:cstheme="majorBidi"/>
        </w:rPr>
        <w:t>)</w:t>
      </w:r>
      <w:r w:rsidR="006900D5" w:rsidRPr="00165FAB">
        <w:rPr>
          <w:rFonts w:cstheme="majorBidi"/>
        </w:rPr>
        <w:t>.</w:t>
      </w:r>
      <w:r w:rsidR="0041770E" w:rsidRPr="00165FAB">
        <w:rPr>
          <w:rFonts w:cstheme="majorBidi"/>
        </w:rPr>
        <w:t xml:space="preserve"> </w:t>
      </w:r>
      <w:r w:rsidR="00C736C1" w:rsidRPr="00165FAB">
        <w:rPr>
          <w:rFonts w:cstheme="majorBidi"/>
        </w:rPr>
        <w:t>Over</w:t>
      </w:r>
      <w:r w:rsidR="004941E7" w:rsidRPr="00165FAB">
        <w:rPr>
          <w:rFonts w:cstheme="majorBidi"/>
        </w:rPr>
        <w:t xml:space="preserve"> the </w:t>
      </w:r>
      <w:r w:rsidR="00C736C1" w:rsidRPr="00165FAB">
        <w:rPr>
          <w:rFonts w:cstheme="majorBidi"/>
        </w:rPr>
        <w:t>p</w:t>
      </w:r>
      <w:r w:rsidR="004941E7" w:rsidRPr="00165FAB">
        <w:rPr>
          <w:rFonts w:cstheme="majorBidi"/>
        </w:rPr>
        <w:t xml:space="preserve">ast </w:t>
      </w:r>
      <w:r w:rsidR="00C736C1" w:rsidRPr="00165FAB">
        <w:rPr>
          <w:rFonts w:cstheme="majorBidi"/>
        </w:rPr>
        <w:t>6</w:t>
      </w:r>
      <w:r w:rsidR="004941E7" w:rsidRPr="00165FAB">
        <w:rPr>
          <w:rFonts w:cstheme="majorBidi"/>
        </w:rPr>
        <w:t xml:space="preserve"> months</w:t>
      </w:r>
      <w:r w:rsidR="00C736C1" w:rsidRPr="00165FAB">
        <w:rPr>
          <w:rFonts w:cstheme="majorBidi"/>
        </w:rPr>
        <w:t>, and even more so over the past 3 months</w:t>
      </w:r>
      <w:r w:rsidR="004941E7" w:rsidRPr="00165FAB">
        <w:rPr>
          <w:rFonts w:cstheme="majorBidi"/>
        </w:rPr>
        <w:t xml:space="preserve">, </w:t>
      </w:r>
      <w:r w:rsidR="00997E53" w:rsidRPr="00165FAB">
        <w:rPr>
          <w:rFonts w:cstheme="majorBidi"/>
        </w:rPr>
        <w:t>the pace of</w:t>
      </w:r>
      <w:r w:rsidR="004941E7" w:rsidRPr="00165FAB">
        <w:rPr>
          <w:rFonts w:cstheme="majorBidi"/>
        </w:rPr>
        <w:t xml:space="preserve"> inflation </w:t>
      </w:r>
      <w:r w:rsidR="00997E53" w:rsidRPr="00165FAB">
        <w:rPr>
          <w:rFonts w:cstheme="majorBidi"/>
        </w:rPr>
        <w:t>is</w:t>
      </w:r>
      <w:r w:rsidR="00194663">
        <w:rPr>
          <w:rFonts w:cstheme="majorBidi"/>
        </w:rPr>
        <w:t xml:space="preserve"> moderating, and is</w:t>
      </w:r>
      <w:r w:rsidR="00997E53" w:rsidRPr="00165FAB">
        <w:rPr>
          <w:rFonts w:cstheme="majorBidi"/>
        </w:rPr>
        <w:t xml:space="preserve"> lower than that of </w:t>
      </w:r>
      <w:r w:rsidR="004823D2">
        <w:rPr>
          <w:rFonts w:cstheme="majorBidi"/>
        </w:rPr>
        <w:t>year-on-year</w:t>
      </w:r>
      <w:r w:rsidR="00997E53" w:rsidRPr="00165FAB">
        <w:rPr>
          <w:rFonts w:cstheme="majorBidi"/>
        </w:rPr>
        <w:t xml:space="preserve"> inflation </w:t>
      </w:r>
      <w:r w:rsidR="004941E7" w:rsidRPr="00165FAB">
        <w:rPr>
          <w:rFonts w:cstheme="majorBidi"/>
        </w:rPr>
        <w:t xml:space="preserve">in the prices of </w:t>
      </w:r>
      <w:r w:rsidR="00997E53" w:rsidRPr="00165FAB">
        <w:rPr>
          <w:rFonts w:cstheme="majorBidi"/>
        </w:rPr>
        <w:t xml:space="preserve">both </w:t>
      </w:r>
      <w:r w:rsidR="004941E7" w:rsidRPr="00165FAB">
        <w:rPr>
          <w:rFonts w:cstheme="majorBidi"/>
        </w:rPr>
        <w:t>tradable</w:t>
      </w:r>
      <w:r w:rsidR="00997E53" w:rsidRPr="00165FAB">
        <w:rPr>
          <w:rFonts w:cstheme="majorBidi"/>
        </w:rPr>
        <w:t xml:space="preserve"> </w:t>
      </w:r>
      <w:r w:rsidR="00004259">
        <w:rPr>
          <w:rFonts w:cstheme="majorBidi"/>
        </w:rPr>
        <w:t xml:space="preserve">goods </w:t>
      </w:r>
      <w:r w:rsidR="004941E7" w:rsidRPr="00165FAB">
        <w:rPr>
          <w:rFonts w:cstheme="majorBidi"/>
        </w:rPr>
        <w:t xml:space="preserve">and </w:t>
      </w:r>
      <w:proofErr w:type="spellStart"/>
      <w:r w:rsidR="004941E7" w:rsidRPr="00165FAB">
        <w:rPr>
          <w:rFonts w:cstheme="majorBidi"/>
        </w:rPr>
        <w:t>nontradables</w:t>
      </w:r>
      <w:proofErr w:type="spellEnd"/>
      <w:r w:rsidR="00C736C1" w:rsidRPr="00165FAB">
        <w:rPr>
          <w:rFonts w:cstheme="majorBidi"/>
        </w:rPr>
        <w:t xml:space="preserve"> (in annual terms, seasonally adjusted)</w:t>
      </w:r>
      <w:r w:rsidR="004941E7" w:rsidRPr="00165FAB">
        <w:rPr>
          <w:rFonts w:cstheme="majorBidi"/>
        </w:rPr>
        <w:t xml:space="preserve"> (</w:t>
      </w:r>
      <w:r w:rsidR="004941E7" w:rsidRPr="00165FAB">
        <w:rPr>
          <w:rFonts w:cstheme="majorBidi"/>
          <w:b/>
          <w:bCs/>
        </w:rPr>
        <w:t xml:space="preserve">Figure </w:t>
      </w:r>
      <w:r w:rsidR="00F93FDA">
        <w:rPr>
          <w:rFonts w:cstheme="majorBidi"/>
          <w:b/>
          <w:bCs/>
        </w:rPr>
        <w:t>2</w:t>
      </w:r>
      <w:r w:rsidR="004941E7" w:rsidRPr="00165FAB">
        <w:rPr>
          <w:rFonts w:cstheme="majorBidi"/>
        </w:rPr>
        <w:t>).</w:t>
      </w:r>
      <w:r w:rsidR="004941E7">
        <w:t xml:space="preserve"> </w:t>
      </w:r>
      <w:r w:rsidR="00004259">
        <w:t>Data</w:t>
      </w:r>
      <w:r w:rsidR="004823D2">
        <w:t xml:space="preserve"> to </w:t>
      </w:r>
      <w:proofErr w:type="gramStart"/>
      <w:r w:rsidR="004823D2">
        <w:t>be</w:t>
      </w:r>
      <w:r w:rsidR="00004259">
        <w:t xml:space="preserve"> published</w:t>
      </w:r>
      <w:proofErr w:type="gramEnd"/>
      <w:r w:rsidR="00004259">
        <w:t xml:space="preserve"> in the coming months will significantly contribute to clarifying the picture regarding the dynamics of the inflation. </w:t>
      </w:r>
      <w:r w:rsidR="002919ED" w:rsidRPr="004941E7">
        <w:t>One</w:t>
      </w:r>
      <w:r w:rsidR="002919ED">
        <w:t xml:space="preserve">-year inflation expectations and forecasts </w:t>
      </w:r>
      <w:r w:rsidR="004941E7">
        <w:t xml:space="preserve">are </w:t>
      </w:r>
      <w:r w:rsidR="00194663">
        <w:t xml:space="preserve">within </w:t>
      </w:r>
      <w:r w:rsidR="002919ED">
        <w:t>the target range</w:t>
      </w:r>
      <w:r w:rsidR="00194663">
        <w:t>, around the upper bound</w:t>
      </w:r>
      <w:r w:rsidR="002919ED">
        <w:t xml:space="preserve"> (</w:t>
      </w:r>
      <w:r w:rsidR="002919ED">
        <w:rPr>
          <w:b/>
          <w:bCs/>
        </w:rPr>
        <w:t>Figure 6</w:t>
      </w:r>
      <w:r w:rsidR="002919ED">
        <w:t>).</w:t>
      </w:r>
      <w:r w:rsidR="0041770E">
        <w:t xml:space="preserve"> </w:t>
      </w:r>
      <w:r w:rsidR="00BF4973">
        <w:t>Expectations derived from the capital market for the second year and onward are within the target range (</w:t>
      </w:r>
      <w:r w:rsidR="00BF4973">
        <w:rPr>
          <w:b/>
          <w:bCs/>
        </w:rPr>
        <w:t>Figure 7</w:t>
      </w:r>
      <w:r w:rsidR="00BF4973">
        <w:t>).</w:t>
      </w:r>
      <w:r w:rsidR="0041770E">
        <w:t xml:space="preserve"> </w:t>
      </w:r>
      <w:r w:rsidR="00BF4973">
        <w:t>The Monetary Committee’s assessment is that the monetary tightening processes in Israel and abroad, and the moderation of demand, are working to moderate inflation.</w:t>
      </w:r>
    </w:p>
    <w:p w14:paraId="0BC6BD8E" w14:textId="77777777" w:rsidR="00C2592B" w:rsidRDefault="00C2592B" w:rsidP="00C2592B">
      <w:pPr>
        <w:jc w:val="both"/>
      </w:pPr>
    </w:p>
    <w:p w14:paraId="328130AE" w14:textId="48EB3470" w:rsidR="004F3A38" w:rsidRDefault="00C17F5D" w:rsidP="00F93FDA">
      <w:pPr>
        <w:jc w:val="both"/>
      </w:pPr>
      <w:r w:rsidRPr="0013000B">
        <w:t xml:space="preserve">Economic activity </w:t>
      </w:r>
      <w:r w:rsidR="0013000B" w:rsidRPr="0013000B">
        <w:t>remains</w:t>
      </w:r>
      <w:r w:rsidR="0013000B">
        <w:t xml:space="preserve"> strong</w:t>
      </w:r>
      <w:r w:rsidR="00194663">
        <w:t xml:space="preserve">, but </w:t>
      </w:r>
      <w:r w:rsidR="00004259">
        <w:t>a number of</w:t>
      </w:r>
      <w:r w:rsidR="00194663">
        <w:t xml:space="preserve"> indicators point to some </w:t>
      </w:r>
      <w:proofErr w:type="spellStart"/>
      <w:r w:rsidR="004823D2">
        <w:t>slowingf</w:t>
      </w:r>
      <w:proofErr w:type="spellEnd"/>
      <w:r w:rsidR="00194663">
        <w:t xml:space="preserve"> in activity</w:t>
      </w:r>
      <w:r w:rsidR="00D537A8" w:rsidRPr="005901DA">
        <w:t>.</w:t>
      </w:r>
      <w:r w:rsidR="0041770E">
        <w:t xml:space="preserve"> </w:t>
      </w:r>
      <w:r w:rsidR="00194663">
        <w:t xml:space="preserve">  The aggregate balance of the Central Bureau of Statistics Business Tendency Survey for June increased, and continues to indicate businesses’ positive assessments of their situation (</w:t>
      </w:r>
      <w:r w:rsidR="00194663">
        <w:rPr>
          <w:b/>
          <w:bCs/>
        </w:rPr>
        <w:t xml:space="preserve">Figure </w:t>
      </w:r>
      <w:r w:rsidR="00F93FDA">
        <w:rPr>
          <w:b/>
          <w:bCs/>
        </w:rPr>
        <w:t>19</w:t>
      </w:r>
      <w:r w:rsidR="00194663">
        <w:t xml:space="preserve">). In contrast, private consumption is below the </w:t>
      </w:r>
      <w:proofErr w:type="spellStart"/>
      <w:r w:rsidR="00194663">
        <w:t>precrisis</w:t>
      </w:r>
      <w:proofErr w:type="spellEnd"/>
      <w:r w:rsidR="00194663">
        <w:t xml:space="preserve"> trend, and credit card purchase data in real terms </w:t>
      </w:r>
      <w:proofErr w:type="gramStart"/>
      <w:r w:rsidR="00004259">
        <w:t>are also</w:t>
      </w:r>
      <w:proofErr w:type="gramEnd"/>
      <w:r w:rsidR="00004259">
        <w:t xml:space="preserve"> below the trend</w:t>
      </w:r>
      <w:r w:rsidR="00194663">
        <w:rPr>
          <w:color w:val="FF0000"/>
        </w:rPr>
        <w:t xml:space="preserve"> </w:t>
      </w:r>
      <w:r w:rsidR="0013000B">
        <w:t>(</w:t>
      </w:r>
      <w:r w:rsidR="0013000B">
        <w:rPr>
          <w:b/>
          <w:bCs/>
        </w:rPr>
        <w:t xml:space="preserve">Figure </w:t>
      </w:r>
      <w:r w:rsidR="00165FAB">
        <w:rPr>
          <w:b/>
          <w:bCs/>
        </w:rPr>
        <w:t>2</w:t>
      </w:r>
      <w:r w:rsidR="00F93FDA">
        <w:rPr>
          <w:b/>
          <w:bCs/>
        </w:rPr>
        <w:t>0</w:t>
      </w:r>
      <w:r w:rsidR="0013000B">
        <w:t>).</w:t>
      </w:r>
      <w:r w:rsidR="0041770E">
        <w:t xml:space="preserve"> </w:t>
      </w:r>
      <w:r w:rsidR="004F3A38">
        <w:t xml:space="preserve">Services exports </w:t>
      </w:r>
      <w:r w:rsidR="00B012AC">
        <w:t>remain</w:t>
      </w:r>
      <w:r w:rsidR="004F3A38">
        <w:t xml:space="preserve"> high, and goods exports (</w:t>
      </w:r>
      <w:r w:rsidR="00997E53">
        <w:t xml:space="preserve">in current dollar terms, </w:t>
      </w:r>
      <w:r w:rsidR="004F3A38">
        <w:t>excluding ships, aircraft, and diamonds) increase</w:t>
      </w:r>
      <w:r w:rsidR="0044617E">
        <w:t>d</w:t>
      </w:r>
      <w:r w:rsidR="004F3A38">
        <w:t xml:space="preserve"> </w:t>
      </w:r>
      <w:r w:rsidR="00B012AC">
        <w:t>in May</w:t>
      </w:r>
      <w:r w:rsidR="004F3A38">
        <w:t xml:space="preserve">, but remain lower than </w:t>
      </w:r>
      <w:r w:rsidR="00B0166C">
        <w:t xml:space="preserve">the 2022 </w:t>
      </w:r>
      <w:r w:rsidR="004F3A38">
        <w:t xml:space="preserve">monthly average </w:t>
      </w:r>
      <w:r w:rsidR="008F265F">
        <w:t>(</w:t>
      </w:r>
      <w:r w:rsidR="008F265F">
        <w:rPr>
          <w:b/>
          <w:bCs/>
        </w:rPr>
        <w:t xml:space="preserve">Figure </w:t>
      </w:r>
      <w:r w:rsidR="004937CC">
        <w:rPr>
          <w:b/>
          <w:bCs/>
        </w:rPr>
        <w:t>2</w:t>
      </w:r>
      <w:r w:rsidR="00F93FDA">
        <w:rPr>
          <w:b/>
          <w:bCs/>
        </w:rPr>
        <w:t>1</w:t>
      </w:r>
      <w:r w:rsidR="008F265F">
        <w:t>)</w:t>
      </w:r>
      <w:r w:rsidR="00074B82">
        <w:t xml:space="preserve">. </w:t>
      </w:r>
      <w:r w:rsidR="004F3A38">
        <w:t xml:space="preserve">Goods imports </w:t>
      </w:r>
      <w:r w:rsidR="00B012AC">
        <w:t>remained virtually unchanged</w:t>
      </w:r>
      <w:r w:rsidR="004F3A38">
        <w:t xml:space="preserve"> in </w:t>
      </w:r>
      <w:r w:rsidR="00B012AC">
        <w:t>May</w:t>
      </w:r>
      <w:r w:rsidR="004F3A38">
        <w:t>,</w:t>
      </w:r>
      <w:r w:rsidR="00B012AC">
        <w:t xml:space="preserve"> and remain high in all components</w:t>
      </w:r>
      <w:r w:rsidR="004F3A38">
        <w:t xml:space="preserve"> (</w:t>
      </w:r>
      <w:r w:rsidR="004F3A38">
        <w:rPr>
          <w:b/>
          <w:bCs/>
        </w:rPr>
        <w:t>Figure 2</w:t>
      </w:r>
      <w:r w:rsidR="00F93FDA">
        <w:rPr>
          <w:b/>
          <w:bCs/>
        </w:rPr>
        <w:t>2</w:t>
      </w:r>
      <w:r w:rsidR="004F3A38">
        <w:t>).</w:t>
      </w:r>
      <w:r w:rsidR="0041770E">
        <w:t xml:space="preserve"> </w:t>
      </w:r>
      <w:r w:rsidR="00B012AC">
        <w:t xml:space="preserve">In recent months, there has been a noticeable downward trend in the rate of manufacturing companies reporting an </w:t>
      </w:r>
      <w:proofErr w:type="gramStart"/>
      <w:r w:rsidR="00B012AC">
        <w:t>export profit erosion constraint</w:t>
      </w:r>
      <w:proofErr w:type="gramEnd"/>
      <w:r w:rsidR="00B012AC">
        <w:t xml:space="preserve"> in the Business Tendency Survey. </w:t>
      </w:r>
      <w:r w:rsidR="004F3A38">
        <w:t xml:space="preserve">Tax revenue </w:t>
      </w:r>
      <w:r w:rsidR="00D47F18">
        <w:t>in the first half of the year was slightly lower than the budget estimates in previous Research Department assessments, and declined by</w:t>
      </w:r>
      <w:r w:rsidR="00B012AC">
        <w:t xml:space="preserve"> 9.</w:t>
      </w:r>
      <w:r w:rsidR="00D47F18">
        <w:t>4</w:t>
      </w:r>
      <w:r w:rsidR="00B012AC">
        <w:t xml:space="preserve"> percent</w:t>
      </w:r>
      <w:r w:rsidR="00D47F18">
        <w:t xml:space="preserve"> in real terms relative to the first half of</w:t>
      </w:r>
      <w:r w:rsidR="00B012AC">
        <w:t xml:space="preserve"> 2022.</w:t>
      </w:r>
    </w:p>
    <w:p w14:paraId="326B07B2" w14:textId="2135648C" w:rsidR="00633738" w:rsidRDefault="004F3A38" w:rsidP="004F3A38">
      <w:pPr>
        <w:jc w:val="both"/>
      </w:pPr>
      <w:r>
        <w:t xml:space="preserve"> </w:t>
      </w:r>
    </w:p>
    <w:p w14:paraId="27F84608" w14:textId="798DFBD9" w:rsidR="00822A08" w:rsidRDefault="00822A08" w:rsidP="00F93FDA">
      <w:pPr>
        <w:jc w:val="both"/>
      </w:pPr>
      <w:r w:rsidRPr="00F903CC">
        <w:t xml:space="preserve">The labor market </w:t>
      </w:r>
      <w:r w:rsidR="00D86D7C" w:rsidRPr="00F903CC">
        <w:t>re</w:t>
      </w:r>
      <w:r w:rsidR="00D86D7C">
        <w:t>mains</w:t>
      </w:r>
      <w:r w:rsidRPr="006F18D3">
        <w:t xml:space="preserve"> tight</w:t>
      </w:r>
      <w:r w:rsidR="00F903CC">
        <w:t xml:space="preserve"> and in a full employment environment</w:t>
      </w:r>
      <w:r w:rsidR="00B012AC">
        <w:t>.</w:t>
      </w:r>
      <w:r w:rsidR="00303B1E">
        <w:t xml:space="preserve"> T</w:t>
      </w:r>
      <w:r w:rsidR="00303B1E" w:rsidRPr="006F18D3">
        <w:t>he employment rate</w:t>
      </w:r>
      <w:r w:rsidR="00303B1E">
        <w:t xml:space="preserve"> among those aged 15 and over</w:t>
      </w:r>
      <w:r w:rsidR="00303B1E" w:rsidRPr="006F18D3">
        <w:t xml:space="preserve"> (6</w:t>
      </w:r>
      <w:r w:rsidR="00074B82">
        <w:t>1</w:t>
      </w:r>
      <w:r w:rsidR="00303B1E">
        <w:t>.</w:t>
      </w:r>
      <w:r w:rsidR="00B012AC">
        <w:t>8</w:t>
      </w:r>
      <w:r w:rsidR="00303B1E" w:rsidRPr="006F18D3">
        <w:t xml:space="preserve"> percent</w:t>
      </w:r>
      <w:r w:rsidR="00F903CC">
        <w:t>, seasonally adjusted</w:t>
      </w:r>
      <w:r w:rsidR="00303B1E" w:rsidRPr="006F18D3">
        <w:t xml:space="preserve">) </w:t>
      </w:r>
      <w:r w:rsidR="00F903CC">
        <w:t xml:space="preserve">remained unchanged in </w:t>
      </w:r>
      <w:r w:rsidR="00B012AC">
        <w:t>May</w:t>
      </w:r>
      <w:r w:rsidR="00303B1E">
        <w:t>,</w:t>
      </w:r>
      <w:r w:rsidR="00F903CC">
        <w:t xml:space="preserve"> and together with the employment rate </w:t>
      </w:r>
      <w:r w:rsidR="00303B1E" w:rsidRPr="006F18D3">
        <w:t>among the prime working ages (25–64</w:t>
      </w:r>
      <w:r w:rsidR="00F903CC">
        <w:t>, 79</w:t>
      </w:r>
      <w:r w:rsidR="00B012AC">
        <w:t>.2</w:t>
      </w:r>
      <w:r w:rsidR="00F903CC">
        <w:t xml:space="preserve"> percent, seasonally adjusted),</w:t>
      </w:r>
      <w:r w:rsidR="00303B1E" w:rsidRPr="006F18D3">
        <w:t xml:space="preserve"> </w:t>
      </w:r>
      <w:r w:rsidR="00074B82">
        <w:t xml:space="preserve">is </w:t>
      </w:r>
      <w:r w:rsidR="00303B1E">
        <w:t>high</w:t>
      </w:r>
      <w:r w:rsidR="00074B82">
        <w:t>er than before the crisis</w:t>
      </w:r>
      <w:r w:rsidR="00303B1E">
        <w:t xml:space="preserve"> (</w:t>
      </w:r>
      <w:r w:rsidR="00303B1E" w:rsidRPr="006F18D3">
        <w:rPr>
          <w:b/>
          <w:bCs/>
        </w:rPr>
        <w:t xml:space="preserve">Figure </w:t>
      </w:r>
      <w:r w:rsidR="00303B1E" w:rsidRPr="00E20E0F">
        <w:rPr>
          <w:b/>
          <w:bCs/>
        </w:rPr>
        <w:t>2</w:t>
      </w:r>
      <w:r w:rsidR="00F93FDA">
        <w:rPr>
          <w:b/>
          <w:bCs/>
        </w:rPr>
        <w:t>3</w:t>
      </w:r>
      <w:r w:rsidR="00303B1E" w:rsidRPr="006F18D3">
        <w:t>).</w:t>
      </w:r>
      <w:r w:rsidR="0041770E">
        <w:t xml:space="preserve"> </w:t>
      </w:r>
      <w:r w:rsidR="003B66C0" w:rsidRPr="006F18D3">
        <w:t>T</w:t>
      </w:r>
      <w:r w:rsidR="00514240" w:rsidRPr="006F18D3">
        <w:t xml:space="preserve">he unemployment rate </w:t>
      </w:r>
      <w:r w:rsidR="003B66C0" w:rsidRPr="006F18D3">
        <w:t xml:space="preserve">for those </w:t>
      </w:r>
      <w:r w:rsidR="003B66C0" w:rsidRPr="006F18D3">
        <w:lastRenderedPageBreak/>
        <w:t xml:space="preserve">aged 15+ </w:t>
      </w:r>
      <w:r w:rsidR="00303B1E">
        <w:t>(3.</w:t>
      </w:r>
      <w:r w:rsidR="00F903CC">
        <w:t>6</w:t>
      </w:r>
      <w:r w:rsidR="00303B1E">
        <w:t xml:space="preserve"> percent</w:t>
      </w:r>
      <w:r w:rsidR="00F903CC">
        <w:t>, seasonally adjusted</w:t>
      </w:r>
      <w:r w:rsidR="00303B1E">
        <w:t xml:space="preserve">) </w:t>
      </w:r>
      <w:r w:rsidR="00B012AC">
        <w:t>remained unchanged</w:t>
      </w:r>
      <w:r w:rsidR="00074B82">
        <w:t xml:space="preserve"> relative to the previous month</w:t>
      </w:r>
      <w:r w:rsidR="0082043A">
        <w:t xml:space="preserve">, while the unemployment rate among the prime working ages </w:t>
      </w:r>
      <w:r w:rsidR="00B012AC">
        <w:t>increas</w:t>
      </w:r>
      <w:r w:rsidR="00F903CC">
        <w:t>ed to</w:t>
      </w:r>
      <w:r w:rsidR="0082043A">
        <w:t xml:space="preserve"> 3.</w:t>
      </w:r>
      <w:r w:rsidR="00B012AC">
        <w:t>3</w:t>
      </w:r>
      <w:r w:rsidR="0082043A">
        <w:t xml:space="preserve"> percent</w:t>
      </w:r>
      <w:r w:rsidR="00F903CC">
        <w:t xml:space="preserve"> (seasonally adjusted) in </w:t>
      </w:r>
      <w:r w:rsidR="00B012AC">
        <w:t>May</w:t>
      </w:r>
      <w:r w:rsidR="00D47F18">
        <w:t>, but remains low</w:t>
      </w:r>
      <w:r w:rsidR="00E20E0F">
        <w:t xml:space="preserve"> </w:t>
      </w:r>
      <w:r w:rsidR="00E20E0F" w:rsidRPr="004937CC">
        <w:t>(</w:t>
      </w:r>
      <w:r w:rsidR="00E20E0F" w:rsidRPr="004937CC">
        <w:rPr>
          <w:b/>
          <w:bCs/>
        </w:rPr>
        <w:t>Figure 2</w:t>
      </w:r>
      <w:r w:rsidR="00F93FDA">
        <w:rPr>
          <w:b/>
          <w:bCs/>
        </w:rPr>
        <w:t>4</w:t>
      </w:r>
      <w:r w:rsidR="00E20E0F" w:rsidRPr="004937CC">
        <w:t>)</w:t>
      </w:r>
      <w:r w:rsidR="003E248A" w:rsidRPr="004937CC">
        <w:t>.</w:t>
      </w:r>
      <w:r w:rsidR="003B66C0" w:rsidRPr="006F18D3">
        <w:t xml:space="preserve"> </w:t>
      </w:r>
      <w:r w:rsidR="00B012AC">
        <w:t>Alongside this, the downward trend in the job vacancy rate continues</w:t>
      </w:r>
      <w:r w:rsidR="00F93FDA">
        <w:t xml:space="preserve"> (</w:t>
      </w:r>
      <w:r w:rsidR="00F93FDA">
        <w:rPr>
          <w:b/>
          <w:bCs/>
        </w:rPr>
        <w:t>Figure 26</w:t>
      </w:r>
      <w:r w:rsidR="00F93FDA">
        <w:t>)</w:t>
      </w:r>
      <w:r w:rsidR="00B012AC">
        <w:t xml:space="preserve">. </w:t>
      </w:r>
      <w:r w:rsidR="00F903CC">
        <w:t xml:space="preserve">In the high-tech services industry, </w:t>
      </w:r>
      <w:r w:rsidR="00D47F18">
        <w:t xml:space="preserve">the job vacancy rate is </w:t>
      </w:r>
      <w:r w:rsidR="00F903CC">
        <w:t xml:space="preserve">lower than the </w:t>
      </w:r>
      <w:proofErr w:type="spellStart"/>
      <w:r w:rsidR="00F903CC">
        <w:t>precrisis</w:t>
      </w:r>
      <w:proofErr w:type="spellEnd"/>
      <w:r w:rsidR="00F903CC">
        <w:t xml:space="preserve"> data, </w:t>
      </w:r>
      <w:r w:rsidR="004823D2">
        <w:t xml:space="preserve">although </w:t>
      </w:r>
      <w:r w:rsidR="00D47F18">
        <w:t>t</w:t>
      </w:r>
      <w:r w:rsidR="002C7D1A">
        <w:t xml:space="preserve">he number of </w:t>
      </w:r>
      <w:r w:rsidR="00D47F18">
        <w:t>people employed</w:t>
      </w:r>
      <w:r w:rsidR="002C7D1A">
        <w:t xml:space="preserve"> in the industry </w:t>
      </w:r>
      <w:r w:rsidR="004823D2">
        <w:t xml:space="preserve">has remained stable </w:t>
      </w:r>
      <w:r w:rsidR="00074B82">
        <w:t>(</w:t>
      </w:r>
      <w:r w:rsidR="00E20E0F">
        <w:rPr>
          <w:b/>
          <w:bCs/>
        </w:rPr>
        <w:t xml:space="preserve">Figure </w:t>
      </w:r>
      <w:r w:rsidR="004937CC">
        <w:rPr>
          <w:b/>
          <w:bCs/>
        </w:rPr>
        <w:t>2</w:t>
      </w:r>
      <w:r w:rsidR="00F93FDA">
        <w:rPr>
          <w:b/>
          <w:bCs/>
        </w:rPr>
        <w:t>7</w:t>
      </w:r>
      <w:r w:rsidR="00E20E0F">
        <w:t>)</w:t>
      </w:r>
      <w:r w:rsidR="003B66C0" w:rsidRPr="006F18D3">
        <w:t>.</w:t>
      </w:r>
      <w:r w:rsidR="002C7D1A">
        <w:t xml:space="preserve">  The average wage per employee post declined slightly in April relative to March, but was significantly higher than in February.  In view of these figures, the real wage level increased, and was around the long-term trend in April.  </w:t>
      </w:r>
      <w:r w:rsidR="00F903CC">
        <w:t>According to</w:t>
      </w:r>
      <w:r w:rsidR="00D86D7C">
        <w:t xml:space="preserve"> the Central Bureau of Statistics Business Tendency Survey, </w:t>
      </w:r>
      <w:r w:rsidR="00C2592B">
        <w:t xml:space="preserve">the decline in the employee shortage constraint reported by companies </w:t>
      </w:r>
      <w:r w:rsidR="00F903CC">
        <w:t xml:space="preserve">continued in </w:t>
      </w:r>
      <w:r w:rsidR="002C7D1A">
        <w:t>June</w:t>
      </w:r>
      <w:r w:rsidR="00C2592B">
        <w:t xml:space="preserve"> compared with </w:t>
      </w:r>
      <w:r w:rsidR="00B0166C">
        <w:t xml:space="preserve">the </w:t>
      </w:r>
      <w:r w:rsidR="0082043A">
        <w:t xml:space="preserve">same </w:t>
      </w:r>
      <w:r w:rsidR="00C2592B">
        <w:t>month</w:t>
      </w:r>
      <w:r w:rsidR="004937CC">
        <w:t xml:space="preserve"> last year</w:t>
      </w:r>
      <w:r w:rsidR="00C2592B">
        <w:t>.</w:t>
      </w:r>
      <w:r w:rsidR="0041770E">
        <w:t xml:space="preserve"> </w:t>
      </w:r>
    </w:p>
    <w:p w14:paraId="3A4C1D25" w14:textId="77777777" w:rsidR="002C7D1A" w:rsidRDefault="002C7D1A" w:rsidP="002C7D1A">
      <w:pPr>
        <w:jc w:val="both"/>
      </w:pPr>
    </w:p>
    <w:p w14:paraId="492C619C" w14:textId="432A3A16" w:rsidR="00E5457F" w:rsidRPr="007F290D" w:rsidRDefault="002C7D1A" w:rsidP="00F93FDA">
      <w:pPr>
        <w:jc w:val="both"/>
      </w:pPr>
      <w:r>
        <w:t>The Bank of Israel Research Department revised its macroeconomic forecast.</w:t>
      </w:r>
      <w:r>
        <w:rPr>
          <w:rStyle w:val="FootnoteReference"/>
        </w:rPr>
        <w:footnoteReference w:id="1"/>
      </w:r>
      <w:r>
        <w:t xml:space="preserve">  Its assessment</w:t>
      </w:r>
      <w:r w:rsidR="00D47F18">
        <w:t xml:space="preserve"> is that GDP will grow by 3.0 percent in each of 2023 and 2024,</w:t>
      </w:r>
      <w:r>
        <w:t xml:space="preserve"> under a scenario in which legislative </w:t>
      </w:r>
      <w:r w:rsidR="004823D2">
        <w:t>changes</w:t>
      </w:r>
      <w:r w:rsidR="00D47F18">
        <w:t xml:space="preserve"> regarding the judicial system are resolved in a way that they</w:t>
      </w:r>
      <w:r>
        <w:t xml:space="preserve"> do not </w:t>
      </w:r>
      <w:r w:rsidR="00D47F18">
        <w:t>have an adverse impact on</w:t>
      </w:r>
      <w:r>
        <w:t xml:space="preserve"> econom</w:t>
      </w:r>
      <w:r w:rsidR="00D47F18">
        <w:t>ic activity</w:t>
      </w:r>
      <w:r>
        <w:t xml:space="preserve"> moving forward (</w:t>
      </w:r>
      <w:r w:rsidRPr="00E5457F">
        <w:rPr>
          <w:b/>
          <w:bCs/>
        </w:rPr>
        <w:t>Figure 1</w:t>
      </w:r>
      <w:r w:rsidR="00F93FDA">
        <w:rPr>
          <w:b/>
          <w:bCs/>
        </w:rPr>
        <w:t>8</w:t>
      </w:r>
      <w:r>
        <w:t xml:space="preserve">).  This </w:t>
      </w:r>
      <w:r w:rsidR="004823D2">
        <w:t>growth rate</w:t>
      </w:r>
      <w:r>
        <w:t xml:space="preserve"> reflects strong economic activity, while</w:t>
      </w:r>
      <w:r w:rsidR="00D47F18">
        <w:t xml:space="preserve"> some of</w:t>
      </w:r>
      <w:r>
        <w:t xml:space="preserve"> the moderating effects of monetary restraint on activity </w:t>
      </w:r>
      <w:proofErr w:type="gramStart"/>
      <w:r w:rsidR="004823D2">
        <w:t>will be</w:t>
      </w:r>
      <w:r w:rsidR="00D47F18">
        <w:t xml:space="preserve"> realized</w:t>
      </w:r>
      <w:proofErr w:type="gramEnd"/>
      <w:r>
        <w:t xml:space="preserve"> later than in the April assessment. The unemployment rate among the prime working ages (25–64) is expected to average 3.7 percent in 2023 and 4.1 percent 2024.  Inflation in the four quarters ending in the </w:t>
      </w:r>
      <w:r w:rsidR="00D47F18">
        <w:t>fourth</w:t>
      </w:r>
      <w:r>
        <w:t xml:space="preserve"> quarter of </w:t>
      </w:r>
      <w:r w:rsidRPr="00D47F18">
        <w:t>202</w:t>
      </w:r>
      <w:r w:rsidR="00D47F18" w:rsidRPr="00D47F18">
        <w:t>3</w:t>
      </w:r>
      <w:r w:rsidR="004D12F9">
        <w:t xml:space="preserve"> </w:t>
      </w:r>
      <w:proofErr w:type="gramStart"/>
      <w:r w:rsidR="004D12F9">
        <w:t>is expected</w:t>
      </w:r>
      <w:proofErr w:type="gramEnd"/>
      <w:r w:rsidR="004D12F9">
        <w:t xml:space="preserve"> to be 3.5 percent, and in the four quarters ending in the fourth quarter of 2024, it is expected to be 2.4 percent.  In addition, the debt to GDP ratio </w:t>
      </w:r>
      <w:proofErr w:type="gramStart"/>
      <w:r w:rsidR="004D12F9">
        <w:t xml:space="preserve">is </w:t>
      </w:r>
      <w:r w:rsidR="004823D2">
        <w:t>forecast</w:t>
      </w:r>
      <w:proofErr w:type="gramEnd"/>
      <w:r w:rsidR="004D12F9">
        <w:t xml:space="preserve"> to be about 60 percent in 2023, and about 59 percent in 2024.</w:t>
      </w:r>
      <w:r w:rsidR="00E5457F">
        <w:t xml:space="preserve">  The main risk to the forecast is the realization of a scenario in which the legislative and institutional changes </w:t>
      </w:r>
      <w:proofErr w:type="gramStart"/>
      <w:r w:rsidR="00E5457F">
        <w:t>are accompanied</w:t>
      </w:r>
      <w:proofErr w:type="gramEnd"/>
      <w:r w:rsidR="00E5457F">
        <w:t xml:space="preserve"> by an increase in the country’s risk premium and continued depreciation of the shekel, an adverse impact to exports, and declines in domestic investments and in demand for private consumption.  The April forecast contained a quantitative assessment of this scenario.</w:t>
      </w:r>
      <w:r w:rsidR="00E5457F" w:rsidRPr="007F290D">
        <w:t xml:space="preserve"> </w:t>
      </w:r>
    </w:p>
    <w:p w14:paraId="1F772556" w14:textId="28A7D1E7" w:rsidR="002C7D1A" w:rsidRDefault="002C7D1A" w:rsidP="00D47F18">
      <w:pPr>
        <w:jc w:val="both"/>
      </w:pPr>
    </w:p>
    <w:p w14:paraId="68EB8E1F" w14:textId="4DD1E767" w:rsidR="002E5026" w:rsidRPr="006F18D3" w:rsidRDefault="0092358F" w:rsidP="00F93FDA">
      <w:pPr>
        <w:jc w:val="both"/>
      </w:pPr>
      <w:r>
        <w:t xml:space="preserve">The </w:t>
      </w:r>
      <w:r w:rsidR="004823D2">
        <w:t>level</w:t>
      </w:r>
      <w:r>
        <w:t xml:space="preserve"> of activity in the housing market continues to moderate.</w:t>
      </w:r>
      <w:r w:rsidR="0041770E">
        <w:t xml:space="preserve"> </w:t>
      </w:r>
      <w:r w:rsidR="000A4196" w:rsidRPr="006F18D3">
        <w:t>H</w:t>
      </w:r>
      <w:r w:rsidR="002E5026" w:rsidRPr="006F18D3">
        <w:t xml:space="preserve">ome price </w:t>
      </w:r>
      <w:r w:rsidR="000A4196" w:rsidRPr="00B36007">
        <w:t>increase</w:t>
      </w:r>
      <w:r w:rsidR="004823D2">
        <w:t>s</w:t>
      </w:r>
      <w:r w:rsidR="005D3750">
        <w:t xml:space="preserve"> </w:t>
      </w:r>
      <w:r w:rsidR="002E5026" w:rsidRPr="006F18D3">
        <w:t>in the past 12 months</w:t>
      </w:r>
      <w:r w:rsidR="005D3750">
        <w:t xml:space="preserve"> moderated to </w:t>
      </w:r>
      <w:r w:rsidR="004D12F9">
        <w:t>9.8</w:t>
      </w:r>
      <w:r w:rsidR="005D3750">
        <w:t xml:space="preserve"> percent</w:t>
      </w:r>
      <w:r w:rsidR="002E5026" w:rsidRPr="006F18D3">
        <w:t xml:space="preserve"> (</w:t>
      </w:r>
      <w:r w:rsidR="002E5026" w:rsidRPr="006F18D3">
        <w:rPr>
          <w:b/>
          <w:bCs/>
        </w:rPr>
        <w:t xml:space="preserve">Figure </w:t>
      </w:r>
      <w:r w:rsidR="007A4A3C">
        <w:rPr>
          <w:b/>
          <w:bCs/>
        </w:rPr>
        <w:t>1</w:t>
      </w:r>
      <w:r w:rsidR="003C3233">
        <w:rPr>
          <w:b/>
          <w:bCs/>
        </w:rPr>
        <w:t>2</w:t>
      </w:r>
      <w:r w:rsidR="002E5026" w:rsidRPr="006F18D3">
        <w:t xml:space="preserve">), </w:t>
      </w:r>
      <w:r w:rsidR="005D3750">
        <w:t xml:space="preserve">and </w:t>
      </w:r>
      <w:r w:rsidR="004D12F9">
        <w:t xml:space="preserve">the index of home </w:t>
      </w:r>
      <w:r w:rsidR="005D3750">
        <w:t xml:space="preserve">prices </w:t>
      </w:r>
      <w:r w:rsidR="004D12F9">
        <w:t>declined by 0.2 percent</w:t>
      </w:r>
      <w:r w:rsidR="005D3750">
        <w:t xml:space="preserve"> in </w:t>
      </w:r>
      <w:r w:rsidR="004D12F9">
        <w:t>May.</w:t>
      </w:r>
      <w:r>
        <w:t xml:space="preserve"> </w:t>
      </w:r>
      <w:proofErr w:type="gramStart"/>
      <w:r w:rsidR="00E5457F">
        <w:rPr>
          <w:rFonts w:hint="cs"/>
        </w:rPr>
        <w:t>I</w:t>
      </w:r>
      <w:r w:rsidR="00E5457F">
        <w:t>n the aggregate</w:t>
      </w:r>
      <w:proofErr w:type="gramEnd"/>
      <w:r w:rsidR="00E5457F">
        <w:t xml:space="preserve">, prices have remained unchanged since the beginning of the year. </w:t>
      </w:r>
      <w:r w:rsidR="00D872F0">
        <w:t>T</w:t>
      </w:r>
      <w:r w:rsidR="003B66C0" w:rsidRPr="006F18D3">
        <w:t>he</w:t>
      </w:r>
      <w:r>
        <w:t xml:space="preserve"> </w:t>
      </w:r>
      <w:r w:rsidR="004D12F9">
        <w:t>downward trends</w:t>
      </w:r>
      <w:r>
        <w:t xml:space="preserve"> in the</w:t>
      </w:r>
      <w:r w:rsidR="003B66C0" w:rsidRPr="006F18D3">
        <w:t xml:space="preserve"> </w:t>
      </w:r>
      <w:r w:rsidR="00945227">
        <w:t>number of housing transactions</w:t>
      </w:r>
      <w:r>
        <w:t xml:space="preserve"> and in new mortgage</w:t>
      </w:r>
      <w:r w:rsidR="00E91AB9">
        <w:t xml:space="preserve"> volume</w:t>
      </w:r>
      <w:r w:rsidR="00945227">
        <w:t xml:space="preserve"> continue</w:t>
      </w:r>
      <w:r w:rsidR="004D12F9">
        <w:t>d</w:t>
      </w:r>
      <w:r w:rsidR="005D3750">
        <w:t>.</w:t>
      </w:r>
      <w:r>
        <w:t xml:space="preserve"> In </w:t>
      </w:r>
      <w:r w:rsidR="00E5457F">
        <w:t>May</w:t>
      </w:r>
      <w:r>
        <w:t>, new</w:t>
      </w:r>
      <w:r w:rsidR="005D3750">
        <w:t xml:space="preserve"> mortgage borrowing totaled NIS </w:t>
      </w:r>
      <w:r w:rsidR="004D12F9">
        <w:t>6.5</w:t>
      </w:r>
      <w:r>
        <w:t xml:space="preserve"> billion</w:t>
      </w:r>
      <w:r w:rsidR="0017762C" w:rsidRPr="006F18D3">
        <w:t xml:space="preserve"> </w:t>
      </w:r>
      <w:r w:rsidR="007521B2" w:rsidRPr="006F18D3">
        <w:t>(</w:t>
      </w:r>
      <w:r w:rsidR="007521B2" w:rsidRPr="006F18D3">
        <w:rPr>
          <w:b/>
          <w:bCs/>
        </w:rPr>
        <w:t xml:space="preserve">Figure </w:t>
      </w:r>
      <w:r w:rsidR="00D358CE" w:rsidRPr="006F18D3">
        <w:rPr>
          <w:b/>
          <w:bCs/>
        </w:rPr>
        <w:t>1</w:t>
      </w:r>
      <w:r w:rsidR="00165FAB">
        <w:rPr>
          <w:b/>
          <w:bCs/>
        </w:rPr>
        <w:t>4</w:t>
      </w:r>
      <w:r w:rsidR="007521B2" w:rsidRPr="006F18D3">
        <w:t xml:space="preserve">). </w:t>
      </w:r>
      <w:r w:rsidR="004D12F9">
        <w:t xml:space="preserve">According to Central Bureau of Statistics data, </w:t>
      </w:r>
      <w:r w:rsidR="00E5457F">
        <w:t>there is a downward trend in data on housing starts relative to last year, while building completions in the past 12 months remained similar to the previous quarter.</w:t>
      </w:r>
      <w:r w:rsidR="006F1B26">
        <w:t xml:space="preserve">  Alongside this, the number of people employed in the industry and investments in residential construction (first quarter data) are high, and company reports do not indicate an increase in difficulty obtaining credit.  </w:t>
      </w:r>
      <w:r w:rsidR="003E248A">
        <w:t xml:space="preserve">The </w:t>
      </w:r>
      <w:r w:rsidR="008C378B">
        <w:t xml:space="preserve">owner-occupied </w:t>
      </w:r>
      <w:r w:rsidR="003E248A">
        <w:t xml:space="preserve">housing </w:t>
      </w:r>
      <w:r w:rsidR="005D3750">
        <w:t xml:space="preserve">services </w:t>
      </w:r>
      <w:r w:rsidR="003E248A">
        <w:t>component of the Consume</w:t>
      </w:r>
      <w:r w:rsidR="00EA746B">
        <w:t xml:space="preserve">r Price Index </w:t>
      </w:r>
      <w:r w:rsidR="006F1B26">
        <w:t xml:space="preserve">continued to </w:t>
      </w:r>
      <w:r w:rsidR="005D3750">
        <w:t>increase</w:t>
      </w:r>
      <w:r w:rsidR="006F1B26">
        <w:t>,</w:t>
      </w:r>
      <w:r w:rsidR="00EA746B">
        <w:t xml:space="preserve"> </w:t>
      </w:r>
      <w:r w:rsidR="006F1B26">
        <w:t>to</w:t>
      </w:r>
      <w:r w:rsidR="005D3750">
        <w:t xml:space="preserve"> </w:t>
      </w:r>
      <w:r w:rsidR="006F1B26">
        <w:t>7</w:t>
      </w:r>
      <w:r w:rsidR="005D3750">
        <w:t>.</w:t>
      </w:r>
      <w:r w:rsidR="00E5457F">
        <w:t>6</w:t>
      </w:r>
      <w:r w:rsidR="005D3750">
        <w:t xml:space="preserve"> percent </w:t>
      </w:r>
      <w:r w:rsidR="006F1B26">
        <w:t>in the past year</w:t>
      </w:r>
      <w:r w:rsidR="00E5457F">
        <w:t>. Monthly rents for tenants renewing their contracts increased by 3.6 percent in May, and monthly rents on new contracts increased by 8.6 percent.</w:t>
      </w:r>
      <w:r w:rsidR="007521B2" w:rsidRPr="006F18D3">
        <w:t xml:space="preserve"> </w:t>
      </w:r>
    </w:p>
    <w:p w14:paraId="343811AE" w14:textId="3343FD4E" w:rsidR="00C2592B" w:rsidRDefault="00C2592B" w:rsidP="00C2592B">
      <w:pPr>
        <w:jc w:val="both"/>
      </w:pPr>
    </w:p>
    <w:p w14:paraId="2FB83253" w14:textId="22F99B34" w:rsidR="007521B2" w:rsidRPr="006435A0" w:rsidRDefault="006F1B26" w:rsidP="00F93FDA">
      <w:pPr>
        <w:jc w:val="both"/>
      </w:pPr>
      <w:r>
        <w:t>T</w:t>
      </w:r>
      <w:r w:rsidR="001A1574" w:rsidRPr="007D5D5F">
        <w:t>he</w:t>
      </w:r>
      <w:r>
        <w:t xml:space="preserve"> Israeli equity markets remained virtually unchanged</w:t>
      </w:r>
      <w:r w:rsidR="00E5457F">
        <w:t>,</w:t>
      </w:r>
      <w:r>
        <w:t xml:space="preserve"> compared with increases in most </w:t>
      </w:r>
      <w:r w:rsidR="007D5D5F">
        <w:t>global equity indices.</w:t>
      </w:r>
      <w:r w:rsidR="0041770E">
        <w:t xml:space="preserve"> </w:t>
      </w:r>
      <w:r>
        <w:t xml:space="preserve">The trend of </w:t>
      </w:r>
      <w:r w:rsidR="005D3750">
        <w:t>underperform</w:t>
      </w:r>
      <w:r>
        <w:t>ance of the Israeli market</w:t>
      </w:r>
      <w:r w:rsidR="005D3750">
        <w:t xml:space="preserve"> relative to global indices </w:t>
      </w:r>
      <w:r>
        <w:t xml:space="preserve">since the beginning of the year continues </w:t>
      </w:r>
      <w:r w:rsidR="005D3750">
        <w:t>(</w:t>
      </w:r>
      <w:r w:rsidR="005D3750">
        <w:rPr>
          <w:b/>
          <w:bCs/>
        </w:rPr>
        <w:t xml:space="preserve">Figure </w:t>
      </w:r>
      <w:r w:rsidR="00F93FDA">
        <w:rPr>
          <w:b/>
          <w:bCs/>
        </w:rPr>
        <w:t>38</w:t>
      </w:r>
      <w:r w:rsidR="005D3750">
        <w:t>).</w:t>
      </w:r>
      <w:r w:rsidR="007D5D5F">
        <w:t xml:space="preserve"> Y</w:t>
      </w:r>
      <w:r w:rsidR="00514240" w:rsidRPr="006F18D3">
        <w:t>ields on long-term g</w:t>
      </w:r>
      <w:r w:rsidR="00975AC8" w:rsidRPr="006F18D3">
        <w:t>overnment bonds</w:t>
      </w:r>
      <w:r w:rsidR="00D872F0">
        <w:t xml:space="preserve"> </w:t>
      </w:r>
      <w:r w:rsidR="006435A0">
        <w:t>declin</w:t>
      </w:r>
      <w:r w:rsidR="00D872F0">
        <w:t>ed</w:t>
      </w:r>
      <w:r w:rsidR="000016FE">
        <w:t xml:space="preserve"> slightly</w:t>
      </w:r>
      <w:r w:rsidR="007D5D5F">
        <w:t xml:space="preserve">, </w:t>
      </w:r>
      <w:r w:rsidR="005D3750">
        <w:t>and</w:t>
      </w:r>
      <w:r w:rsidR="007D5D5F">
        <w:t xml:space="preserve"> </w:t>
      </w:r>
      <w:r w:rsidR="005D3750">
        <w:t>c</w:t>
      </w:r>
      <w:r w:rsidR="007D5D5F">
        <w:t xml:space="preserve">orporate bond spreads </w:t>
      </w:r>
      <w:r w:rsidR="006435A0">
        <w:t>remained stable, after widening at the beginning of the year</w:t>
      </w:r>
      <w:r w:rsidR="0025241A" w:rsidRPr="006F18D3">
        <w:t>.</w:t>
      </w:r>
      <w:r w:rsidR="006435A0">
        <w:t xml:space="preserve">  According to the Central Bureau of Statistics Business Tendency Survey for June, there was less difficulty in obtaining credit </w:t>
      </w:r>
      <w:r w:rsidR="00E5457F">
        <w:t>in</w:t>
      </w:r>
      <w:r w:rsidR="006435A0">
        <w:t xml:space="preserve"> the medium business segment than in previous months. </w:t>
      </w:r>
      <w:r w:rsidR="0021573C">
        <w:t>T</w:t>
      </w:r>
      <w:r w:rsidR="006435A0">
        <w:t xml:space="preserve">he difficulty reported by the various </w:t>
      </w:r>
      <w:r w:rsidR="00F93FDA">
        <w:t xml:space="preserve">business </w:t>
      </w:r>
      <w:r w:rsidR="006435A0">
        <w:t>segments remains relatively low (</w:t>
      </w:r>
      <w:r w:rsidR="006435A0">
        <w:rPr>
          <w:b/>
          <w:bCs/>
        </w:rPr>
        <w:t>Figure 16</w:t>
      </w:r>
      <w:r w:rsidR="006435A0">
        <w:t xml:space="preserve">).  </w:t>
      </w:r>
      <w:r w:rsidR="0021573C">
        <w:t>However</w:t>
      </w:r>
      <w:r w:rsidR="006435A0">
        <w:t>, there are indications of a slight increase in the indices of credit risk to small and micro businesses</w:t>
      </w:r>
      <w:r w:rsidR="00E5457F">
        <w:t xml:space="preserve">.  </w:t>
      </w:r>
      <w:r w:rsidR="00E5457F">
        <w:lastRenderedPageBreak/>
        <w:t>There was a significant decline in c</w:t>
      </w:r>
      <w:r w:rsidR="0021573C">
        <w:t xml:space="preserve">apital raised by the high-tech sector relative to recent years, which is part of the global trend </w:t>
      </w:r>
      <w:r w:rsidR="006435A0">
        <w:t>(</w:t>
      </w:r>
      <w:r w:rsidR="006435A0">
        <w:rPr>
          <w:b/>
          <w:bCs/>
        </w:rPr>
        <w:t>Figure 2</w:t>
      </w:r>
      <w:r w:rsidR="00F93FDA">
        <w:rPr>
          <w:b/>
          <w:bCs/>
        </w:rPr>
        <w:t>7</w:t>
      </w:r>
      <w:r w:rsidR="006435A0">
        <w:t>).</w:t>
      </w:r>
    </w:p>
    <w:p w14:paraId="52FEB5E0" w14:textId="77777777" w:rsidR="00C2592B" w:rsidRDefault="00C2592B" w:rsidP="00C2592B">
      <w:pPr>
        <w:jc w:val="both"/>
      </w:pPr>
    </w:p>
    <w:p w14:paraId="486F65AE" w14:textId="3027FEDF" w:rsidR="00AD1B36" w:rsidRPr="006F18D3" w:rsidRDefault="006435A0" w:rsidP="006435A0">
      <w:pPr>
        <w:jc w:val="both"/>
      </w:pPr>
      <w:r>
        <w:t>There was high volatility in the shekel’s exchange rate against various currencies during the reviewed period, similar to its behavior in previous months.  S</w:t>
      </w:r>
      <w:r w:rsidR="00AD1B36" w:rsidRPr="006F18D3">
        <w:t>ince the previous monetary policy decision,</w:t>
      </w:r>
      <w:r w:rsidR="00AD1B36">
        <w:t xml:space="preserve"> </w:t>
      </w:r>
      <w:r w:rsidR="00AD1B36" w:rsidRPr="006F18D3">
        <w:t xml:space="preserve">the shekel </w:t>
      </w:r>
      <w:r w:rsidR="00B008CC">
        <w:t>weakened</w:t>
      </w:r>
      <w:r w:rsidR="00AD1B36">
        <w:t xml:space="preserve"> by </w:t>
      </w:r>
      <w:r w:rsidR="00B008CC">
        <w:t>1.</w:t>
      </w:r>
      <w:r>
        <w:t>8</w:t>
      </w:r>
      <w:r w:rsidR="00B008CC">
        <w:t xml:space="preserve"> </w:t>
      </w:r>
      <w:r w:rsidR="00AD1B36">
        <w:t>percent</w:t>
      </w:r>
      <w:r w:rsidR="00AD1B36" w:rsidRPr="006F18D3">
        <w:t xml:space="preserve"> against the US dollar</w:t>
      </w:r>
      <w:r w:rsidR="00AD1B36">
        <w:t xml:space="preserve">, </w:t>
      </w:r>
      <w:r w:rsidR="00B008CC">
        <w:t xml:space="preserve">by </w:t>
      </w:r>
      <w:r>
        <w:t xml:space="preserve">2.3 </w:t>
      </w:r>
      <w:r w:rsidR="00B008CC">
        <w:t xml:space="preserve">percent against the euro, </w:t>
      </w:r>
      <w:r w:rsidR="00AD1B36">
        <w:t xml:space="preserve">and by </w:t>
      </w:r>
      <w:r w:rsidR="005D3750">
        <w:t>0.</w:t>
      </w:r>
      <w:r>
        <w:t>2</w:t>
      </w:r>
      <w:r w:rsidR="00AD1B36">
        <w:t xml:space="preserve"> </w:t>
      </w:r>
      <w:r w:rsidR="00AD1B36" w:rsidRPr="006F18D3">
        <w:t>percent in terms of the nominal effective exchange rate</w:t>
      </w:r>
      <w:r w:rsidR="00B008CC">
        <w:t xml:space="preserve"> </w:t>
      </w:r>
      <w:r w:rsidR="00AD1B36" w:rsidRPr="006F18D3">
        <w:t>(</w:t>
      </w:r>
      <w:r w:rsidR="00AD1B36" w:rsidRPr="006F18D3">
        <w:rPr>
          <w:b/>
          <w:bCs/>
        </w:rPr>
        <w:t xml:space="preserve">Figure </w:t>
      </w:r>
      <w:r w:rsidR="003C3233">
        <w:rPr>
          <w:b/>
          <w:bCs/>
        </w:rPr>
        <w:t>8</w:t>
      </w:r>
      <w:r w:rsidR="00AD1B36" w:rsidRPr="006F18D3">
        <w:t>).</w:t>
      </w:r>
    </w:p>
    <w:p w14:paraId="749CA1A5" w14:textId="34D3E6E4" w:rsidR="00AD1B36" w:rsidRDefault="00AD1B36" w:rsidP="00996925">
      <w:pPr>
        <w:jc w:val="both"/>
      </w:pPr>
    </w:p>
    <w:p w14:paraId="37F22430" w14:textId="02B9AE49" w:rsidR="00C470B8" w:rsidRDefault="00996925" w:rsidP="00F93FDA">
      <w:pPr>
        <w:jc w:val="both"/>
      </w:pPr>
      <w:r w:rsidRPr="00996925">
        <w:t>The pace of global economic activity continues to</w:t>
      </w:r>
      <w:r w:rsidR="00134E52" w:rsidRPr="00996925">
        <w:t xml:space="preserve"> </w:t>
      </w:r>
      <w:r w:rsidR="00134E52">
        <w:t>moderate</w:t>
      </w:r>
      <w:r>
        <w:t xml:space="preserve">.  A number of factors continue to weigh down on economic activity, including the continuing war in Ukraine, high inflation, monetary tightening, and the slower-than-expected growth in China.  Growth forecasts for 2024 by the OECD and investments houses remained virtually unchanged, projecting continued moderate growth </w:t>
      </w:r>
      <w:r w:rsidR="00A04928" w:rsidRPr="006F18D3">
        <w:t>(</w:t>
      </w:r>
      <w:r w:rsidR="00A04928" w:rsidRPr="006F18D3">
        <w:rPr>
          <w:b/>
          <w:bCs/>
        </w:rPr>
        <w:t xml:space="preserve">Figure </w:t>
      </w:r>
      <w:r w:rsidR="00F93FDA">
        <w:rPr>
          <w:b/>
          <w:bCs/>
        </w:rPr>
        <w:t>28</w:t>
      </w:r>
      <w:r w:rsidR="00A04928" w:rsidRPr="006F18D3">
        <w:t>).</w:t>
      </w:r>
      <w:r w:rsidR="00441BDC">
        <w:t xml:space="preserve"> </w:t>
      </w:r>
      <w:r w:rsidR="00A04928" w:rsidRPr="006F18D3">
        <w:t>The global purchasing managers</w:t>
      </w:r>
      <w:r w:rsidR="007A7B73" w:rsidRPr="006F18D3">
        <w:t>’</w:t>
      </w:r>
      <w:r w:rsidR="00A04928" w:rsidRPr="006F18D3">
        <w:t xml:space="preserve"> ind</w:t>
      </w:r>
      <w:r w:rsidR="00E20E0F">
        <w:t>ices</w:t>
      </w:r>
      <w:r w:rsidR="00DD322E" w:rsidRPr="006F18D3">
        <w:t xml:space="preserve"> </w:t>
      </w:r>
      <w:r w:rsidR="00693629" w:rsidRPr="006F18D3">
        <w:t xml:space="preserve">of </w:t>
      </w:r>
      <w:r w:rsidR="002E7729">
        <w:t xml:space="preserve">both </w:t>
      </w:r>
      <w:r w:rsidR="00693629" w:rsidRPr="006F18D3">
        <w:t xml:space="preserve">advanced economies </w:t>
      </w:r>
      <w:r w:rsidR="002E7729">
        <w:t xml:space="preserve">and emerging markets </w:t>
      </w:r>
      <w:r>
        <w:t>declined in June</w:t>
      </w:r>
      <w:r w:rsidR="00A256FF">
        <w:t xml:space="preserve">, </w:t>
      </w:r>
      <w:r>
        <w:t xml:space="preserve">but continue to </w:t>
      </w:r>
      <w:r w:rsidR="00A256FF">
        <w:t>indicat</w:t>
      </w:r>
      <w:r w:rsidR="00997E53">
        <w:t>e</w:t>
      </w:r>
      <w:r w:rsidR="009C3EB2">
        <w:t xml:space="preserve"> expectations of</w:t>
      </w:r>
      <w:r w:rsidR="00A256FF">
        <w:t xml:space="preserve"> economic expansion (</w:t>
      </w:r>
      <w:r w:rsidR="00A256FF">
        <w:rPr>
          <w:b/>
          <w:bCs/>
        </w:rPr>
        <w:t xml:space="preserve">Figure </w:t>
      </w:r>
      <w:r w:rsidR="00F93FDA">
        <w:rPr>
          <w:b/>
          <w:bCs/>
        </w:rPr>
        <w:t>29</w:t>
      </w:r>
      <w:bookmarkStart w:id="0" w:name="_GoBack"/>
      <w:bookmarkEnd w:id="0"/>
      <w:r w:rsidR="00A256FF">
        <w:t>).</w:t>
      </w:r>
      <w:r w:rsidR="0041770E">
        <w:t xml:space="preserve"> </w:t>
      </w:r>
      <w:r>
        <w:t xml:space="preserve">In contrast, the indices for the manufacturing sector in many countries indicate economic contraction. </w:t>
      </w:r>
      <w:r w:rsidR="00A256FF">
        <w:t xml:space="preserve">Data on the volume of world trade for </w:t>
      </w:r>
      <w:r>
        <w:t>April</w:t>
      </w:r>
      <w:r w:rsidR="00A256FF">
        <w:t xml:space="preserve"> 2023 continue to indicate a slowdown.</w:t>
      </w:r>
      <w:r w:rsidR="0041770E">
        <w:t xml:space="preserve"> </w:t>
      </w:r>
      <w:r w:rsidR="00A256FF">
        <w:t xml:space="preserve">The export orders component of the Purchasing Managers Index, which is a leading indicator of world trade data, </w:t>
      </w:r>
      <w:r w:rsidR="009C3EB2">
        <w:t xml:space="preserve">continues to </w:t>
      </w:r>
      <w:r w:rsidR="000F5C08">
        <w:t xml:space="preserve">point to </w:t>
      </w:r>
      <w:r>
        <w:t xml:space="preserve">a weak trade environment </w:t>
      </w:r>
      <w:r w:rsidR="009C3EB2">
        <w:t>in the coming months as well</w:t>
      </w:r>
      <w:r w:rsidR="00A256FF">
        <w:t>.</w:t>
      </w:r>
      <w:r w:rsidR="0041770E">
        <w:t xml:space="preserve"> </w:t>
      </w:r>
      <w:r>
        <w:t>Oil prices remained virtually unchanged despite cuts in production during the reviewed period.</w:t>
      </w:r>
    </w:p>
    <w:p w14:paraId="2033AAAB" w14:textId="77777777" w:rsidR="00C2592B" w:rsidRDefault="00C2592B" w:rsidP="00C2592B">
      <w:pPr>
        <w:jc w:val="both"/>
      </w:pPr>
    </w:p>
    <w:p w14:paraId="77C24353" w14:textId="203A869D" w:rsidR="00466DE7" w:rsidRDefault="00246670" w:rsidP="00F93FDA">
      <w:pPr>
        <w:jc w:val="both"/>
      </w:pPr>
      <w:r w:rsidRPr="006F18D3">
        <w:t xml:space="preserve">The global inflation environment </w:t>
      </w:r>
      <w:r w:rsidR="00996925">
        <w:t>is moderating in many countries,</w:t>
      </w:r>
      <w:r w:rsidR="00A256FF">
        <w:t xml:space="preserve"> but</w:t>
      </w:r>
      <w:r w:rsidR="00996925">
        <w:t xml:space="preserve"> remains above the central bank targets</w:t>
      </w:r>
      <w:r w:rsidR="00C470B8">
        <w:t xml:space="preserve"> (</w:t>
      </w:r>
      <w:r w:rsidR="00C470B8">
        <w:rPr>
          <w:b/>
          <w:bCs/>
        </w:rPr>
        <w:t xml:space="preserve">Figure </w:t>
      </w:r>
      <w:r w:rsidR="007A4A3C">
        <w:rPr>
          <w:b/>
          <w:bCs/>
        </w:rPr>
        <w:t>3</w:t>
      </w:r>
      <w:r w:rsidR="00165FAB">
        <w:rPr>
          <w:b/>
          <w:bCs/>
        </w:rPr>
        <w:t>6</w:t>
      </w:r>
      <w:r w:rsidR="00C470B8">
        <w:t>)</w:t>
      </w:r>
      <w:r w:rsidR="008B4202">
        <w:t>,</w:t>
      </w:r>
      <w:r w:rsidR="00996925">
        <w:t xml:space="preserve"> while core inflation is </w:t>
      </w:r>
      <w:r w:rsidR="008B4202">
        <w:t>sticky</w:t>
      </w:r>
      <w:r w:rsidR="00996925">
        <w:t>.</w:t>
      </w:r>
      <w:r w:rsidR="00A256FF">
        <w:t xml:space="preserve"> </w:t>
      </w:r>
      <w:r w:rsidR="009C3EB2">
        <w:t>With that, i</w:t>
      </w:r>
      <w:r w:rsidR="00A256FF">
        <w:t xml:space="preserve">nterest rate increases </w:t>
      </w:r>
      <w:r w:rsidR="00996925">
        <w:t xml:space="preserve">and monetary tightening </w:t>
      </w:r>
      <w:r w:rsidR="00A256FF">
        <w:t>around the world are continuing,</w:t>
      </w:r>
      <w:r w:rsidR="00996925">
        <w:t xml:space="preserve"> and a number of</w:t>
      </w:r>
      <w:r w:rsidR="00F93FDA">
        <w:t xml:space="preserve"> central</w:t>
      </w:r>
      <w:r w:rsidR="00996925">
        <w:t xml:space="preserve"> banks in advanced economies, including the UK and Norway, have raised their interest rates beyond market expectations.</w:t>
      </w:r>
      <w:r w:rsidR="00A256FF">
        <w:t xml:space="preserve"> </w:t>
      </w:r>
      <w:r w:rsidR="00996925">
        <w:t xml:space="preserve">The main common factor in </w:t>
      </w:r>
      <w:r w:rsidR="00F93FDA">
        <w:t>these countries</w:t>
      </w:r>
      <w:r w:rsidR="00996925">
        <w:t xml:space="preserve"> is inflation that is higher than previous expectations.  In the US, economic activity data continue to indicate </w:t>
      </w:r>
      <w:proofErr w:type="gramStart"/>
      <w:r w:rsidR="00996925">
        <w:t>positive growth</w:t>
      </w:r>
      <w:proofErr w:type="gramEnd"/>
      <w:r w:rsidR="00996925">
        <w:t xml:space="preserve">, and the labor market remains tight.  The Consumer Price Index for June moderated to an annual rate of 4 percent, and the PCE index declined to 5.3 percent. </w:t>
      </w:r>
      <w:r w:rsidR="00C934C4">
        <w:t>T</w:t>
      </w:r>
      <w:r w:rsidR="004D23D7">
        <w:t>he Federal Reserve</w:t>
      </w:r>
      <w:r w:rsidR="00390733">
        <w:t xml:space="preserve"> </w:t>
      </w:r>
      <w:r w:rsidR="000E168E">
        <w:t>left</w:t>
      </w:r>
      <w:r w:rsidR="00390733">
        <w:t xml:space="preserve"> </w:t>
      </w:r>
      <w:r w:rsidR="00466DE7">
        <w:t>the federal funds rate</w:t>
      </w:r>
      <w:r w:rsidR="000E168E">
        <w:t xml:space="preserve"> unchanged</w:t>
      </w:r>
      <w:r w:rsidR="009C3EB2">
        <w:t xml:space="preserve">, </w:t>
      </w:r>
      <w:r w:rsidR="000E168E">
        <w:t>but published a</w:t>
      </w:r>
      <w:r w:rsidR="008B4202">
        <w:t>n</w:t>
      </w:r>
      <w:r w:rsidR="000E168E">
        <w:t xml:space="preserve"> interest rate forecast that projects two further increases in the coming months. The eurozone entered a technical recession following two consecutive quarters of contraction</w:t>
      </w:r>
      <w:r w:rsidR="008B4202">
        <w:t>, but forecasts indicate expected moderate growth in the coming quarters</w:t>
      </w:r>
      <w:r w:rsidR="000E168E">
        <w:t xml:space="preserve">. </w:t>
      </w:r>
      <w:r w:rsidR="009C3EB2">
        <w:t>Inflation moderated, but it remains relatively high, at an a</w:t>
      </w:r>
      <w:r w:rsidR="00390733">
        <w:t xml:space="preserve">nnual pace of </w:t>
      </w:r>
      <w:r w:rsidR="000E168E">
        <w:t>5.5</w:t>
      </w:r>
      <w:r w:rsidR="00390733">
        <w:t xml:space="preserve"> percent.</w:t>
      </w:r>
      <w:r w:rsidR="0041770E">
        <w:t xml:space="preserve"> </w:t>
      </w:r>
      <w:r w:rsidR="000F5C08">
        <w:t>C</w:t>
      </w:r>
      <w:r w:rsidR="00390733">
        <w:t xml:space="preserve">ore inflation in the eurozone </w:t>
      </w:r>
      <w:r w:rsidR="000E168E">
        <w:t>increased slightly</w:t>
      </w:r>
      <w:r w:rsidR="009C3EB2">
        <w:t xml:space="preserve"> to 5.</w:t>
      </w:r>
      <w:r w:rsidR="000E168E">
        <w:t>4</w:t>
      </w:r>
      <w:r w:rsidR="009C3EB2">
        <w:t xml:space="preserve"> percent </w:t>
      </w:r>
      <w:r w:rsidR="000E168E">
        <w:t xml:space="preserve">and </w:t>
      </w:r>
      <w:proofErr w:type="gramStart"/>
      <w:r w:rsidR="000E168E">
        <w:t>is also</w:t>
      </w:r>
      <w:proofErr w:type="gramEnd"/>
      <w:r w:rsidR="009C3EB2">
        <w:t xml:space="preserve"> high</w:t>
      </w:r>
      <w:r w:rsidR="00390733">
        <w:t>.</w:t>
      </w:r>
      <w:r w:rsidR="0041770E">
        <w:t xml:space="preserve"> </w:t>
      </w:r>
      <w:r w:rsidR="001C5D4D">
        <w:t xml:space="preserve">The ECB </w:t>
      </w:r>
      <w:r w:rsidR="00390733">
        <w:t>increased its</w:t>
      </w:r>
      <w:r w:rsidR="001C5D4D">
        <w:t xml:space="preserve"> interest rate by </w:t>
      </w:r>
      <w:r w:rsidR="009C3EB2">
        <w:t>2</w:t>
      </w:r>
      <w:r w:rsidR="001C5D4D">
        <w:t>5 basis points.</w:t>
      </w:r>
      <w:r w:rsidR="0041770E">
        <w:t xml:space="preserve"> </w:t>
      </w:r>
      <w:r w:rsidR="001C5D4D">
        <w:t xml:space="preserve">In </w:t>
      </w:r>
      <w:r w:rsidR="00390733">
        <w:t xml:space="preserve">the UK, the </w:t>
      </w:r>
      <w:r w:rsidR="009C3EB2">
        <w:t xml:space="preserve">most recent inflation figure </w:t>
      </w:r>
      <w:r w:rsidR="000E168E">
        <w:t>remained unchanged and inflation is 8.7 percent.  Core inflation increased again, to an annual rate of 7.1 percent, and t</w:t>
      </w:r>
      <w:r w:rsidR="00390733">
        <w:t xml:space="preserve">he Bank of England increased its interest rate by another </w:t>
      </w:r>
      <w:r w:rsidR="000E168E">
        <w:t>50</w:t>
      </w:r>
      <w:r w:rsidR="00390733">
        <w:t xml:space="preserve"> basis points.</w:t>
      </w:r>
      <w:r w:rsidR="00221D8C">
        <w:t xml:space="preserve"> </w:t>
      </w:r>
    </w:p>
    <w:p w14:paraId="729DC7CD" w14:textId="77777777" w:rsidR="00AD12BC" w:rsidRPr="006F18D3" w:rsidRDefault="00AD12BC" w:rsidP="00C2592B">
      <w:pPr>
        <w:jc w:val="both"/>
      </w:pPr>
    </w:p>
    <w:p w14:paraId="2A06FF08" w14:textId="77777777" w:rsidR="00AD12BC" w:rsidRPr="006F18D3" w:rsidRDefault="00AD12BC" w:rsidP="00C2592B">
      <w:pPr>
        <w:jc w:val="both"/>
      </w:pPr>
    </w:p>
    <w:p w14:paraId="69729D9C" w14:textId="77777777" w:rsidR="00AD12BC" w:rsidRPr="006F18D3" w:rsidRDefault="00AD12BC" w:rsidP="00C2592B">
      <w:pPr>
        <w:jc w:val="both"/>
      </w:pPr>
    </w:p>
    <w:p w14:paraId="6D15635A" w14:textId="2559E9C1" w:rsidR="00D26730" w:rsidRPr="006F18D3" w:rsidRDefault="00D26730" w:rsidP="000E168E">
      <w:pPr>
        <w:jc w:val="both"/>
        <w:rPr>
          <w:rtl/>
        </w:rPr>
      </w:pPr>
      <w:r w:rsidRPr="006F18D3">
        <w:t xml:space="preserve">The minutes of the monetary discussions prior to this interest rate decision </w:t>
      </w:r>
      <w:proofErr w:type="gramStart"/>
      <w:r w:rsidRPr="006F18D3">
        <w:t>will be published</w:t>
      </w:r>
      <w:proofErr w:type="gramEnd"/>
      <w:r w:rsidRPr="006F18D3">
        <w:t xml:space="preserve"> on </w:t>
      </w:r>
      <w:r w:rsidR="000E168E">
        <w:t>July 24</w:t>
      </w:r>
      <w:r w:rsidRPr="006F18D3">
        <w:t xml:space="preserve">. The next decision regarding the interest rate </w:t>
      </w:r>
      <w:proofErr w:type="gramStart"/>
      <w:r w:rsidRPr="006F18D3">
        <w:t>will be published</w:t>
      </w:r>
      <w:proofErr w:type="gramEnd"/>
      <w:r w:rsidRPr="006F18D3">
        <w:t xml:space="preserve"> at 16:00 on </w:t>
      </w:r>
      <w:r w:rsidR="005923FA" w:rsidRPr="006F18D3">
        <w:t xml:space="preserve">Monday, </w:t>
      </w:r>
      <w:r w:rsidR="000E168E">
        <w:t>September 4</w:t>
      </w:r>
      <w:r w:rsidR="00221D8C">
        <w:t>, 2023</w:t>
      </w:r>
      <w:r w:rsidR="00EE2D33" w:rsidRPr="006F18D3">
        <w:t>.</w:t>
      </w:r>
    </w:p>
    <w:sectPr w:rsidR="00D26730" w:rsidRPr="006F18D3" w:rsidSect="008A464C">
      <w:headerReference w:type="first" r:id="rId8"/>
      <w:type w:val="continuous"/>
      <w:pgSz w:w="11907" w:h="16839" w:code="9"/>
      <w:pgMar w:top="1701" w:right="1134" w:bottom="1304" w:left="1418" w:header="10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3035" w14:textId="77777777" w:rsidR="007B61AE" w:rsidRDefault="007B61AE" w:rsidP="006A415B">
      <w:r>
        <w:separator/>
      </w:r>
    </w:p>
  </w:endnote>
  <w:endnote w:type="continuationSeparator" w:id="0">
    <w:p w14:paraId="31BD59E9" w14:textId="77777777" w:rsidR="007B61AE" w:rsidRDefault="007B61AE" w:rsidP="006A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F816" w14:textId="77777777" w:rsidR="007B61AE" w:rsidRDefault="007B61AE" w:rsidP="006A415B">
      <w:r>
        <w:separator/>
      </w:r>
    </w:p>
  </w:footnote>
  <w:footnote w:type="continuationSeparator" w:id="0">
    <w:p w14:paraId="048FFFEB" w14:textId="77777777" w:rsidR="007B61AE" w:rsidRDefault="007B61AE" w:rsidP="006A415B">
      <w:r>
        <w:continuationSeparator/>
      </w:r>
    </w:p>
  </w:footnote>
  <w:footnote w:id="1">
    <w:p w14:paraId="27928493" w14:textId="34C0C524" w:rsidR="002C7D1A" w:rsidRDefault="002C7D1A" w:rsidP="002C7D1A">
      <w:pPr>
        <w:pStyle w:val="FootnoteText"/>
      </w:pPr>
      <w:r>
        <w:rPr>
          <w:rStyle w:val="FootnoteReference"/>
        </w:rPr>
        <w:footnoteRef/>
      </w:r>
      <w:r>
        <w:t xml:space="preserve"> The full forecast </w:t>
      </w:r>
      <w:proofErr w:type="gramStart"/>
      <w:r>
        <w:t>is being published</w:t>
      </w:r>
      <w:proofErr w:type="gramEnd"/>
      <w:r>
        <w:t xml:space="preserve"> separately, and can be found at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6EC1" w14:textId="77777777" w:rsidR="006A415B" w:rsidRDefault="00576794" w:rsidP="006A415B">
    <w:pPr>
      <w:pStyle w:val="regpar"/>
      <w:spacing w:line="300" w:lineRule="atLeast"/>
      <w:ind w:firstLine="0"/>
      <w:jc w:val="center"/>
      <w:rPr>
        <w:b/>
      </w:rPr>
    </w:pPr>
    <w:r>
      <w:rPr>
        <w:noProof/>
        <w:rtl/>
      </w:rPr>
      <w:drawing>
        <wp:anchor distT="0" distB="0" distL="114300" distR="114300" simplePos="0" relativeHeight="251658240" behindDoc="0" locked="0" layoutInCell="1" allowOverlap="1" wp14:anchorId="19DC632E" wp14:editId="36D5A524">
          <wp:simplePos x="0" y="0"/>
          <wp:positionH relativeFrom="column">
            <wp:posOffset>-666750</wp:posOffset>
          </wp:positionH>
          <wp:positionV relativeFrom="paragraph">
            <wp:posOffset>-197485</wp:posOffset>
          </wp:positionV>
          <wp:extent cx="7082155" cy="671830"/>
          <wp:effectExtent l="0" t="0" r="4445" b="0"/>
          <wp:wrapNone/>
          <wp:docPr id="4" name="תמונה 4" descr="BOI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 Heade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155" cy="671830"/>
                  </a:xfrm>
                  <a:prstGeom prst="rect">
                    <a:avLst/>
                  </a:prstGeom>
                  <a:noFill/>
                </pic:spPr>
              </pic:pic>
            </a:graphicData>
          </a:graphic>
          <wp14:sizeRelH relativeFrom="page">
            <wp14:pctWidth>0</wp14:pctWidth>
          </wp14:sizeRelH>
          <wp14:sizeRelV relativeFrom="page">
            <wp14:pctHeight>0</wp14:pctHeight>
          </wp14:sizeRelV>
        </wp:anchor>
      </w:drawing>
    </w:r>
  </w:p>
  <w:p w14:paraId="48E0C458" w14:textId="77777777" w:rsidR="006A415B" w:rsidRDefault="006A415B" w:rsidP="006A415B">
    <w:pPr>
      <w:pStyle w:val="regpar"/>
      <w:spacing w:line="300" w:lineRule="atLeast"/>
      <w:ind w:firstLine="0"/>
      <w:jc w:val="left"/>
      <w:rPr>
        <w:b/>
      </w:rPr>
    </w:pPr>
  </w:p>
  <w:p w14:paraId="71D942D3" w14:textId="77777777" w:rsidR="000E5444" w:rsidRDefault="000E5444" w:rsidP="006A415B">
    <w:pPr>
      <w:pStyle w:val="regpar"/>
      <w:spacing w:line="300" w:lineRule="atLeast"/>
      <w:ind w:firstLine="0"/>
      <w:jc w:val="center"/>
      <w:rPr>
        <w:b/>
        <w:sz w:val="28"/>
        <w:szCs w:val="28"/>
      </w:rPr>
    </w:pPr>
  </w:p>
  <w:p w14:paraId="36E59735" w14:textId="77777777" w:rsidR="000E5444" w:rsidRDefault="000E5444" w:rsidP="006A415B">
    <w:pPr>
      <w:pStyle w:val="regpar"/>
      <w:spacing w:line="300" w:lineRule="atLeast"/>
      <w:ind w:firstLine="0"/>
      <w:jc w:val="center"/>
      <w:rPr>
        <w:b/>
        <w:sz w:val="28"/>
        <w:szCs w:val="28"/>
      </w:rPr>
    </w:pPr>
  </w:p>
  <w:p w14:paraId="20E69E27" w14:textId="77777777" w:rsidR="006A415B" w:rsidRPr="00657F32" w:rsidRDefault="006A415B" w:rsidP="006A415B">
    <w:pPr>
      <w:pStyle w:val="regpar"/>
      <w:spacing w:line="300" w:lineRule="atLeast"/>
      <w:ind w:firstLine="0"/>
      <w:jc w:val="center"/>
      <w:rPr>
        <w:b/>
        <w:sz w:val="28"/>
        <w:szCs w:val="28"/>
      </w:rPr>
    </w:pPr>
    <w:r w:rsidRPr="00657F32">
      <w:rPr>
        <w:b/>
        <w:sz w:val="28"/>
        <w:szCs w:val="28"/>
      </w:rPr>
      <w:t>BANK OF ISRAEL</w:t>
    </w:r>
  </w:p>
  <w:p w14:paraId="4A4E0619" w14:textId="77777777" w:rsidR="006A415B" w:rsidRDefault="006A415B" w:rsidP="006A415B">
    <w:pPr>
      <w:pStyle w:val="regpar"/>
      <w:spacing w:line="300" w:lineRule="atLeast"/>
      <w:ind w:firstLine="0"/>
      <w:jc w:val="center"/>
      <w:rPr>
        <w:b/>
      </w:rPr>
    </w:pPr>
    <w:r>
      <w:t>Office of the Spokesperson and Economic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hebrew1"/>
      <w:pStyle w:val="Heading1"/>
      <w:lvlText w:val="%1."/>
      <w:legacy w:legacy="1" w:legacySpace="0" w:legacyIndent="340"/>
      <w:lvlJc w:val="right"/>
      <w:pPr>
        <w:ind w:left="340" w:hanging="340"/>
      </w:pPr>
      <w:rPr>
        <w:rFonts w:ascii="Times New Roman" w:hAnsi="Times New Roman" w:cs="Times New Roman" w:hint="default"/>
        <w:b w:val="0"/>
        <w:i w:val="0"/>
        <w:sz w:val="22"/>
        <w:szCs w:val="24"/>
      </w:rPr>
    </w:lvl>
    <w:lvl w:ilvl="1">
      <w:start w:val="1"/>
      <w:numFmt w:val="decimal"/>
      <w:pStyle w:val="Heading2"/>
      <w:lvlText w:val="%2."/>
      <w:legacy w:legacy="1" w:legacySpace="0" w:legacyIndent="340"/>
      <w:lvlJc w:val="right"/>
      <w:pPr>
        <w:ind w:left="680" w:hanging="340"/>
      </w:pPr>
      <w:rPr>
        <w:rFonts w:ascii="Times New Roman" w:hAnsi="Times New Roman" w:cs="Times New Roman" w:hint="default"/>
        <w:b w:val="0"/>
        <w:i w:val="0"/>
        <w:sz w:val="22"/>
      </w:rPr>
    </w:lvl>
    <w:lvl w:ilvl="2">
      <w:start w:val="1"/>
      <w:numFmt w:val="hebrew1"/>
      <w:pStyle w:val="Heading3"/>
      <w:lvlText w:val="%3)"/>
      <w:legacy w:legacy="1" w:legacySpace="0" w:legacyIndent="340"/>
      <w:lvlJc w:val="right"/>
      <w:pPr>
        <w:ind w:left="1020" w:hanging="340"/>
      </w:pPr>
      <w:rPr>
        <w:rFonts w:ascii="Times New Roman" w:hAnsi="Times New Roman" w:cs="Times New Roman" w:hint="default"/>
        <w:b w:val="0"/>
        <w:i w:val="0"/>
        <w:sz w:val="22"/>
        <w:szCs w:val="24"/>
      </w:rPr>
    </w:lvl>
    <w:lvl w:ilvl="3">
      <w:start w:val="1"/>
      <w:numFmt w:val="decimal"/>
      <w:pStyle w:val="Heading4"/>
      <w:lvlText w:val="(%4)"/>
      <w:legacy w:legacy="1" w:legacySpace="0" w:legacyIndent="340"/>
      <w:lvlJc w:val="right"/>
      <w:pPr>
        <w:ind w:left="1360" w:hanging="340"/>
      </w:pPr>
      <w:rPr>
        <w:rFonts w:ascii="Times New Roman" w:hAnsi="Times New Roman" w:cs="Times New Roman" w:hint="default"/>
        <w:b w:val="0"/>
        <w:i w:val="0"/>
        <w:sz w:val="22"/>
      </w:rPr>
    </w:lvl>
    <w:lvl w:ilvl="4">
      <w:start w:val="1"/>
      <w:numFmt w:val="decimal"/>
      <w:pStyle w:val="Heading5"/>
      <w:lvlText w:val="(%5)"/>
      <w:legacy w:legacy="1" w:legacySpace="0" w:legacyIndent="708"/>
      <w:lvlJc w:val="center"/>
      <w:pPr>
        <w:ind w:left="2068" w:hanging="708"/>
      </w:pPr>
      <w:rPr>
        <w:rFonts w:ascii="Times New Roman" w:hAnsi="Times New Roman" w:cs="Times New Roman"/>
      </w:rPr>
    </w:lvl>
    <w:lvl w:ilvl="5">
      <w:start w:val="1"/>
      <w:numFmt w:val="lowerLetter"/>
      <w:pStyle w:val="Heading6"/>
      <w:lvlText w:val="(%6)"/>
      <w:legacy w:legacy="1" w:legacySpace="0" w:legacyIndent="708"/>
      <w:lvlJc w:val="center"/>
      <w:pPr>
        <w:ind w:left="2776" w:hanging="708"/>
      </w:pPr>
      <w:rPr>
        <w:rFonts w:ascii="Times New Roman" w:hAnsi="Times New Roman" w:cs="Times New Roman"/>
      </w:rPr>
    </w:lvl>
    <w:lvl w:ilvl="6">
      <w:start w:val="1"/>
      <w:numFmt w:val="lowerRoman"/>
      <w:pStyle w:val="Heading7"/>
      <w:lvlText w:val="(%7)"/>
      <w:legacy w:legacy="1" w:legacySpace="0" w:legacyIndent="708"/>
      <w:lvlJc w:val="center"/>
      <w:pPr>
        <w:ind w:left="3484" w:hanging="708"/>
      </w:pPr>
      <w:rPr>
        <w:rFonts w:ascii="Times New Roman" w:hAnsi="Times New Roman" w:cs="Times New Roman"/>
      </w:rPr>
    </w:lvl>
    <w:lvl w:ilvl="7">
      <w:start w:val="1"/>
      <w:numFmt w:val="lowerLetter"/>
      <w:pStyle w:val="Heading8"/>
      <w:lvlText w:val="(%8)"/>
      <w:legacy w:legacy="1" w:legacySpace="0" w:legacyIndent="708"/>
      <w:lvlJc w:val="center"/>
      <w:pPr>
        <w:ind w:left="4192" w:hanging="708"/>
      </w:pPr>
      <w:rPr>
        <w:rFonts w:ascii="Times New Roman" w:hAnsi="Times New Roman" w:cs="Times New Roman"/>
      </w:rPr>
    </w:lvl>
    <w:lvl w:ilvl="8">
      <w:start w:val="1"/>
      <w:numFmt w:val="lowerRoman"/>
      <w:pStyle w:val="Heading9"/>
      <w:lvlText w:val="(%9)"/>
      <w:legacy w:legacy="1" w:legacySpace="0" w:legacyIndent="708"/>
      <w:lvlJc w:val="center"/>
      <w:pPr>
        <w:ind w:left="4900" w:hanging="708"/>
      </w:pPr>
      <w:rPr>
        <w:rFonts w:ascii="Times New Roman" w:hAnsi="Times New Roman" w:cs="Times New Roman"/>
      </w:rPr>
    </w:lvl>
  </w:abstractNum>
  <w:abstractNum w:abstractNumId="1" w15:restartNumberingAfterBreak="0">
    <w:nsid w:val="0542714D"/>
    <w:multiLevelType w:val="hybridMultilevel"/>
    <w:tmpl w:val="EAD2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33779"/>
    <w:multiLevelType w:val="hybridMultilevel"/>
    <w:tmpl w:val="D21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947"/>
    <w:multiLevelType w:val="hybridMultilevel"/>
    <w:tmpl w:val="DED88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1775"/>
    <w:multiLevelType w:val="hybridMultilevel"/>
    <w:tmpl w:val="387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B429C"/>
    <w:multiLevelType w:val="hybridMultilevel"/>
    <w:tmpl w:val="548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75AE7"/>
    <w:multiLevelType w:val="hybridMultilevel"/>
    <w:tmpl w:val="0FE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10"/>
    <w:multiLevelType w:val="hybridMultilevel"/>
    <w:tmpl w:val="6D109332"/>
    <w:lvl w:ilvl="0" w:tplc="6DA002C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37205B"/>
    <w:multiLevelType w:val="hybridMultilevel"/>
    <w:tmpl w:val="66868FB6"/>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9" w15:restartNumberingAfterBreak="0">
    <w:nsid w:val="7AB960C6"/>
    <w:multiLevelType w:val="hybridMultilevel"/>
    <w:tmpl w:val="A9C6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9"/>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6"/>
    <w:rsid w:val="000009ED"/>
    <w:rsid w:val="000016FE"/>
    <w:rsid w:val="00003FA3"/>
    <w:rsid w:val="0000420E"/>
    <w:rsid w:val="00004259"/>
    <w:rsid w:val="00005040"/>
    <w:rsid w:val="00005212"/>
    <w:rsid w:val="0000579C"/>
    <w:rsid w:val="000057DC"/>
    <w:rsid w:val="0000766C"/>
    <w:rsid w:val="00010568"/>
    <w:rsid w:val="00010C70"/>
    <w:rsid w:val="0001308F"/>
    <w:rsid w:val="00014A23"/>
    <w:rsid w:val="00014EF7"/>
    <w:rsid w:val="0001723D"/>
    <w:rsid w:val="00020F9E"/>
    <w:rsid w:val="000247BE"/>
    <w:rsid w:val="0002574D"/>
    <w:rsid w:val="00026557"/>
    <w:rsid w:val="00026692"/>
    <w:rsid w:val="0002762F"/>
    <w:rsid w:val="0003080D"/>
    <w:rsid w:val="00032BD5"/>
    <w:rsid w:val="00032EAA"/>
    <w:rsid w:val="00033062"/>
    <w:rsid w:val="00033326"/>
    <w:rsid w:val="000359AC"/>
    <w:rsid w:val="0003624A"/>
    <w:rsid w:val="0003644D"/>
    <w:rsid w:val="0004163E"/>
    <w:rsid w:val="000416AB"/>
    <w:rsid w:val="00041B69"/>
    <w:rsid w:val="00042865"/>
    <w:rsid w:val="00043E00"/>
    <w:rsid w:val="00043EF3"/>
    <w:rsid w:val="00044851"/>
    <w:rsid w:val="00044C54"/>
    <w:rsid w:val="000467E1"/>
    <w:rsid w:val="00046F70"/>
    <w:rsid w:val="000504FE"/>
    <w:rsid w:val="00050BD0"/>
    <w:rsid w:val="000512B0"/>
    <w:rsid w:val="000519B9"/>
    <w:rsid w:val="00051F02"/>
    <w:rsid w:val="00053072"/>
    <w:rsid w:val="00053163"/>
    <w:rsid w:val="000538AB"/>
    <w:rsid w:val="00053A86"/>
    <w:rsid w:val="00054956"/>
    <w:rsid w:val="00061166"/>
    <w:rsid w:val="00065057"/>
    <w:rsid w:val="000651F8"/>
    <w:rsid w:val="0006540D"/>
    <w:rsid w:val="000674E1"/>
    <w:rsid w:val="000677A6"/>
    <w:rsid w:val="00070DB3"/>
    <w:rsid w:val="00070EC2"/>
    <w:rsid w:val="000717B4"/>
    <w:rsid w:val="000743A2"/>
    <w:rsid w:val="00074B82"/>
    <w:rsid w:val="000769A8"/>
    <w:rsid w:val="000819C4"/>
    <w:rsid w:val="00081DD4"/>
    <w:rsid w:val="00084BF8"/>
    <w:rsid w:val="000851CE"/>
    <w:rsid w:val="000860E5"/>
    <w:rsid w:val="00086DD2"/>
    <w:rsid w:val="00087055"/>
    <w:rsid w:val="00087A89"/>
    <w:rsid w:val="0009033A"/>
    <w:rsid w:val="00091D07"/>
    <w:rsid w:val="00093CBA"/>
    <w:rsid w:val="00093E16"/>
    <w:rsid w:val="00094DC7"/>
    <w:rsid w:val="0009726C"/>
    <w:rsid w:val="000975E0"/>
    <w:rsid w:val="000A02E0"/>
    <w:rsid w:val="000A409C"/>
    <w:rsid w:val="000A4196"/>
    <w:rsid w:val="000A50C6"/>
    <w:rsid w:val="000A577B"/>
    <w:rsid w:val="000A75E1"/>
    <w:rsid w:val="000A7BAF"/>
    <w:rsid w:val="000B00F9"/>
    <w:rsid w:val="000B0812"/>
    <w:rsid w:val="000B0CA3"/>
    <w:rsid w:val="000B10F7"/>
    <w:rsid w:val="000B1666"/>
    <w:rsid w:val="000B288C"/>
    <w:rsid w:val="000B5823"/>
    <w:rsid w:val="000B7A80"/>
    <w:rsid w:val="000C0090"/>
    <w:rsid w:val="000C06F5"/>
    <w:rsid w:val="000C1CAB"/>
    <w:rsid w:val="000C23B4"/>
    <w:rsid w:val="000C3838"/>
    <w:rsid w:val="000C4DCD"/>
    <w:rsid w:val="000C5920"/>
    <w:rsid w:val="000C5AD8"/>
    <w:rsid w:val="000C5C39"/>
    <w:rsid w:val="000C6506"/>
    <w:rsid w:val="000C79A3"/>
    <w:rsid w:val="000C7D5B"/>
    <w:rsid w:val="000D1004"/>
    <w:rsid w:val="000D1F86"/>
    <w:rsid w:val="000D370E"/>
    <w:rsid w:val="000D3FD7"/>
    <w:rsid w:val="000D41A9"/>
    <w:rsid w:val="000D53EB"/>
    <w:rsid w:val="000D5687"/>
    <w:rsid w:val="000D57DF"/>
    <w:rsid w:val="000D623A"/>
    <w:rsid w:val="000D6B8C"/>
    <w:rsid w:val="000D70AC"/>
    <w:rsid w:val="000D74BC"/>
    <w:rsid w:val="000E030C"/>
    <w:rsid w:val="000E0752"/>
    <w:rsid w:val="000E0FBB"/>
    <w:rsid w:val="000E10F6"/>
    <w:rsid w:val="000E1246"/>
    <w:rsid w:val="000E12D2"/>
    <w:rsid w:val="000E168E"/>
    <w:rsid w:val="000E2B1B"/>
    <w:rsid w:val="000E3349"/>
    <w:rsid w:val="000E42A1"/>
    <w:rsid w:val="000E5444"/>
    <w:rsid w:val="000E5F83"/>
    <w:rsid w:val="000E674B"/>
    <w:rsid w:val="000E690F"/>
    <w:rsid w:val="000E77BF"/>
    <w:rsid w:val="000E7C33"/>
    <w:rsid w:val="000E7F9B"/>
    <w:rsid w:val="000F10CC"/>
    <w:rsid w:val="000F11D7"/>
    <w:rsid w:val="000F1564"/>
    <w:rsid w:val="000F2AC0"/>
    <w:rsid w:val="000F40FB"/>
    <w:rsid w:val="000F4EBE"/>
    <w:rsid w:val="000F54D5"/>
    <w:rsid w:val="000F5C08"/>
    <w:rsid w:val="000F5F46"/>
    <w:rsid w:val="0010008A"/>
    <w:rsid w:val="00100ED2"/>
    <w:rsid w:val="00101CD9"/>
    <w:rsid w:val="00102273"/>
    <w:rsid w:val="001023DE"/>
    <w:rsid w:val="0010516D"/>
    <w:rsid w:val="0010554B"/>
    <w:rsid w:val="00105C6C"/>
    <w:rsid w:val="001077FE"/>
    <w:rsid w:val="001110C7"/>
    <w:rsid w:val="00111B01"/>
    <w:rsid w:val="00113F78"/>
    <w:rsid w:val="00114A1E"/>
    <w:rsid w:val="00115978"/>
    <w:rsid w:val="001209A1"/>
    <w:rsid w:val="00120A96"/>
    <w:rsid w:val="001230AB"/>
    <w:rsid w:val="00123AAE"/>
    <w:rsid w:val="001246CD"/>
    <w:rsid w:val="00124898"/>
    <w:rsid w:val="00124C58"/>
    <w:rsid w:val="0012539C"/>
    <w:rsid w:val="00127542"/>
    <w:rsid w:val="0013000B"/>
    <w:rsid w:val="0013004C"/>
    <w:rsid w:val="00130AEA"/>
    <w:rsid w:val="00130B18"/>
    <w:rsid w:val="00130FDA"/>
    <w:rsid w:val="00131DB9"/>
    <w:rsid w:val="00132757"/>
    <w:rsid w:val="00133702"/>
    <w:rsid w:val="00134E52"/>
    <w:rsid w:val="00135719"/>
    <w:rsid w:val="001361C4"/>
    <w:rsid w:val="00136EA2"/>
    <w:rsid w:val="00140663"/>
    <w:rsid w:val="001406C1"/>
    <w:rsid w:val="00145881"/>
    <w:rsid w:val="00146F92"/>
    <w:rsid w:val="00151E99"/>
    <w:rsid w:val="00152120"/>
    <w:rsid w:val="001530AA"/>
    <w:rsid w:val="0015502C"/>
    <w:rsid w:val="00155630"/>
    <w:rsid w:val="00155BAE"/>
    <w:rsid w:val="00160AD5"/>
    <w:rsid w:val="00161C87"/>
    <w:rsid w:val="00162076"/>
    <w:rsid w:val="00163C3D"/>
    <w:rsid w:val="0016533E"/>
    <w:rsid w:val="00165645"/>
    <w:rsid w:val="00165ECA"/>
    <w:rsid w:val="00165FAB"/>
    <w:rsid w:val="00166110"/>
    <w:rsid w:val="00166DC5"/>
    <w:rsid w:val="00167478"/>
    <w:rsid w:val="001714A4"/>
    <w:rsid w:val="00171888"/>
    <w:rsid w:val="001758BE"/>
    <w:rsid w:val="00176852"/>
    <w:rsid w:val="0017762C"/>
    <w:rsid w:val="00177E01"/>
    <w:rsid w:val="001809CC"/>
    <w:rsid w:val="00180B68"/>
    <w:rsid w:val="00185B28"/>
    <w:rsid w:val="00185FC3"/>
    <w:rsid w:val="00186C12"/>
    <w:rsid w:val="001870AE"/>
    <w:rsid w:val="00190FC4"/>
    <w:rsid w:val="00191EDC"/>
    <w:rsid w:val="001929CC"/>
    <w:rsid w:val="00193ACF"/>
    <w:rsid w:val="00194663"/>
    <w:rsid w:val="0019541B"/>
    <w:rsid w:val="00195DD8"/>
    <w:rsid w:val="00196720"/>
    <w:rsid w:val="00196FAC"/>
    <w:rsid w:val="001979DB"/>
    <w:rsid w:val="00197CEA"/>
    <w:rsid w:val="001A0731"/>
    <w:rsid w:val="001A1574"/>
    <w:rsid w:val="001A1A27"/>
    <w:rsid w:val="001A1D4C"/>
    <w:rsid w:val="001A20A9"/>
    <w:rsid w:val="001A29FE"/>
    <w:rsid w:val="001A34F4"/>
    <w:rsid w:val="001A3AC8"/>
    <w:rsid w:val="001A404B"/>
    <w:rsid w:val="001A503C"/>
    <w:rsid w:val="001A5208"/>
    <w:rsid w:val="001A55F3"/>
    <w:rsid w:val="001A5C00"/>
    <w:rsid w:val="001A5C93"/>
    <w:rsid w:val="001A5EEA"/>
    <w:rsid w:val="001B00BB"/>
    <w:rsid w:val="001B0124"/>
    <w:rsid w:val="001B0F37"/>
    <w:rsid w:val="001B1AC6"/>
    <w:rsid w:val="001B2297"/>
    <w:rsid w:val="001B2918"/>
    <w:rsid w:val="001B414F"/>
    <w:rsid w:val="001B41AF"/>
    <w:rsid w:val="001B430C"/>
    <w:rsid w:val="001B4676"/>
    <w:rsid w:val="001B4D56"/>
    <w:rsid w:val="001B4DD9"/>
    <w:rsid w:val="001B62A8"/>
    <w:rsid w:val="001B719D"/>
    <w:rsid w:val="001C005D"/>
    <w:rsid w:val="001C18C2"/>
    <w:rsid w:val="001C1ABA"/>
    <w:rsid w:val="001C253A"/>
    <w:rsid w:val="001C2F9B"/>
    <w:rsid w:val="001C30D7"/>
    <w:rsid w:val="001C36F1"/>
    <w:rsid w:val="001C5D4D"/>
    <w:rsid w:val="001C6061"/>
    <w:rsid w:val="001C648E"/>
    <w:rsid w:val="001C67AA"/>
    <w:rsid w:val="001C796D"/>
    <w:rsid w:val="001D171B"/>
    <w:rsid w:val="001D1BFB"/>
    <w:rsid w:val="001D3676"/>
    <w:rsid w:val="001D398C"/>
    <w:rsid w:val="001D4181"/>
    <w:rsid w:val="001D42FB"/>
    <w:rsid w:val="001D4FF1"/>
    <w:rsid w:val="001D6C29"/>
    <w:rsid w:val="001D6F20"/>
    <w:rsid w:val="001E0025"/>
    <w:rsid w:val="001E02C6"/>
    <w:rsid w:val="001E2111"/>
    <w:rsid w:val="001E2404"/>
    <w:rsid w:val="001E29C0"/>
    <w:rsid w:val="001E2CC0"/>
    <w:rsid w:val="001E34CC"/>
    <w:rsid w:val="001E389F"/>
    <w:rsid w:val="001E3D28"/>
    <w:rsid w:val="001E59FB"/>
    <w:rsid w:val="001F0639"/>
    <w:rsid w:val="001F07C0"/>
    <w:rsid w:val="001F0BF6"/>
    <w:rsid w:val="001F1315"/>
    <w:rsid w:val="001F1511"/>
    <w:rsid w:val="001F2101"/>
    <w:rsid w:val="001F2855"/>
    <w:rsid w:val="001F2882"/>
    <w:rsid w:val="001F4879"/>
    <w:rsid w:val="001F5492"/>
    <w:rsid w:val="001F579B"/>
    <w:rsid w:val="001F688C"/>
    <w:rsid w:val="00201608"/>
    <w:rsid w:val="002016D1"/>
    <w:rsid w:val="002019AB"/>
    <w:rsid w:val="0020271C"/>
    <w:rsid w:val="00203AB5"/>
    <w:rsid w:val="00204ACD"/>
    <w:rsid w:val="00211375"/>
    <w:rsid w:val="00211F00"/>
    <w:rsid w:val="002122F9"/>
    <w:rsid w:val="002127DE"/>
    <w:rsid w:val="002128E9"/>
    <w:rsid w:val="002131B9"/>
    <w:rsid w:val="002150B4"/>
    <w:rsid w:val="0021573C"/>
    <w:rsid w:val="00216193"/>
    <w:rsid w:val="002166E3"/>
    <w:rsid w:val="00217377"/>
    <w:rsid w:val="00221D8C"/>
    <w:rsid w:val="0022201F"/>
    <w:rsid w:val="002224F4"/>
    <w:rsid w:val="00225374"/>
    <w:rsid w:val="00227B40"/>
    <w:rsid w:val="00227DF7"/>
    <w:rsid w:val="00230BCF"/>
    <w:rsid w:val="00232305"/>
    <w:rsid w:val="00233242"/>
    <w:rsid w:val="00234E8D"/>
    <w:rsid w:val="00235C2C"/>
    <w:rsid w:val="00235C9A"/>
    <w:rsid w:val="002372E6"/>
    <w:rsid w:val="0024000B"/>
    <w:rsid w:val="00240CBE"/>
    <w:rsid w:val="0024158D"/>
    <w:rsid w:val="00242029"/>
    <w:rsid w:val="002427B4"/>
    <w:rsid w:val="00242EA5"/>
    <w:rsid w:val="002439C2"/>
    <w:rsid w:val="002454BD"/>
    <w:rsid w:val="00246670"/>
    <w:rsid w:val="00246A77"/>
    <w:rsid w:val="00246AB4"/>
    <w:rsid w:val="00246D60"/>
    <w:rsid w:val="00250448"/>
    <w:rsid w:val="0025090B"/>
    <w:rsid w:val="0025241A"/>
    <w:rsid w:val="002530C3"/>
    <w:rsid w:val="002547EA"/>
    <w:rsid w:val="00255F78"/>
    <w:rsid w:val="00257C4F"/>
    <w:rsid w:val="002626D3"/>
    <w:rsid w:val="00262B90"/>
    <w:rsid w:val="002636AB"/>
    <w:rsid w:val="00263FA4"/>
    <w:rsid w:val="00264450"/>
    <w:rsid w:val="002650AB"/>
    <w:rsid w:val="00266932"/>
    <w:rsid w:val="00266A32"/>
    <w:rsid w:val="00267CC5"/>
    <w:rsid w:val="00267CFD"/>
    <w:rsid w:val="00270B0B"/>
    <w:rsid w:val="0027326C"/>
    <w:rsid w:val="00273D1B"/>
    <w:rsid w:val="00274B50"/>
    <w:rsid w:val="00274F4A"/>
    <w:rsid w:val="002752F1"/>
    <w:rsid w:val="0027547C"/>
    <w:rsid w:val="0027653D"/>
    <w:rsid w:val="00276651"/>
    <w:rsid w:val="00277BC5"/>
    <w:rsid w:val="00280053"/>
    <w:rsid w:val="00280A65"/>
    <w:rsid w:val="00282773"/>
    <w:rsid w:val="00282A2B"/>
    <w:rsid w:val="002842CA"/>
    <w:rsid w:val="00286644"/>
    <w:rsid w:val="0028776B"/>
    <w:rsid w:val="0029067D"/>
    <w:rsid w:val="002910D0"/>
    <w:rsid w:val="002916FD"/>
    <w:rsid w:val="002919ED"/>
    <w:rsid w:val="00291D49"/>
    <w:rsid w:val="00292AE0"/>
    <w:rsid w:val="00293151"/>
    <w:rsid w:val="002934E4"/>
    <w:rsid w:val="00295C50"/>
    <w:rsid w:val="00295D2E"/>
    <w:rsid w:val="00296B48"/>
    <w:rsid w:val="00296CAD"/>
    <w:rsid w:val="00297B01"/>
    <w:rsid w:val="002A2252"/>
    <w:rsid w:val="002A2269"/>
    <w:rsid w:val="002A3047"/>
    <w:rsid w:val="002A305D"/>
    <w:rsid w:val="002A39EA"/>
    <w:rsid w:val="002A4D83"/>
    <w:rsid w:val="002A5070"/>
    <w:rsid w:val="002A545A"/>
    <w:rsid w:val="002A6170"/>
    <w:rsid w:val="002A61E1"/>
    <w:rsid w:val="002A6CAF"/>
    <w:rsid w:val="002B0908"/>
    <w:rsid w:val="002B09B3"/>
    <w:rsid w:val="002B0F0E"/>
    <w:rsid w:val="002B117C"/>
    <w:rsid w:val="002B1C21"/>
    <w:rsid w:val="002B2009"/>
    <w:rsid w:val="002B2038"/>
    <w:rsid w:val="002B234C"/>
    <w:rsid w:val="002B2730"/>
    <w:rsid w:val="002B2A4D"/>
    <w:rsid w:val="002B3DBC"/>
    <w:rsid w:val="002B3E40"/>
    <w:rsid w:val="002B4F55"/>
    <w:rsid w:val="002C15F3"/>
    <w:rsid w:val="002C1A7A"/>
    <w:rsid w:val="002C22A9"/>
    <w:rsid w:val="002C2763"/>
    <w:rsid w:val="002C38FD"/>
    <w:rsid w:val="002C445A"/>
    <w:rsid w:val="002C487B"/>
    <w:rsid w:val="002C4A6D"/>
    <w:rsid w:val="002C5A95"/>
    <w:rsid w:val="002C7D1A"/>
    <w:rsid w:val="002D0D4E"/>
    <w:rsid w:val="002D0E73"/>
    <w:rsid w:val="002D1444"/>
    <w:rsid w:val="002D1724"/>
    <w:rsid w:val="002D2BC1"/>
    <w:rsid w:val="002D2C82"/>
    <w:rsid w:val="002D338D"/>
    <w:rsid w:val="002D4844"/>
    <w:rsid w:val="002D4B53"/>
    <w:rsid w:val="002D5E24"/>
    <w:rsid w:val="002D7483"/>
    <w:rsid w:val="002D7E55"/>
    <w:rsid w:val="002D7FF2"/>
    <w:rsid w:val="002E01BF"/>
    <w:rsid w:val="002E0A54"/>
    <w:rsid w:val="002E1E8D"/>
    <w:rsid w:val="002E2227"/>
    <w:rsid w:val="002E3534"/>
    <w:rsid w:val="002E392D"/>
    <w:rsid w:val="002E4CFC"/>
    <w:rsid w:val="002E5026"/>
    <w:rsid w:val="002E71EB"/>
    <w:rsid w:val="002E7729"/>
    <w:rsid w:val="002E7AD8"/>
    <w:rsid w:val="002E7B00"/>
    <w:rsid w:val="002E7D48"/>
    <w:rsid w:val="002F016B"/>
    <w:rsid w:val="002F096E"/>
    <w:rsid w:val="002F0E94"/>
    <w:rsid w:val="002F20BA"/>
    <w:rsid w:val="002F3163"/>
    <w:rsid w:val="002F5E59"/>
    <w:rsid w:val="002F6313"/>
    <w:rsid w:val="002F692E"/>
    <w:rsid w:val="002F753C"/>
    <w:rsid w:val="00301247"/>
    <w:rsid w:val="00302399"/>
    <w:rsid w:val="00302999"/>
    <w:rsid w:val="00303B1E"/>
    <w:rsid w:val="00303DF5"/>
    <w:rsid w:val="00304BBE"/>
    <w:rsid w:val="00304F60"/>
    <w:rsid w:val="00305AB1"/>
    <w:rsid w:val="00305F78"/>
    <w:rsid w:val="00307300"/>
    <w:rsid w:val="00307FBB"/>
    <w:rsid w:val="0031243C"/>
    <w:rsid w:val="0031276F"/>
    <w:rsid w:val="003131CF"/>
    <w:rsid w:val="0031384F"/>
    <w:rsid w:val="00315ECF"/>
    <w:rsid w:val="00316005"/>
    <w:rsid w:val="00316084"/>
    <w:rsid w:val="00316F56"/>
    <w:rsid w:val="0032005A"/>
    <w:rsid w:val="0032040A"/>
    <w:rsid w:val="0033191B"/>
    <w:rsid w:val="00332296"/>
    <w:rsid w:val="00333AE6"/>
    <w:rsid w:val="00334EE0"/>
    <w:rsid w:val="00335B35"/>
    <w:rsid w:val="003360D7"/>
    <w:rsid w:val="00336550"/>
    <w:rsid w:val="00341553"/>
    <w:rsid w:val="00341661"/>
    <w:rsid w:val="0034326D"/>
    <w:rsid w:val="00343304"/>
    <w:rsid w:val="003443F9"/>
    <w:rsid w:val="00345164"/>
    <w:rsid w:val="003453D7"/>
    <w:rsid w:val="00346351"/>
    <w:rsid w:val="0035072B"/>
    <w:rsid w:val="003507A1"/>
    <w:rsid w:val="003508D2"/>
    <w:rsid w:val="00352E3F"/>
    <w:rsid w:val="00353570"/>
    <w:rsid w:val="003536F8"/>
    <w:rsid w:val="003550D6"/>
    <w:rsid w:val="00357F0C"/>
    <w:rsid w:val="00357F6D"/>
    <w:rsid w:val="003631F8"/>
    <w:rsid w:val="003633EB"/>
    <w:rsid w:val="00364B44"/>
    <w:rsid w:val="00364BF6"/>
    <w:rsid w:val="00365600"/>
    <w:rsid w:val="00366EB5"/>
    <w:rsid w:val="003700BC"/>
    <w:rsid w:val="00371435"/>
    <w:rsid w:val="00373127"/>
    <w:rsid w:val="00373778"/>
    <w:rsid w:val="00375488"/>
    <w:rsid w:val="003768AB"/>
    <w:rsid w:val="003768CB"/>
    <w:rsid w:val="003768D8"/>
    <w:rsid w:val="00376B9A"/>
    <w:rsid w:val="0037798D"/>
    <w:rsid w:val="00380EDD"/>
    <w:rsid w:val="00381848"/>
    <w:rsid w:val="003826AF"/>
    <w:rsid w:val="00384D6F"/>
    <w:rsid w:val="00385FA7"/>
    <w:rsid w:val="003862E1"/>
    <w:rsid w:val="0038792F"/>
    <w:rsid w:val="00390733"/>
    <w:rsid w:val="00390BF8"/>
    <w:rsid w:val="00391453"/>
    <w:rsid w:val="00392CF9"/>
    <w:rsid w:val="003934A4"/>
    <w:rsid w:val="00394043"/>
    <w:rsid w:val="0039492F"/>
    <w:rsid w:val="0039501C"/>
    <w:rsid w:val="0039541D"/>
    <w:rsid w:val="003A0BC8"/>
    <w:rsid w:val="003A0C4B"/>
    <w:rsid w:val="003A0D02"/>
    <w:rsid w:val="003A111B"/>
    <w:rsid w:val="003A1F21"/>
    <w:rsid w:val="003A24A5"/>
    <w:rsid w:val="003A2DEE"/>
    <w:rsid w:val="003A31E7"/>
    <w:rsid w:val="003A329C"/>
    <w:rsid w:val="003A5885"/>
    <w:rsid w:val="003A6413"/>
    <w:rsid w:val="003A67E8"/>
    <w:rsid w:val="003A79DF"/>
    <w:rsid w:val="003B124D"/>
    <w:rsid w:val="003B13C5"/>
    <w:rsid w:val="003B230E"/>
    <w:rsid w:val="003B4D81"/>
    <w:rsid w:val="003B66C0"/>
    <w:rsid w:val="003C11FB"/>
    <w:rsid w:val="003C2445"/>
    <w:rsid w:val="003C30FD"/>
    <w:rsid w:val="003C3233"/>
    <w:rsid w:val="003C3925"/>
    <w:rsid w:val="003C44C1"/>
    <w:rsid w:val="003C4778"/>
    <w:rsid w:val="003C58CD"/>
    <w:rsid w:val="003C5B37"/>
    <w:rsid w:val="003D0C5C"/>
    <w:rsid w:val="003D0E9E"/>
    <w:rsid w:val="003D10A7"/>
    <w:rsid w:val="003D2376"/>
    <w:rsid w:val="003D2D9D"/>
    <w:rsid w:val="003D31BB"/>
    <w:rsid w:val="003D3CF4"/>
    <w:rsid w:val="003D3EDE"/>
    <w:rsid w:val="003D440A"/>
    <w:rsid w:val="003D6310"/>
    <w:rsid w:val="003D673B"/>
    <w:rsid w:val="003D68CD"/>
    <w:rsid w:val="003E0BB8"/>
    <w:rsid w:val="003E12C9"/>
    <w:rsid w:val="003E248A"/>
    <w:rsid w:val="003E2E4B"/>
    <w:rsid w:val="003E769A"/>
    <w:rsid w:val="003F03DD"/>
    <w:rsid w:val="003F131B"/>
    <w:rsid w:val="003F2864"/>
    <w:rsid w:val="003F4249"/>
    <w:rsid w:val="003F4673"/>
    <w:rsid w:val="003F4ABC"/>
    <w:rsid w:val="003F53EA"/>
    <w:rsid w:val="003F6AAA"/>
    <w:rsid w:val="003F749D"/>
    <w:rsid w:val="003F7641"/>
    <w:rsid w:val="003F7E41"/>
    <w:rsid w:val="0040015E"/>
    <w:rsid w:val="004039C7"/>
    <w:rsid w:val="00403F5E"/>
    <w:rsid w:val="00404947"/>
    <w:rsid w:val="00405263"/>
    <w:rsid w:val="004071C8"/>
    <w:rsid w:val="00407BA2"/>
    <w:rsid w:val="00411275"/>
    <w:rsid w:val="00411CA3"/>
    <w:rsid w:val="0041296A"/>
    <w:rsid w:val="00412F81"/>
    <w:rsid w:val="00412FED"/>
    <w:rsid w:val="00413311"/>
    <w:rsid w:val="00414BFB"/>
    <w:rsid w:val="00416B45"/>
    <w:rsid w:val="00416FEB"/>
    <w:rsid w:val="0041770E"/>
    <w:rsid w:val="004211B9"/>
    <w:rsid w:val="0042192F"/>
    <w:rsid w:val="004237A9"/>
    <w:rsid w:val="004251A7"/>
    <w:rsid w:val="0042578E"/>
    <w:rsid w:val="004279C7"/>
    <w:rsid w:val="0043004F"/>
    <w:rsid w:val="004301DE"/>
    <w:rsid w:val="00432AB8"/>
    <w:rsid w:val="00433BC0"/>
    <w:rsid w:val="0043408B"/>
    <w:rsid w:val="00435E85"/>
    <w:rsid w:val="00437866"/>
    <w:rsid w:val="0044026A"/>
    <w:rsid w:val="004406F8"/>
    <w:rsid w:val="004415F9"/>
    <w:rsid w:val="00441BDC"/>
    <w:rsid w:val="0044265F"/>
    <w:rsid w:val="0044617E"/>
    <w:rsid w:val="004462FB"/>
    <w:rsid w:val="00446FBD"/>
    <w:rsid w:val="00447D98"/>
    <w:rsid w:val="004509EB"/>
    <w:rsid w:val="00451259"/>
    <w:rsid w:val="0045242F"/>
    <w:rsid w:val="00452FC5"/>
    <w:rsid w:val="00453F91"/>
    <w:rsid w:val="004545D6"/>
    <w:rsid w:val="00454621"/>
    <w:rsid w:val="004554B0"/>
    <w:rsid w:val="00456CD0"/>
    <w:rsid w:val="0046248B"/>
    <w:rsid w:val="00466706"/>
    <w:rsid w:val="00466DE7"/>
    <w:rsid w:val="00467791"/>
    <w:rsid w:val="00471C49"/>
    <w:rsid w:val="004720BD"/>
    <w:rsid w:val="00473DE2"/>
    <w:rsid w:val="00477B53"/>
    <w:rsid w:val="00477FA3"/>
    <w:rsid w:val="00480DE5"/>
    <w:rsid w:val="004823D2"/>
    <w:rsid w:val="004845A4"/>
    <w:rsid w:val="00485AFA"/>
    <w:rsid w:val="0048603E"/>
    <w:rsid w:val="00492335"/>
    <w:rsid w:val="00493428"/>
    <w:rsid w:val="004937CC"/>
    <w:rsid w:val="004941E7"/>
    <w:rsid w:val="004954F3"/>
    <w:rsid w:val="00495650"/>
    <w:rsid w:val="0049621A"/>
    <w:rsid w:val="00496256"/>
    <w:rsid w:val="00496E15"/>
    <w:rsid w:val="00497FEB"/>
    <w:rsid w:val="004A075E"/>
    <w:rsid w:val="004A1061"/>
    <w:rsid w:val="004A1246"/>
    <w:rsid w:val="004A3D86"/>
    <w:rsid w:val="004A438B"/>
    <w:rsid w:val="004A44BB"/>
    <w:rsid w:val="004A45B0"/>
    <w:rsid w:val="004A4F50"/>
    <w:rsid w:val="004A5CA3"/>
    <w:rsid w:val="004A6965"/>
    <w:rsid w:val="004A7BC6"/>
    <w:rsid w:val="004B3AB0"/>
    <w:rsid w:val="004B3DEE"/>
    <w:rsid w:val="004B4906"/>
    <w:rsid w:val="004B4DF5"/>
    <w:rsid w:val="004B5BEA"/>
    <w:rsid w:val="004B64E5"/>
    <w:rsid w:val="004B738F"/>
    <w:rsid w:val="004C06DE"/>
    <w:rsid w:val="004C08F2"/>
    <w:rsid w:val="004C135E"/>
    <w:rsid w:val="004C142D"/>
    <w:rsid w:val="004C15B8"/>
    <w:rsid w:val="004C207B"/>
    <w:rsid w:val="004C251C"/>
    <w:rsid w:val="004C38BF"/>
    <w:rsid w:val="004C39EA"/>
    <w:rsid w:val="004C4007"/>
    <w:rsid w:val="004C438E"/>
    <w:rsid w:val="004C5400"/>
    <w:rsid w:val="004D01A3"/>
    <w:rsid w:val="004D021A"/>
    <w:rsid w:val="004D063B"/>
    <w:rsid w:val="004D12F9"/>
    <w:rsid w:val="004D1888"/>
    <w:rsid w:val="004D19CD"/>
    <w:rsid w:val="004D1AA3"/>
    <w:rsid w:val="004D23D7"/>
    <w:rsid w:val="004D3423"/>
    <w:rsid w:val="004D3B1A"/>
    <w:rsid w:val="004D497B"/>
    <w:rsid w:val="004D4A81"/>
    <w:rsid w:val="004D5D02"/>
    <w:rsid w:val="004D6766"/>
    <w:rsid w:val="004E013E"/>
    <w:rsid w:val="004E1E4C"/>
    <w:rsid w:val="004E3B82"/>
    <w:rsid w:val="004E6D36"/>
    <w:rsid w:val="004E7DBB"/>
    <w:rsid w:val="004F1693"/>
    <w:rsid w:val="004F1812"/>
    <w:rsid w:val="004F22BA"/>
    <w:rsid w:val="004F2418"/>
    <w:rsid w:val="004F3A38"/>
    <w:rsid w:val="004F4C8C"/>
    <w:rsid w:val="004F5E20"/>
    <w:rsid w:val="004F6212"/>
    <w:rsid w:val="004F73DF"/>
    <w:rsid w:val="00500737"/>
    <w:rsid w:val="005010B3"/>
    <w:rsid w:val="00501441"/>
    <w:rsid w:val="00502AD0"/>
    <w:rsid w:val="00503C89"/>
    <w:rsid w:val="005051A4"/>
    <w:rsid w:val="0050586D"/>
    <w:rsid w:val="0050630F"/>
    <w:rsid w:val="005102FC"/>
    <w:rsid w:val="00510833"/>
    <w:rsid w:val="005110A6"/>
    <w:rsid w:val="005138B6"/>
    <w:rsid w:val="00514240"/>
    <w:rsid w:val="0051464A"/>
    <w:rsid w:val="005150D5"/>
    <w:rsid w:val="0051551F"/>
    <w:rsid w:val="0051645D"/>
    <w:rsid w:val="00517C6A"/>
    <w:rsid w:val="00520147"/>
    <w:rsid w:val="00521336"/>
    <w:rsid w:val="00521E60"/>
    <w:rsid w:val="0052292D"/>
    <w:rsid w:val="00523694"/>
    <w:rsid w:val="0052369B"/>
    <w:rsid w:val="00524B45"/>
    <w:rsid w:val="00525C16"/>
    <w:rsid w:val="00526BC5"/>
    <w:rsid w:val="00526D3A"/>
    <w:rsid w:val="00526E2A"/>
    <w:rsid w:val="0052723D"/>
    <w:rsid w:val="00527E6F"/>
    <w:rsid w:val="005311E8"/>
    <w:rsid w:val="005331B9"/>
    <w:rsid w:val="00533FE6"/>
    <w:rsid w:val="005348A9"/>
    <w:rsid w:val="00534F19"/>
    <w:rsid w:val="005352E7"/>
    <w:rsid w:val="00537745"/>
    <w:rsid w:val="00537EDF"/>
    <w:rsid w:val="005407ED"/>
    <w:rsid w:val="00540C23"/>
    <w:rsid w:val="00542B79"/>
    <w:rsid w:val="00542C3E"/>
    <w:rsid w:val="00546183"/>
    <w:rsid w:val="00546A27"/>
    <w:rsid w:val="005471C8"/>
    <w:rsid w:val="00550BAA"/>
    <w:rsid w:val="00551BCE"/>
    <w:rsid w:val="00552983"/>
    <w:rsid w:val="0055298E"/>
    <w:rsid w:val="005529B6"/>
    <w:rsid w:val="00553766"/>
    <w:rsid w:val="0055401F"/>
    <w:rsid w:val="005544D4"/>
    <w:rsid w:val="0055453F"/>
    <w:rsid w:val="005551BD"/>
    <w:rsid w:val="00555366"/>
    <w:rsid w:val="00557817"/>
    <w:rsid w:val="00562685"/>
    <w:rsid w:val="0056369C"/>
    <w:rsid w:val="005663FF"/>
    <w:rsid w:val="0056707E"/>
    <w:rsid w:val="00567536"/>
    <w:rsid w:val="0057034B"/>
    <w:rsid w:val="00571488"/>
    <w:rsid w:val="005720F3"/>
    <w:rsid w:val="00573E1B"/>
    <w:rsid w:val="00573F41"/>
    <w:rsid w:val="00575563"/>
    <w:rsid w:val="00576274"/>
    <w:rsid w:val="00576794"/>
    <w:rsid w:val="00576C94"/>
    <w:rsid w:val="00576D35"/>
    <w:rsid w:val="00577A92"/>
    <w:rsid w:val="005804FF"/>
    <w:rsid w:val="0058128B"/>
    <w:rsid w:val="00581855"/>
    <w:rsid w:val="00581EC6"/>
    <w:rsid w:val="00583F50"/>
    <w:rsid w:val="00584883"/>
    <w:rsid w:val="0058494B"/>
    <w:rsid w:val="00584D01"/>
    <w:rsid w:val="0058524B"/>
    <w:rsid w:val="005855AF"/>
    <w:rsid w:val="00585AFD"/>
    <w:rsid w:val="00586B18"/>
    <w:rsid w:val="00586C4D"/>
    <w:rsid w:val="0058713A"/>
    <w:rsid w:val="005900CF"/>
    <w:rsid w:val="005901DA"/>
    <w:rsid w:val="005905BC"/>
    <w:rsid w:val="00591020"/>
    <w:rsid w:val="005923FA"/>
    <w:rsid w:val="00593356"/>
    <w:rsid w:val="00593803"/>
    <w:rsid w:val="00595507"/>
    <w:rsid w:val="0059632B"/>
    <w:rsid w:val="00596C08"/>
    <w:rsid w:val="00597111"/>
    <w:rsid w:val="00597119"/>
    <w:rsid w:val="005971B0"/>
    <w:rsid w:val="00597AA7"/>
    <w:rsid w:val="005A01DB"/>
    <w:rsid w:val="005A16EE"/>
    <w:rsid w:val="005A1FE3"/>
    <w:rsid w:val="005A298A"/>
    <w:rsid w:val="005A34A1"/>
    <w:rsid w:val="005A4282"/>
    <w:rsid w:val="005A50CD"/>
    <w:rsid w:val="005A595D"/>
    <w:rsid w:val="005A5DD3"/>
    <w:rsid w:val="005A68B7"/>
    <w:rsid w:val="005A7B96"/>
    <w:rsid w:val="005B1A5D"/>
    <w:rsid w:val="005B48AC"/>
    <w:rsid w:val="005B4F92"/>
    <w:rsid w:val="005B6E03"/>
    <w:rsid w:val="005C245E"/>
    <w:rsid w:val="005C36E7"/>
    <w:rsid w:val="005C426F"/>
    <w:rsid w:val="005C4360"/>
    <w:rsid w:val="005D07A1"/>
    <w:rsid w:val="005D0B28"/>
    <w:rsid w:val="005D1C73"/>
    <w:rsid w:val="005D257C"/>
    <w:rsid w:val="005D2B90"/>
    <w:rsid w:val="005D331D"/>
    <w:rsid w:val="005D3750"/>
    <w:rsid w:val="005D3898"/>
    <w:rsid w:val="005D50D4"/>
    <w:rsid w:val="005D57A4"/>
    <w:rsid w:val="005D6524"/>
    <w:rsid w:val="005D74FD"/>
    <w:rsid w:val="005D7745"/>
    <w:rsid w:val="005E0C50"/>
    <w:rsid w:val="005E1316"/>
    <w:rsid w:val="005E1622"/>
    <w:rsid w:val="005E1B97"/>
    <w:rsid w:val="005E40A9"/>
    <w:rsid w:val="005E5173"/>
    <w:rsid w:val="005E63F4"/>
    <w:rsid w:val="005E721B"/>
    <w:rsid w:val="005E7284"/>
    <w:rsid w:val="005F051E"/>
    <w:rsid w:val="005F0EF0"/>
    <w:rsid w:val="005F187B"/>
    <w:rsid w:val="005F3B09"/>
    <w:rsid w:val="005F5132"/>
    <w:rsid w:val="005F54EF"/>
    <w:rsid w:val="005F5E21"/>
    <w:rsid w:val="005F743B"/>
    <w:rsid w:val="00601375"/>
    <w:rsid w:val="00603C96"/>
    <w:rsid w:val="00604869"/>
    <w:rsid w:val="00605AC3"/>
    <w:rsid w:val="00607D9E"/>
    <w:rsid w:val="00611613"/>
    <w:rsid w:val="006125F0"/>
    <w:rsid w:val="00612AEA"/>
    <w:rsid w:val="00614AFC"/>
    <w:rsid w:val="006158DB"/>
    <w:rsid w:val="00615C20"/>
    <w:rsid w:val="00615F7D"/>
    <w:rsid w:val="006172E6"/>
    <w:rsid w:val="00620B48"/>
    <w:rsid w:val="00620E2D"/>
    <w:rsid w:val="00621015"/>
    <w:rsid w:val="00621353"/>
    <w:rsid w:val="00622FB3"/>
    <w:rsid w:val="00623253"/>
    <w:rsid w:val="00623854"/>
    <w:rsid w:val="00624616"/>
    <w:rsid w:val="006253E4"/>
    <w:rsid w:val="00625F38"/>
    <w:rsid w:val="00625F8E"/>
    <w:rsid w:val="0063121C"/>
    <w:rsid w:val="00633254"/>
    <w:rsid w:val="00633683"/>
    <w:rsid w:val="00633738"/>
    <w:rsid w:val="006342C1"/>
    <w:rsid w:val="00634FD4"/>
    <w:rsid w:val="00636349"/>
    <w:rsid w:val="006374A9"/>
    <w:rsid w:val="0064051A"/>
    <w:rsid w:val="00642392"/>
    <w:rsid w:val="00642917"/>
    <w:rsid w:val="006435A0"/>
    <w:rsid w:val="00643F05"/>
    <w:rsid w:val="006453DC"/>
    <w:rsid w:val="00645835"/>
    <w:rsid w:val="00645A0E"/>
    <w:rsid w:val="00646176"/>
    <w:rsid w:val="0064690A"/>
    <w:rsid w:val="00647A20"/>
    <w:rsid w:val="00647DEE"/>
    <w:rsid w:val="0065018E"/>
    <w:rsid w:val="00650BE8"/>
    <w:rsid w:val="00650C10"/>
    <w:rsid w:val="00650CFB"/>
    <w:rsid w:val="00653985"/>
    <w:rsid w:val="006564B8"/>
    <w:rsid w:val="0066125E"/>
    <w:rsid w:val="00661521"/>
    <w:rsid w:val="006616A7"/>
    <w:rsid w:val="006620D9"/>
    <w:rsid w:val="00663F68"/>
    <w:rsid w:val="006661A7"/>
    <w:rsid w:val="00666482"/>
    <w:rsid w:val="006700ED"/>
    <w:rsid w:val="006704D5"/>
    <w:rsid w:val="0067190B"/>
    <w:rsid w:val="00671EDC"/>
    <w:rsid w:val="0068113A"/>
    <w:rsid w:val="00685749"/>
    <w:rsid w:val="0068610F"/>
    <w:rsid w:val="006870F5"/>
    <w:rsid w:val="00687473"/>
    <w:rsid w:val="0068764D"/>
    <w:rsid w:val="00690045"/>
    <w:rsid w:val="006900D5"/>
    <w:rsid w:val="00691041"/>
    <w:rsid w:val="0069226D"/>
    <w:rsid w:val="006922D6"/>
    <w:rsid w:val="00692C44"/>
    <w:rsid w:val="00693629"/>
    <w:rsid w:val="00694282"/>
    <w:rsid w:val="00694650"/>
    <w:rsid w:val="00694F7F"/>
    <w:rsid w:val="00695938"/>
    <w:rsid w:val="006972A6"/>
    <w:rsid w:val="00697A72"/>
    <w:rsid w:val="006A2746"/>
    <w:rsid w:val="006A3B72"/>
    <w:rsid w:val="006A415B"/>
    <w:rsid w:val="006A5916"/>
    <w:rsid w:val="006A702D"/>
    <w:rsid w:val="006A7396"/>
    <w:rsid w:val="006A7BE3"/>
    <w:rsid w:val="006B0918"/>
    <w:rsid w:val="006B0BE6"/>
    <w:rsid w:val="006B0C38"/>
    <w:rsid w:val="006B189E"/>
    <w:rsid w:val="006B1E5F"/>
    <w:rsid w:val="006B256D"/>
    <w:rsid w:val="006B2C60"/>
    <w:rsid w:val="006B2CA3"/>
    <w:rsid w:val="006B2FAE"/>
    <w:rsid w:val="006B51D0"/>
    <w:rsid w:val="006B5844"/>
    <w:rsid w:val="006B5DF4"/>
    <w:rsid w:val="006B6414"/>
    <w:rsid w:val="006B706A"/>
    <w:rsid w:val="006C0116"/>
    <w:rsid w:val="006C2728"/>
    <w:rsid w:val="006C3156"/>
    <w:rsid w:val="006C74F0"/>
    <w:rsid w:val="006D0F2C"/>
    <w:rsid w:val="006D1284"/>
    <w:rsid w:val="006D18B5"/>
    <w:rsid w:val="006D4892"/>
    <w:rsid w:val="006D7FC2"/>
    <w:rsid w:val="006E1084"/>
    <w:rsid w:val="006E3D57"/>
    <w:rsid w:val="006E5D42"/>
    <w:rsid w:val="006E7625"/>
    <w:rsid w:val="006F0D0B"/>
    <w:rsid w:val="006F18D3"/>
    <w:rsid w:val="006F1B26"/>
    <w:rsid w:val="006F399B"/>
    <w:rsid w:val="006F45DE"/>
    <w:rsid w:val="006F57C6"/>
    <w:rsid w:val="00701421"/>
    <w:rsid w:val="00701B1F"/>
    <w:rsid w:val="00702066"/>
    <w:rsid w:val="007029D4"/>
    <w:rsid w:val="007031DB"/>
    <w:rsid w:val="00704368"/>
    <w:rsid w:val="00705ABB"/>
    <w:rsid w:val="00706EB7"/>
    <w:rsid w:val="00706ED4"/>
    <w:rsid w:val="007110DC"/>
    <w:rsid w:val="007111EC"/>
    <w:rsid w:val="00711648"/>
    <w:rsid w:val="0071231F"/>
    <w:rsid w:val="00713504"/>
    <w:rsid w:val="00716AA8"/>
    <w:rsid w:val="0072011B"/>
    <w:rsid w:val="007205E2"/>
    <w:rsid w:val="00720C78"/>
    <w:rsid w:val="0072226A"/>
    <w:rsid w:val="00722EB7"/>
    <w:rsid w:val="0072302E"/>
    <w:rsid w:val="00724025"/>
    <w:rsid w:val="00724351"/>
    <w:rsid w:val="00725D4F"/>
    <w:rsid w:val="0073084D"/>
    <w:rsid w:val="00730D72"/>
    <w:rsid w:val="00731365"/>
    <w:rsid w:val="007328B8"/>
    <w:rsid w:val="0073301E"/>
    <w:rsid w:val="007336D4"/>
    <w:rsid w:val="007420E7"/>
    <w:rsid w:val="00742C56"/>
    <w:rsid w:val="0074329C"/>
    <w:rsid w:val="00743BA3"/>
    <w:rsid w:val="007441D8"/>
    <w:rsid w:val="007445FC"/>
    <w:rsid w:val="00746F29"/>
    <w:rsid w:val="00747277"/>
    <w:rsid w:val="00750F77"/>
    <w:rsid w:val="00751646"/>
    <w:rsid w:val="007521B2"/>
    <w:rsid w:val="007535D6"/>
    <w:rsid w:val="0075413E"/>
    <w:rsid w:val="0075475A"/>
    <w:rsid w:val="00755CA9"/>
    <w:rsid w:val="00756D44"/>
    <w:rsid w:val="00760246"/>
    <w:rsid w:val="007610BA"/>
    <w:rsid w:val="00761407"/>
    <w:rsid w:val="007632DF"/>
    <w:rsid w:val="007649FF"/>
    <w:rsid w:val="00765998"/>
    <w:rsid w:val="00766B23"/>
    <w:rsid w:val="00770194"/>
    <w:rsid w:val="00771C15"/>
    <w:rsid w:val="007724F6"/>
    <w:rsid w:val="00772CCD"/>
    <w:rsid w:val="00773125"/>
    <w:rsid w:val="00773B22"/>
    <w:rsid w:val="00773CE1"/>
    <w:rsid w:val="0077477E"/>
    <w:rsid w:val="00781B74"/>
    <w:rsid w:val="00783A4D"/>
    <w:rsid w:val="00784DC8"/>
    <w:rsid w:val="00785CA1"/>
    <w:rsid w:val="00786B8D"/>
    <w:rsid w:val="007905BF"/>
    <w:rsid w:val="00791E89"/>
    <w:rsid w:val="007924D0"/>
    <w:rsid w:val="007934C5"/>
    <w:rsid w:val="0079354A"/>
    <w:rsid w:val="007950FC"/>
    <w:rsid w:val="00795714"/>
    <w:rsid w:val="00795E82"/>
    <w:rsid w:val="00797F9B"/>
    <w:rsid w:val="007A0F00"/>
    <w:rsid w:val="007A1138"/>
    <w:rsid w:val="007A25CE"/>
    <w:rsid w:val="007A3AB9"/>
    <w:rsid w:val="007A4A3C"/>
    <w:rsid w:val="007A504D"/>
    <w:rsid w:val="007A52B0"/>
    <w:rsid w:val="007A7B73"/>
    <w:rsid w:val="007B1987"/>
    <w:rsid w:val="007B4C78"/>
    <w:rsid w:val="007B5771"/>
    <w:rsid w:val="007B61AE"/>
    <w:rsid w:val="007B6F7A"/>
    <w:rsid w:val="007C129F"/>
    <w:rsid w:val="007C3793"/>
    <w:rsid w:val="007C4697"/>
    <w:rsid w:val="007C4E6F"/>
    <w:rsid w:val="007C72C8"/>
    <w:rsid w:val="007D0D11"/>
    <w:rsid w:val="007D3943"/>
    <w:rsid w:val="007D44E2"/>
    <w:rsid w:val="007D5000"/>
    <w:rsid w:val="007D5D5F"/>
    <w:rsid w:val="007D6A82"/>
    <w:rsid w:val="007E11A9"/>
    <w:rsid w:val="007E27C9"/>
    <w:rsid w:val="007E3E7D"/>
    <w:rsid w:val="007E50D6"/>
    <w:rsid w:val="007E5AB0"/>
    <w:rsid w:val="007E64C8"/>
    <w:rsid w:val="007E6F89"/>
    <w:rsid w:val="007E788A"/>
    <w:rsid w:val="007F036E"/>
    <w:rsid w:val="007F18F2"/>
    <w:rsid w:val="007F290D"/>
    <w:rsid w:val="007F2E58"/>
    <w:rsid w:val="007F30C5"/>
    <w:rsid w:val="007F37D0"/>
    <w:rsid w:val="007F3891"/>
    <w:rsid w:val="007F3A06"/>
    <w:rsid w:val="007F3AEE"/>
    <w:rsid w:val="007F525D"/>
    <w:rsid w:val="007F55BD"/>
    <w:rsid w:val="007F67D1"/>
    <w:rsid w:val="007F7712"/>
    <w:rsid w:val="00800AC4"/>
    <w:rsid w:val="00803140"/>
    <w:rsid w:val="00803F7D"/>
    <w:rsid w:val="008043AD"/>
    <w:rsid w:val="00806171"/>
    <w:rsid w:val="0080704C"/>
    <w:rsid w:val="00814507"/>
    <w:rsid w:val="00815186"/>
    <w:rsid w:val="008155A5"/>
    <w:rsid w:val="00815B72"/>
    <w:rsid w:val="0082043A"/>
    <w:rsid w:val="0082220F"/>
    <w:rsid w:val="00822A08"/>
    <w:rsid w:val="00822A13"/>
    <w:rsid w:val="00822F9B"/>
    <w:rsid w:val="00823339"/>
    <w:rsid w:val="00825194"/>
    <w:rsid w:val="00825C42"/>
    <w:rsid w:val="00825DEC"/>
    <w:rsid w:val="00826972"/>
    <w:rsid w:val="00827C7C"/>
    <w:rsid w:val="008312B2"/>
    <w:rsid w:val="00831D23"/>
    <w:rsid w:val="00833D7E"/>
    <w:rsid w:val="00833E7F"/>
    <w:rsid w:val="0083406F"/>
    <w:rsid w:val="00834534"/>
    <w:rsid w:val="00835BB5"/>
    <w:rsid w:val="008376EE"/>
    <w:rsid w:val="00841953"/>
    <w:rsid w:val="0084232C"/>
    <w:rsid w:val="0084269A"/>
    <w:rsid w:val="00842759"/>
    <w:rsid w:val="008430BB"/>
    <w:rsid w:val="0084359E"/>
    <w:rsid w:val="00843EF5"/>
    <w:rsid w:val="00843FE9"/>
    <w:rsid w:val="0084580D"/>
    <w:rsid w:val="00846AE2"/>
    <w:rsid w:val="00851F97"/>
    <w:rsid w:val="00853451"/>
    <w:rsid w:val="00854A5A"/>
    <w:rsid w:val="008569A1"/>
    <w:rsid w:val="00861E00"/>
    <w:rsid w:val="00862C10"/>
    <w:rsid w:val="00862E1F"/>
    <w:rsid w:val="00863182"/>
    <w:rsid w:val="008650C7"/>
    <w:rsid w:val="00866706"/>
    <w:rsid w:val="00867E0E"/>
    <w:rsid w:val="008707FF"/>
    <w:rsid w:val="00871152"/>
    <w:rsid w:val="0087128E"/>
    <w:rsid w:val="008723B2"/>
    <w:rsid w:val="00873E01"/>
    <w:rsid w:val="00873E69"/>
    <w:rsid w:val="00874916"/>
    <w:rsid w:val="008751C7"/>
    <w:rsid w:val="00877E61"/>
    <w:rsid w:val="008806BD"/>
    <w:rsid w:val="00880874"/>
    <w:rsid w:val="0088111D"/>
    <w:rsid w:val="0088184E"/>
    <w:rsid w:val="0088309B"/>
    <w:rsid w:val="00884FFA"/>
    <w:rsid w:val="0088510D"/>
    <w:rsid w:val="008871B5"/>
    <w:rsid w:val="008900D0"/>
    <w:rsid w:val="008916D5"/>
    <w:rsid w:val="008935C8"/>
    <w:rsid w:val="00893696"/>
    <w:rsid w:val="00893E32"/>
    <w:rsid w:val="0089407F"/>
    <w:rsid w:val="008A0D4B"/>
    <w:rsid w:val="008A201D"/>
    <w:rsid w:val="008A353D"/>
    <w:rsid w:val="008A3AEF"/>
    <w:rsid w:val="008A464C"/>
    <w:rsid w:val="008A467E"/>
    <w:rsid w:val="008A51A7"/>
    <w:rsid w:val="008B0A9F"/>
    <w:rsid w:val="008B3012"/>
    <w:rsid w:val="008B3355"/>
    <w:rsid w:val="008B3814"/>
    <w:rsid w:val="008B3915"/>
    <w:rsid w:val="008B4202"/>
    <w:rsid w:val="008B50D5"/>
    <w:rsid w:val="008B54AE"/>
    <w:rsid w:val="008B71BC"/>
    <w:rsid w:val="008C06C3"/>
    <w:rsid w:val="008C16E9"/>
    <w:rsid w:val="008C1D6C"/>
    <w:rsid w:val="008C27AB"/>
    <w:rsid w:val="008C370E"/>
    <w:rsid w:val="008C378B"/>
    <w:rsid w:val="008C387E"/>
    <w:rsid w:val="008C5261"/>
    <w:rsid w:val="008C5DBD"/>
    <w:rsid w:val="008C68EF"/>
    <w:rsid w:val="008C7149"/>
    <w:rsid w:val="008D0417"/>
    <w:rsid w:val="008D0F4A"/>
    <w:rsid w:val="008D1814"/>
    <w:rsid w:val="008D4333"/>
    <w:rsid w:val="008D532E"/>
    <w:rsid w:val="008D54D2"/>
    <w:rsid w:val="008D78E5"/>
    <w:rsid w:val="008D7B8C"/>
    <w:rsid w:val="008D7BE9"/>
    <w:rsid w:val="008E0444"/>
    <w:rsid w:val="008E0AB0"/>
    <w:rsid w:val="008E0C18"/>
    <w:rsid w:val="008E0FAF"/>
    <w:rsid w:val="008E1D3D"/>
    <w:rsid w:val="008E27B1"/>
    <w:rsid w:val="008E4869"/>
    <w:rsid w:val="008E5A07"/>
    <w:rsid w:val="008E5F00"/>
    <w:rsid w:val="008E6183"/>
    <w:rsid w:val="008E6784"/>
    <w:rsid w:val="008F13AF"/>
    <w:rsid w:val="008F1E1C"/>
    <w:rsid w:val="008F265F"/>
    <w:rsid w:val="008F5D9C"/>
    <w:rsid w:val="008F6742"/>
    <w:rsid w:val="008F67E8"/>
    <w:rsid w:val="008F6F5B"/>
    <w:rsid w:val="009021F6"/>
    <w:rsid w:val="00902FE3"/>
    <w:rsid w:val="009038F2"/>
    <w:rsid w:val="009043CF"/>
    <w:rsid w:val="00905255"/>
    <w:rsid w:val="00905B35"/>
    <w:rsid w:val="00906438"/>
    <w:rsid w:val="00910241"/>
    <w:rsid w:val="00910993"/>
    <w:rsid w:val="00910A2C"/>
    <w:rsid w:val="00910D4E"/>
    <w:rsid w:val="00911F87"/>
    <w:rsid w:val="00912442"/>
    <w:rsid w:val="00913678"/>
    <w:rsid w:val="0091491F"/>
    <w:rsid w:val="0091571E"/>
    <w:rsid w:val="009158C7"/>
    <w:rsid w:val="009160FA"/>
    <w:rsid w:val="009161E6"/>
    <w:rsid w:val="0091712A"/>
    <w:rsid w:val="00920340"/>
    <w:rsid w:val="0092114B"/>
    <w:rsid w:val="0092218C"/>
    <w:rsid w:val="0092358F"/>
    <w:rsid w:val="00923AE1"/>
    <w:rsid w:val="00925045"/>
    <w:rsid w:val="0092728F"/>
    <w:rsid w:val="00930FE6"/>
    <w:rsid w:val="009313DD"/>
    <w:rsid w:val="00931497"/>
    <w:rsid w:val="009314BB"/>
    <w:rsid w:val="00937D43"/>
    <w:rsid w:val="009412E7"/>
    <w:rsid w:val="00941D4D"/>
    <w:rsid w:val="00945227"/>
    <w:rsid w:val="00946DE0"/>
    <w:rsid w:val="00950DA4"/>
    <w:rsid w:val="00951119"/>
    <w:rsid w:val="00954D97"/>
    <w:rsid w:val="0095501E"/>
    <w:rsid w:val="009564F1"/>
    <w:rsid w:val="00956641"/>
    <w:rsid w:val="00963346"/>
    <w:rsid w:val="0096366A"/>
    <w:rsid w:val="0096380C"/>
    <w:rsid w:val="00965E25"/>
    <w:rsid w:val="00966233"/>
    <w:rsid w:val="00966369"/>
    <w:rsid w:val="00967437"/>
    <w:rsid w:val="00967B33"/>
    <w:rsid w:val="009716C7"/>
    <w:rsid w:val="00971E10"/>
    <w:rsid w:val="00971E31"/>
    <w:rsid w:val="0097232D"/>
    <w:rsid w:val="00973E49"/>
    <w:rsid w:val="00975303"/>
    <w:rsid w:val="00975391"/>
    <w:rsid w:val="00975AC8"/>
    <w:rsid w:val="00976E9F"/>
    <w:rsid w:val="00976F6F"/>
    <w:rsid w:val="00981AE0"/>
    <w:rsid w:val="009826E2"/>
    <w:rsid w:val="00984545"/>
    <w:rsid w:val="00986174"/>
    <w:rsid w:val="009869F7"/>
    <w:rsid w:val="00987139"/>
    <w:rsid w:val="0099296F"/>
    <w:rsid w:val="00996925"/>
    <w:rsid w:val="00997E06"/>
    <w:rsid w:val="00997E53"/>
    <w:rsid w:val="009A1677"/>
    <w:rsid w:val="009A1E2F"/>
    <w:rsid w:val="009A1E70"/>
    <w:rsid w:val="009A6DB9"/>
    <w:rsid w:val="009A7C10"/>
    <w:rsid w:val="009B1018"/>
    <w:rsid w:val="009B1F02"/>
    <w:rsid w:val="009B28E0"/>
    <w:rsid w:val="009B3484"/>
    <w:rsid w:val="009B41D5"/>
    <w:rsid w:val="009B49BA"/>
    <w:rsid w:val="009B568C"/>
    <w:rsid w:val="009B7AF1"/>
    <w:rsid w:val="009B7B44"/>
    <w:rsid w:val="009C0123"/>
    <w:rsid w:val="009C059A"/>
    <w:rsid w:val="009C0708"/>
    <w:rsid w:val="009C08CB"/>
    <w:rsid w:val="009C1610"/>
    <w:rsid w:val="009C1B47"/>
    <w:rsid w:val="009C2D55"/>
    <w:rsid w:val="009C3678"/>
    <w:rsid w:val="009C3D2E"/>
    <w:rsid w:val="009C3EB2"/>
    <w:rsid w:val="009C5D44"/>
    <w:rsid w:val="009C5E35"/>
    <w:rsid w:val="009C7283"/>
    <w:rsid w:val="009C76DD"/>
    <w:rsid w:val="009D058C"/>
    <w:rsid w:val="009D090E"/>
    <w:rsid w:val="009D0EA5"/>
    <w:rsid w:val="009D128B"/>
    <w:rsid w:val="009D2E23"/>
    <w:rsid w:val="009D7291"/>
    <w:rsid w:val="009D73AC"/>
    <w:rsid w:val="009E0C06"/>
    <w:rsid w:val="009E0D57"/>
    <w:rsid w:val="009E30C6"/>
    <w:rsid w:val="009E4723"/>
    <w:rsid w:val="009E580A"/>
    <w:rsid w:val="009E6E9A"/>
    <w:rsid w:val="009E7887"/>
    <w:rsid w:val="009F0F17"/>
    <w:rsid w:val="009F1C13"/>
    <w:rsid w:val="009F3788"/>
    <w:rsid w:val="009F4EE9"/>
    <w:rsid w:val="009F5BA7"/>
    <w:rsid w:val="009F6C2A"/>
    <w:rsid w:val="009F7B6C"/>
    <w:rsid w:val="009F7FCF"/>
    <w:rsid w:val="00A00E0C"/>
    <w:rsid w:val="00A01487"/>
    <w:rsid w:val="00A023F4"/>
    <w:rsid w:val="00A02995"/>
    <w:rsid w:val="00A04148"/>
    <w:rsid w:val="00A042E0"/>
    <w:rsid w:val="00A04928"/>
    <w:rsid w:val="00A04AAA"/>
    <w:rsid w:val="00A05EEA"/>
    <w:rsid w:val="00A065B6"/>
    <w:rsid w:val="00A06DD4"/>
    <w:rsid w:val="00A103CB"/>
    <w:rsid w:val="00A11981"/>
    <w:rsid w:val="00A12265"/>
    <w:rsid w:val="00A12956"/>
    <w:rsid w:val="00A141C9"/>
    <w:rsid w:val="00A143B4"/>
    <w:rsid w:val="00A14502"/>
    <w:rsid w:val="00A15401"/>
    <w:rsid w:val="00A15DB4"/>
    <w:rsid w:val="00A15E89"/>
    <w:rsid w:val="00A16834"/>
    <w:rsid w:val="00A2024E"/>
    <w:rsid w:val="00A20358"/>
    <w:rsid w:val="00A21908"/>
    <w:rsid w:val="00A21A31"/>
    <w:rsid w:val="00A256FF"/>
    <w:rsid w:val="00A25F53"/>
    <w:rsid w:val="00A2604E"/>
    <w:rsid w:val="00A275D5"/>
    <w:rsid w:val="00A30B19"/>
    <w:rsid w:val="00A30B37"/>
    <w:rsid w:val="00A30BAD"/>
    <w:rsid w:val="00A321A4"/>
    <w:rsid w:val="00A32278"/>
    <w:rsid w:val="00A3304A"/>
    <w:rsid w:val="00A40936"/>
    <w:rsid w:val="00A41536"/>
    <w:rsid w:val="00A41E8C"/>
    <w:rsid w:val="00A420A7"/>
    <w:rsid w:val="00A44016"/>
    <w:rsid w:val="00A454D7"/>
    <w:rsid w:val="00A4586D"/>
    <w:rsid w:val="00A464CA"/>
    <w:rsid w:val="00A50DC3"/>
    <w:rsid w:val="00A50E20"/>
    <w:rsid w:val="00A51ADB"/>
    <w:rsid w:val="00A5220B"/>
    <w:rsid w:val="00A52A71"/>
    <w:rsid w:val="00A53C1A"/>
    <w:rsid w:val="00A53D07"/>
    <w:rsid w:val="00A54646"/>
    <w:rsid w:val="00A56C52"/>
    <w:rsid w:val="00A57341"/>
    <w:rsid w:val="00A57563"/>
    <w:rsid w:val="00A57B74"/>
    <w:rsid w:val="00A60E11"/>
    <w:rsid w:val="00A60F36"/>
    <w:rsid w:val="00A61118"/>
    <w:rsid w:val="00A6208A"/>
    <w:rsid w:val="00A625B1"/>
    <w:rsid w:val="00A63260"/>
    <w:rsid w:val="00A634C5"/>
    <w:rsid w:val="00A70443"/>
    <w:rsid w:val="00A713DF"/>
    <w:rsid w:val="00A71F2F"/>
    <w:rsid w:val="00A72AFB"/>
    <w:rsid w:val="00A7319A"/>
    <w:rsid w:val="00A732BF"/>
    <w:rsid w:val="00A743DC"/>
    <w:rsid w:val="00A74559"/>
    <w:rsid w:val="00A7460B"/>
    <w:rsid w:val="00A75BCC"/>
    <w:rsid w:val="00A76781"/>
    <w:rsid w:val="00A77E2B"/>
    <w:rsid w:val="00A80B4F"/>
    <w:rsid w:val="00A814B5"/>
    <w:rsid w:val="00A825B6"/>
    <w:rsid w:val="00A83D9F"/>
    <w:rsid w:val="00A8685D"/>
    <w:rsid w:val="00A86CB9"/>
    <w:rsid w:val="00A86ED4"/>
    <w:rsid w:val="00A90A03"/>
    <w:rsid w:val="00A91834"/>
    <w:rsid w:val="00A93BF8"/>
    <w:rsid w:val="00A96683"/>
    <w:rsid w:val="00AA1389"/>
    <w:rsid w:val="00AA1963"/>
    <w:rsid w:val="00AA2E3D"/>
    <w:rsid w:val="00AA3137"/>
    <w:rsid w:val="00AA4062"/>
    <w:rsid w:val="00AA4509"/>
    <w:rsid w:val="00AA47AD"/>
    <w:rsid w:val="00AA55FA"/>
    <w:rsid w:val="00AA55FD"/>
    <w:rsid w:val="00AA56B0"/>
    <w:rsid w:val="00AA65B5"/>
    <w:rsid w:val="00AB0CC5"/>
    <w:rsid w:val="00AB1AB5"/>
    <w:rsid w:val="00AB38AB"/>
    <w:rsid w:val="00AB495B"/>
    <w:rsid w:val="00AB6337"/>
    <w:rsid w:val="00AC21BC"/>
    <w:rsid w:val="00AC221E"/>
    <w:rsid w:val="00AC6C6F"/>
    <w:rsid w:val="00AC77FE"/>
    <w:rsid w:val="00AD12BC"/>
    <w:rsid w:val="00AD1880"/>
    <w:rsid w:val="00AD1B36"/>
    <w:rsid w:val="00AD223F"/>
    <w:rsid w:val="00AD2B18"/>
    <w:rsid w:val="00AD3409"/>
    <w:rsid w:val="00AD3ED5"/>
    <w:rsid w:val="00AD431C"/>
    <w:rsid w:val="00AD5390"/>
    <w:rsid w:val="00AD692D"/>
    <w:rsid w:val="00AE0889"/>
    <w:rsid w:val="00AE08EC"/>
    <w:rsid w:val="00AE0F90"/>
    <w:rsid w:val="00AE25B5"/>
    <w:rsid w:val="00AE3BBE"/>
    <w:rsid w:val="00AE7482"/>
    <w:rsid w:val="00AE7A3F"/>
    <w:rsid w:val="00AF040C"/>
    <w:rsid w:val="00AF176C"/>
    <w:rsid w:val="00AF1AC4"/>
    <w:rsid w:val="00AF215A"/>
    <w:rsid w:val="00AF26A2"/>
    <w:rsid w:val="00AF2AC8"/>
    <w:rsid w:val="00AF6FB3"/>
    <w:rsid w:val="00AF7343"/>
    <w:rsid w:val="00AF7BDE"/>
    <w:rsid w:val="00AF7F04"/>
    <w:rsid w:val="00B001AB"/>
    <w:rsid w:val="00B0046F"/>
    <w:rsid w:val="00B008CC"/>
    <w:rsid w:val="00B00D0F"/>
    <w:rsid w:val="00B012AC"/>
    <w:rsid w:val="00B013D5"/>
    <w:rsid w:val="00B0166C"/>
    <w:rsid w:val="00B02C2E"/>
    <w:rsid w:val="00B0583E"/>
    <w:rsid w:val="00B06A1D"/>
    <w:rsid w:val="00B06F91"/>
    <w:rsid w:val="00B101B6"/>
    <w:rsid w:val="00B1253F"/>
    <w:rsid w:val="00B126F0"/>
    <w:rsid w:val="00B12B12"/>
    <w:rsid w:val="00B12C37"/>
    <w:rsid w:val="00B13CF3"/>
    <w:rsid w:val="00B13ED2"/>
    <w:rsid w:val="00B1477C"/>
    <w:rsid w:val="00B14B7A"/>
    <w:rsid w:val="00B14C6C"/>
    <w:rsid w:val="00B15DE6"/>
    <w:rsid w:val="00B170A1"/>
    <w:rsid w:val="00B1748B"/>
    <w:rsid w:val="00B20D7B"/>
    <w:rsid w:val="00B218DD"/>
    <w:rsid w:val="00B23900"/>
    <w:rsid w:val="00B268A6"/>
    <w:rsid w:val="00B26F56"/>
    <w:rsid w:val="00B26FE8"/>
    <w:rsid w:val="00B27B1A"/>
    <w:rsid w:val="00B32A27"/>
    <w:rsid w:val="00B33102"/>
    <w:rsid w:val="00B34AF7"/>
    <w:rsid w:val="00B3572B"/>
    <w:rsid w:val="00B36007"/>
    <w:rsid w:val="00B375CE"/>
    <w:rsid w:val="00B4001D"/>
    <w:rsid w:val="00B41882"/>
    <w:rsid w:val="00B423C0"/>
    <w:rsid w:val="00B446F9"/>
    <w:rsid w:val="00B44C22"/>
    <w:rsid w:val="00B46F04"/>
    <w:rsid w:val="00B524A5"/>
    <w:rsid w:val="00B5256F"/>
    <w:rsid w:val="00B535E9"/>
    <w:rsid w:val="00B54222"/>
    <w:rsid w:val="00B54CF1"/>
    <w:rsid w:val="00B55414"/>
    <w:rsid w:val="00B6025D"/>
    <w:rsid w:val="00B60C62"/>
    <w:rsid w:val="00B612B3"/>
    <w:rsid w:val="00B62748"/>
    <w:rsid w:val="00B636D0"/>
    <w:rsid w:val="00B70BA0"/>
    <w:rsid w:val="00B71946"/>
    <w:rsid w:val="00B7367F"/>
    <w:rsid w:val="00B74095"/>
    <w:rsid w:val="00B74B41"/>
    <w:rsid w:val="00B74C0F"/>
    <w:rsid w:val="00B755D8"/>
    <w:rsid w:val="00B80A54"/>
    <w:rsid w:val="00B843DA"/>
    <w:rsid w:val="00B856EC"/>
    <w:rsid w:val="00B90B74"/>
    <w:rsid w:val="00B91C2A"/>
    <w:rsid w:val="00B93994"/>
    <w:rsid w:val="00B93E56"/>
    <w:rsid w:val="00B96836"/>
    <w:rsid w:val="00BA018E"/>
    <w:rsid w:val="00BA0B90"/>
    <w:rsid w:val="00BA1FB9"/>
    <w:rsid w:val="00BA24BD"/>
    <w:rsid w:val="00BA42A9"/>
    <w:rsid w:val="00BA46D4"/>
    <w:rsid w:val="00BA5309"/>
    <w:rsid w:val="00BA535F"/>
    <w:rsid w:val="00BA5742"/>
    <w:rsid w:val="00BB0137"/>
    <w:rsid w:val="00BB0D24"/>
    <w:rsid w:val="00BB2A84"/>
    <w:rsid w:val="00BB4AAD"/>
    <w:rsid w:val="00BB58C7"/>
    <w:rsid w:val="00BB5B28"/>
    <w:rsid w:val="00BB5E56"/>
    <w:rsid w:val="00BB7D74"/>
    <w:rsid w:val="00BC04AA"/>
    <w:rsid w:val="00BC088A"/>
    <w:rsid w:val="00BC33C1"/>
    <w:rsid w:val="00BC3F25"/>
    <w:rsid w:val="00BC67CC"/>
    <w:rsid w:val="00BD008B"/>
    <w:rsid w:val="00BD0C39"/>
    <w:rsid w:val="00BD3656"/>
    <w:rsid w:val="00BD41D1"/>
    <w:rsid w:val="00BD71DA"/>
    <w:rsid w:val="00BD7799"/>
    <w:rsid w:val="00BD7EFB"/>
    <w:rsid w:val="00BE0D4A"/>
    <w:rsid w:val="00BE1021"/>
    <w:rsid w:val="00BE1941"/>
    <w:rsid w:val="00BE233F"/>
    <w:rsid w:val="00BE243F"/>
    <w:rsid w:val="00BE26C8"/>
    <w:rsid w:val="00BE37D7"/>
    <w:rsid w:val="00BE37EF"/>
    <w:rsid w:val="00BE4458"/>
    <w:rsid w:val="00BE61BA"/>
    <w:rsid w:val="00BE7F4C"/>
    <w:rsid w:val="00BF0761"/>
    <w:rsid w:val="00BF18F1"/>
    <w:rsid w:val="00BF1D5A"/>
    <w:rsid w:val="00BF347D"/>
    <w:rsid w:val="00BF4973"/>
    <w:rsid w:val="00BF669F"/>
    <w:rsid w:val="00BF78F9"/>
    <w:rsid w:val="00BF7CA9"/>
    <w:rsid w:val="00BF7CD8"/>
    <w:rsid w:val="00C00510"/>
    <w:rsid w:val="00C0080B"/>
    <w:rsid w:val="00C01426"/>
    <w:rsid w:val="00C02C89"/>
    <w:rsid w:val="00C03729"/>
    <w:rsid w:val="00C03917"/>
    <w:rsid w:val="00C03B5E"/>
    <w:rsid w:val="00C04309"/>
    <w:rsid w:val="00C048D3"/>
    <w:rsid w:val="00C04BCB"/>
    <w:rsid w:val="00C05010"/>
    <w:rsid w:val="00C0646B"/>
    <w:rsid w:val="00C064E6"/>
    <w:rsid w:val="00C068BC"/>
    <w:rsid w:val="00C0773C"/>
    <w:rsid w:val="00C122D0"/>
    <w:rsid w:val="00C13566"/>
    <w:rsid w:val="00C13569"/>
    <w:rsid w:val="00C1469C"/>
    <w:rsid w:val="00C146D6"/>
    <w:rsid w:val="00C155D7"/>
    <w:rsid w:val="00C15621"/>
    <w:rsid w:val="00C15BCF"/>
    <w:rsid w:val="00C15C22"/>
    <w:rsid w:val="00C1628A"/>
    <w:rsid w:val="00C16323"/>
    <w:rsid w:val="00C16BDC"/>
    <w:rsid w:val="00C16FCA"/>
    <w:rsid w:val="00C1707B"/>
    <w:rsid w:val="00C17F5D"/>
    <w:rsid w:val="00C20571"/>
    <w:rsid w:val="00C225C1"/>
    <w:rsid w:val="00C23EC5"/>
    <w:rsid w:val="00C24768"/>
    <w:rsid w:val="00C24C87"/>
    <w:rsid w:val="00C25861"/>
    <w:rsid w:val="00C2592B"/>
    <w:rsid w:val="00C25BC5"/>
    <w:rsid w:val="00C25D70"/>
    <w:rsid w:val="00C27432"/>
    <w:rsid w:val="00C30D47"/>
    <w:rsid w:val="00C31CEC"/>
    <w:rsid w:val="00C33F6D"/>
    <w:rsid w:val="00C342D3"/>
    <w:rsid w:val="00C3442D"/>
    <w:rsid w:val="00C3524A"/>
    <w:rsid w:val="00C35971"/>
    <w:rsid w:val="00C35E6B"/>
    <w:rsid w:val="00C36431"/>
    <w:rsid w:val="00C36979"/>
    <w:rsid w:val="00C36C7B"/>
    <w:rsid w:val="00C36DE3"/>
    <w:rsid w:val="00C40AB6"/>
    <w:rsid w:val="00C40C43"/>
    <w:rsid w:val="00C40C58"/>
    <w:rsid w:val="00C42FD3"/>
    <w:rsid w:val="00C460F1"/>
    <w:rsid w:val="00C46823"/>
    <w:rsid w:val="00C470B8"/>
    <w:rsid w:val="00C47B3A"/>
    <w:rsid w:val="00C506AD"/>
    <w:rsid w:val="00C519CA"/>
    <w:rsid w:val="00C51ECE"/>
    <w:rsid w:val="00C52627"/>
    <w:rsid w:val="00C52B42"/>
    <w:rsid w:val="00C52F04"/>
    <w:rsid w:val="00C532F6"/>
    <w:rsid w:val="00C54266"/>
    <w:rsid w:val="00C54433"/>
    <w:rsid w:val="00C5490A"/>
    <w:rsid w:val="00C5500C"/>
    <w:rsid w:val="00C55233"/>
    <w:rsid w:val="00C55399"/>
    <w:rsid w:val="00C55AF2"/>
    <w:rsid w:val="00C56BC3"/>
    <w:rsid w:val="00C605F8"/>
    <w:rsid w:val="00C611EE"/>
    <w:rsid w:val="00C61BF8"/>
    <w:rsid w:val="00C627B2"/>
    <w:rsid w:val="00C63086"/>
    <w:rsid w:val="00C632A3"/>
    <w:rsid w:val="00C63E3E"/>
    <w:rsid w:val="00C64083"/>
    <w:rsid w:val="00C64458"/>
    <w:rsid w:val="00C65B6D"/>
    <w:rsid w:val="00C65D79"/>
    <w:rsid w:val="00C67056"/>
    <w:rsid w:val="00C67208"/>
    <w:rsid w:val="00C67DB0"/>
    <w:rsid w:val="00C72679"/>
    <w:rsid w:val="00C730A6"/>
    <w:rsid w:val="00C732F0"/>
    <w:rsid w:val="00C736C1"/>
    <w:rsid w:val="00C74D03"/>
    <w:rsid w:val="00C74FB6"/>
    <w:rsid w:val="00C764C7"/>
    <w:rsid w:val="00C8240A"/>
    <w:rsid w:val="00C82AB3"/>
    <w:rsid w:val="00C82B91"/>
    <w:rsid w:val="00C833A5"/>
    <w:rsid w:val="00C83AAF"/>
    <w:rsid w:val="00C85D3E"/>
    <w:rsid w:val="00C90392"/>
    <w:rsid w:val="00C90DDC"/>
    <w:rsid w:val="00C934C4"/>
    <w:rsid w:val="00C93E34"/>
    <w:rsid w:val="00C94B58"/>
    <w:rsid w:val="00C96E60"/>
    <w:rsid w:val="00CA1380"/>
    <w:rsid w:val="00CA1A90"/>
    <w:rsid w:val="00CA3EA8"/>
    <w:rsid w:val="00CA3ED1"/>
    <w:rsid w:val="00CA597B"/>
    <w:rsid w:val="00CA6DAA"/>
    <w:rsid w:val="00CA7BAE"/>
    <w:rsid w:val="00CB01C0"/>
    <w:rsid w:val="00CB0688"/>
    <w:rsid w:val="00CB0786"/>
    <w:rsid w:val="00CB0A1F"/>
    <w:rsid w:val="00CB10FE"/>
    <w:rsid w:val="00CB168D"/>
    <w:rsid w:val="00CB325A"/>
    <w:rsid w:val="00CB38D1"/>
    <w:rsid w:val="00CB5669"/>
    <w:rsid w:val="00CB5CEE"/>
    <w:rsid w:val="00CB7AAA"/>
    <w:rsid w:val="00CC0B66"/>
    <w:rsid w:val="00CC1B10"/>
    <w:rsid w:val="00CC3A8B"/>
    <w:rsid w:val="00CC4100"/>
    <w:rsid w:val="00CC5E28"/>
    <w:rsid w:val="00CC6B2B"/>
    <w:rsid w:val="00CC7B21"/>
    <w:rsid w:val="00CC7DDF"/>
    <w:rsid w:val="00CD0A13"/>
    <w:rsid w:val="00CD0E63"/>
    <w:rsid w:val="00CD11AD"/>
    <w:rsid w:val="00CD315E"/>
    <w:rsid w:val="00CD41F4"/>
    <w:rsid w:val="00CD47FB"/>
    <w:rsid w:val="00CD4A8B"/>
    <w:rsid w:val="00CD54E1"/>
    <w:rsid w:val="00CD579F"/>
    <w:rsid w:val="00CD76C2"/>
    <w:rsid w:val="00CD7DBF"/>
    <w:rsid w:val="00CE2C39"/>
    <w:rsid w:val="00CE348F"/>
    <w:rsid w:val="00CE3F6C"/>
    <w:rsid w:val="00CE42CD"/>
    <w:rsid w:val="00CE4477"/>
    <w:rsid w:val="00CE4490"/>
    <w:rsid w:val="00CE53FE"/>
    <w:rsid w:val="00CE67A8"/>
    <w:rsid w:val="00CE7103"/>
    <w:rsid w:val="00CF1487"/>
    <w:rsid w:val="00CF3288"/>
    <w:rsid w:val="00CF35CB"/>
    <w:rsid w:val="00CF629A"/>
    <w:rsid w:val="00CF688C"/>
    <w:rsid w:val="00D00A87"/>
    <w:rsid w:val="00D010B8"/>
    <w:rsid w:val="00D01982"/>
    <w:rsid w:val="00D04EBE"/>
    <w:rsid w:val="00D063D7"/>
    <w:rsid w:val="00D07CCE"/>
    <w:rsid w:val="00D1294D"/>
    <w:rsid w:val="00D12BFC"/>
    <w:rsid w:val="00D12E23"/>
    <w:rsid w:val="00D12F70"/>
    <w:rsid w:val="00D135AF"/>
    <w:rsid w:val="00D13760"/>
    <w:rsid w:val="00D15494"/>
    <w:rsid w:val="00D201E0"/>
    <w:rsid w:val="00D20C04"/>
    <w:rsid w:val="00D20F45"/>
    <w:rsid w:val="00D216F0"/>
    <w:rsid w:val="00D22C3C"/>
    <w:rsid w:val="00D22CE3"/>
    <w:rsid w:val="00D23FEE"/>
    <w:rsid w:val="00D25B59"/>
    <w:rsid w:val="00D26136"/>
    <w:rsid w:val="00D2662A"/>
    <w:rsid w:val="00D26730"/>
    <w:rsid w:val="00D26B8D"/>
    <w:rsid w:val="00D271CF"/>
    <w:rsid w:val="00D275CE"/>
    <w:rsid w:val="00D30D2E"/>
    <w:rsid w:val="00D32145"/>
    <w:rsid w:val="00D32B87"/>
    <w:rsid w:val="00D34164"/>
    <w:rsid w:val="00D34761"/>
    <w:rsid w:val="00D34CA7"/>
    <w:rsid w:val="00D358CE"/>
    <w:rsid w:val="00D373FE"/>
    <w:rsid w:val="00D37BAD"/>
    <w:rsid w:val="00D4063F"/>
    <w:rsid w:val="00D41304"/>
    <w:rsid w:val="00D42155"/>
    <w:rsid w:val="00D42969"/>
    <w:rsid w:val="00D42DE2"/>
    <w:rsid w:val="00D43032"/>
    <w:rsid w:val="00D43925"/>
    <w:rsid w:val="00D4452F"/>
    <w:rsid w:val="00D45441"/>
    <w:rsid w:val="00D464F5"/>
    <w:rsid w:val="00D467D5"/>
    <w:rsid w:val="00D47F18"/>
    <w:rsid w:val="00D50869"/>
    <w:rsid w:val="00D50AFA"/>
    <w:rsid w:val="00D50B50"/>
    <w:rsid w:val="00D51727"/>
    <w:rsid w:val="00D517F7"/>
    <w:rsid w:val="00D51809"/>
    <w:rsid w:val="00D51A31"/>
    <w:rsid w:val="00D537A8"/>
    <w:rsid w:val="00D5418F"/>
    <w:rsid w:val="00D56B3F"/>
    <w:rsid w:val="00D574AD"/>
    <w:rsid w:val="00D57833"/>
    <w:rsid w:val="00D5796F"/>
    <w:rsid w:val="00D60F28"/>
    <w:rsid w:val="00D612DA"/>
    <w:rsid w:val="00D62DB4"/>
    <w:rsid w:val="00D631B0"/>
    <w:rsid w:val="00D632DC"/>
    <w:rsid w:val="00D634C1"/>
    <w:rsid w:val="00D65B5A"/>
    <w:rsid w:val="00D70379"/>
    <w:rsid w:val="00D7159F"/>
    <w:rsid w:val="00D71FD7"/>
    <w:rsid w:val="00D73BA7"/>
    <w:rsid w:val="00D74198"/>
    <w:rsid w:val="00D7490A"/>
    <w:rsid w:val="00D74C8D"/>
    <w:rsid w:val="00D75979"/>
    <w:rsid w:val="00D7600E"/>
    <w:rsid w:val="00D76919"/>
    <w:rsid w:val="00D77B85"/>
    <w:rsid w:val="00D817D9"/>
    <w:rsid w:val="00D81CBD"/>
    <w:rsid w:val="00D838EC"/>
    <w:rsid w:val="00D83BBC"/>
    <w:rsid w:val="00D83FCE"/>
    <w:rsid w:val="00D84EE9"/>
    <w:rsid w:val="00D86422"/>
    <w:rsid w:val="00D86A07"/>
    <w:rsid w:val="00D86D7C"/>
    <w:rsid w:val="00D872F0"/>
    <w:rsid w:val="00D91A4B"/>
    <w:rsid w:val="00D91BFA"/>
    <w:rsid w:val="00D92106"/>
    <w:rsid w:val="00D92ED4"/>
    <w:rsid w:val="00D93D35"/>
    <w:rsid w:val="00D94096"/>
    <w:rsid w:val="00D96FBA"/>
    <w:rsid w:val="00D97DD2"/>
    <w:rsid w:val="00DA1A36"/>
    <w:rsid w:val="00DA1CE9"/>
    <w:rsid w:val="00DA30D0"/>
    <w:rsid w:val="00DA4482"/>
    <w:rsid w:val="00DA768C"/>
    <w:rsid w:val="00DA7D93"/>
    <w:rsid w:val="00DB01C3"/>
    <w:rsid w:val="00DB03F7"/>
    <w:rsid w:val="00DB0D4B"/>
    <w:rsid w:val="00DB116A"/>
    <w:rsid w:val="00DB372C"/>
    <w:rsid w:val="00DB494B"/>
    <w:rsid w:val="00DB5218"/>
    <w:rsid w:val="00DB5D55"/>
    <w:rsid w:val="00DB5EEC"/>
    <w:rsid w:val="00DB5EFC"/>
    <w:rsid w:val="00DB79A4"/>
    <w:rsid w:val="00DC0C36"/>
    <w:rsid w:val="00DC1A7E"/>
    <w:rsid w:val="00DC1E42"/>
    <w:rsid w:val="00DC429A"/>
    <w:rsid w:val="00DC504E"/>
    <w:rsid w:val="00DC51DA"/>
    <w:rsid w:val="00DC59DD"/>
    <w:rsid w:val="00DC6722"/>
    <w:rsid w:val="00DC7CC8"/>
    <w:rsid w:val="00DC7F8C"/>
    <w:rsid w:val="00DD0401"/>
    <w:rsid w:val="00DD0C09"/>
    <w:rsid w:val="00DD1850"/>
    <w:rsid w:val="00DD2240"/>
    <w:rsid w:val="00DD2EFD"/>
    <w:rsid w:val="00DD322E"/>
    <w:rsid w:val="00DD3CF8"/>
    <w:rsid w:val="00DD5A9A"/>
    <w:rsid w:val="00DD617E"/>
    <w:rsid w:val="00DE14B7"/>
    <w:rsid w:val="00DE1CBE"/>
    <w:rsid w:val="00DE3566"/>
    <w:rsid w:val="00DE38C2"/>
    <w:rsid w:val="00DE47EE"/>
    <w:rsid w:val="00DE5B0C"/>
    <w:rsid w:val="00DE7E84"/>
    <w:rsid w:val="00DF12FB"/>
    <w:rsid w:val="00DF1564"/>
    <w:rsid w:val="00DF2CCB"/>
    <w:rsid w:val="00DF3816"/>
    <w:rsid w:val="00DF3986"/>
    <w:rsid w:val="00DF3AD2"/>
    <w:rsid w:val="00DF42B7"/>
    <w:rsid w:val="00DF56EA"/>
    <w:rsid w:val="00DF61F5"/>
    <w:rsid w:val="00DF7497"/>
    <w:rsid w:val="00E002A5"/>
    <w:rsid w:val="00E0312A"/>
    <w:rsid w:val="00E04BC5"/>
    <w:rsid w:val="00E04C2A"/>
    <w:rsid w:val="00E069CE"/>
    <w:rsid w:val="00E079DC"/>
    <w:rsid w:val="00E07FB6"/>
    <w:rsid w:val="00E10420"/>
    <w:rsid w:val="00E136FD"/>
    <w:rsid w:val="00E15BC5"/>
    <w:rsid w:val="00E15CDB"/>
    <w:rsid w:val="00E16589"/>
    <w:rsid w:val="00E201E3"/>
    <w:rsid w:val="00E20E0F"/>
    <w:rsid w:val="00E23622"/>
    <w:rsid w:val="00E238AC"/>
    <w:rsid w:val="00E23F0D"/>
    <w:rsid w:val="00E25CA4"/>
    <w:rsid w:val="00E2713F"/>
    <w:rsid w:val="00E276D5"/>
    <w:rsid w:val="00E278C2"/>
    <w:rsid w:val="00E31B33"/>
    <w:rsid w:val="00E32EEE"/>
    <w:rsid w:val="00E333AF"/>
    <w:rsid w:val="00E33B5B"/>
    <w:rsid w:val="00E3434F"/>
    <w:rsid w:val="00E35244"/>
    <w:rsid w:val="00E35314"/>
    <w:rsid w:val="00E35E0E"/>
    <w:rsid w:val="00E3603B"/>
    <w:rsid w:val="00E37C4C"/>
    <w:rsid w:val="00E37FEF"/>
    <w:rsid w:val="00E434E4"/>
    <w:rsid w:val="00E45BED"/>
    <w:rsid w:val="00E46037"/>
    <w:rsid w:val="00E463F9"/>
    <w:rsid w:val="00E46748"/>
    <w:rsid w:val="00E47F27"/>
    <w:rsid w:val="00E51039"/>
    <w:rsid w:val="00E53C13"/>
    <w:rsid w:val="00E5457F"/>
    <w:rsid w:val="00E55A69"/>
    <w:rsid w:val="00E5731A"/>
    <w:rsid w:val="00E57A8A"/>
    <w:rsid w:val="00E57A9E"/>
    <w:rsid w:val="00E60287"/>
    <w:rsid w:val="00E629C8"/>
    <w:rsid w:val="00E66BD7"/>
    <w:rsid w:val="00E66DD5"/>
    <w:rsid w:val="00E679A3"/>
    <w:rsid w:val="00E710EB"/>
    <w:rsid w:val="00E719EB"/>
    <w:rsid w:val="00E72481"/>
    <w:rsid w:val="00E72923"/>
    <w:rsid w:val="00E73E6C"/>
    <w:rsid w:val="00E74B34"/>
    <w:rsid w:val="00E762F8"/>
    <w:rsid w:val="00E76692"/>
    <w:rsid w:val="00E81C62"/>
    <w:rsid w:val="00E83EC0"/>
    <w:rsid w:val="00E84B02"/>
    <w:rsid w:val="00E901FE"/>
    <w:rsid w:val="00E9188F"/>
    <w:rsid w:val="00E91AB9"/>
    <w:rsid w:val="00E936DC"/>
    <w:rsid w:val="00EA0BAE"/>
    <w:rsid w:val="00EA2B1E"/>
    <w:rsid w:val="00EA4027"/>
    <w:rsid w:val="00EA654E"/>
    <w:rsid w:val="00EA6E7C"/>
    <w:rsid w:val="00EA746B"/>
    <w:rsid w:val="00EA76F0"/>
    <w:rsid w:val="00EB176E"/>
    <w:rsid w:val="00EB2517"/>
    <w:rsid w:val="00EB27CA"/>
    <w:rsid w:val="00EB2829"/>
    <w:rsid w:val="00EB2942"/>
    <w:rsid w:val="00EB2CBE"/>
    <w:rsid w:val="00EB39B6"/>
    <w:rsid w:val="00EB39DF"/>
    <w:rsid w:val="00EB48BB"/>
    <w:rsid w:val="00EB7A6A"/>
    <w:rsid w:val="00EC015C"/>
    <w:rsid w:val="00EC08AA"/>
    <w:rsid w:val="00EC2606"/>
    <w:rsid w:val="00EC2AD6"/>
    <w:rsid w:val="00EC31C8"/>
    <w:rsid w:val="00EC4B58"/>
    <w:rsid w:val="00EC5556"/>
    <w:rsid w:val="00ED1877"/>
    <w:rsid w:val="00ED3261"/>
    <w:rsid w:val="00ED4C18"/>
    <w:rsid w:val="00ED52E2"/>
    <w:rsid w:val="00ED5DB5"/>
    <w:rsid w:val="00ED67C8"/>
    <w:rsid w:val="00ED6CB5"/>
    <w:rsid w:val="00ED7FC6"/>
    <w:rsid w:val="00EE09FB"/>
    <w:rsid w:val="00EE12B3"/>
    <w:rsid w:val="00EE15CD"/>
    <w:rsid w:val="00EE1EC1"/>
    <w:rsid w:val="00EE2344"/>
    <w:rsid w:val="00EE2D33"/>
    <w:rsid w:val="00EE3919"/>
    <w:rsid w:val="00EE3D55"/>
    <w:rsid w:val="00EE4762"/>
    <w:rsid w:val="00EE49AE"/>
    <w:rsid w:val="00EE5264"/>
    <w:rsid w:val="00EE558E"/>
    <w:rsid w:val="00EE590A"/>
    <w:rsid w:val="00EE63AC"/>
    <w:rsid w:val="00EE7A3E"/>
    <w:rsid w:val="00EF1F51"/>
    <w:rsid w:val="00EF213E"/>
    <w:rsid w:val="00EF2220"/>
    <w:rsid w:val="00EF3113"/>
    <w:rsid w:val="00EF3846"/>
    <w:rsid w:val="00EF4FFF"/>
    <w:rsid w:val="00EF60A8"/>
    <w:rsid w:val="00EF60C5"/>
    <w:rsid w:val="00EF6291"/>
    <w:rsid w:val="00EF6394"/>
    <w:rsid w:val="00EF792B"/>
    <w:rsid w:val="00F01866"/>
    <w:rsid w:val="00F02C58"/>
    <w:rsid w:val="00F056C9"/>
    <w:rsid w:val="00F056E9"/>
    <w:rsid w:val="00F076AB"/>
    <w:rsid w:val="00F107B6"/>
    <w:rsid w:val="00F11D58"/>
    <w:rsid w:val="00F13F26"/>
    <w:rsid w:val="00F144B5"/>
    <w:rsid w:val="00F14869"/>
    <w:rsid w:val="00F14B6D"/>
    <w:rsid w:val="00F15FC4"/>
    <w:rsid w:val="00F20B0A"/>
    <w:rsid w:val="00F219A9"/>
    <w:rsid w:val="00F22008"/>
    <w:rsid w:val="00F221E8"/>
    <w:rsid w:val="00F23297"/>
    <w:rsid w:val="00F2678C"/>
    <w:rsid w:val="00F271F0"/>
    <w:rsid w:val="00F3026C"/>
    <w:rsid w:val="00F3028E"/>
    <w:rsid w:val="00F303E9"/>
    <w:rsid w:val="00F3046D"/>
    <w:rsid w:val="00F30946"/>
    <w:rsid w:val="00F35150"/>
    <w:rsid w:val="00F365E8"/>
    <w:rsid w:val="00F36A3E"/>
    <w:rsid w:val="00F40974"/>
    <w:rsid w:val="00F4129B"/>
    <w:rsid w:val="00F42DD6"/>
    <w:rsid w:val="00F4333E"/>
    <w:rsid w:val="00F445BB"/>
    <w:rsid w:val="00F4641A"/>
    <w:rsid w:val="00F53197"/>
    <w:rsid w:val="00F53528"/>
    <w:rsid w:val="00F53F4F"/>
    <w:rsid w:val="00F542B2"/>
    <w:rsid w:val="00F54A0F"/>
    <w:rsid w:val="00F61D9C"/>
    <w:rsid w:val="00F623FB"/>
    <w:rsid w:val="00F638B4"/>
    <w:rsid w:val="00F6429B"/>
    <w:rsid w:val="00F6454B"/>
    <w:rsid w:val="00F65803"/>
    <w:rsid w:val="00F65C5C"/>
    <w:rsid w:val="00F6659F"/>
    <w:rsid w:val="00F679AA"/>
    <w:rsid w:val="00F71C42"/>
    <w:rsid w:val="00F727F3"/>
    <w:rsid w:val="00F74EDF"/>
    <w:rsid w:val="00F75065"/>
    <w:rsid w:val="00F76D8F"/>
    <w:rsid w:val="00F76E75"/>
    <w:rsid w:val="00F77435"/>
    <w:rsid w:val="00F80349"/>
    <w:rsid w:val="00F81C3C"/>
    <w:rsid w:val="00F81F98"/>
    <w:rsid w:val="00F85B5C"/>
    <w:rsid w:val="00F9016E"/>
    <w:rsid w:val="00F903CC"/>
    <w:rsid w:val="00F907EA"/>
    <w:rsid w:val="00F90E66"/>
    <w:rsid w:val="00F91719"/>
    <w:rsid w:val="00F92C34"/>
    <w:rsid w:val="00F93D60"/>
    <w:rsid w:val="00F93D91"/>
    <w:rsid w:val="00F93FDA"/>
    <w:rsid w:val="00F95267"/>
    <w:rsid w:val="00F953F7"/>
    <w:rsid w:val="00FA095B"/>
    <w:rsid w:val="00FA0BA0"/>
    <w:rsid w:val="00FA2B58"/>
    <w:rsid w:val="00FA2D07"/>
    <w:rsid w:val="00FA2DB5"/>
    <w:rsid w:val="00FA352E"/>
    <w:rsid w:val="00FA3D1F"/>
    <w:rsid w:val="00FA5CE5"/>
    <w:rsid w:val="00FA7930"/>
    <w:rsid w:val="00FB14CE"/>
    <w:rsid w:val="00FB33EE"/>
    <w:rsid w:val="00FB48A8"/>
    <w:rsid w:val="00FB55F8"/>
    <w:rsid w:val="00FB5739"/>
    <w:rsid w:val="00FC0A6D"/>
    <w:rsid w:val="00FC0D24"/>
    <w:rsid w:val="00FC15BB"/>
    <w:rsid w:val="00FC1ADF"/>
    <w:rsid w:val="00FC2CA0"/>
    <w:rsid w:val="00FC33E5"/>
    <w:rsid w:val="00FC3A86"/>
    <w:rsid w:val="00FC558B"/>
    <w:rsid w:val="00FC64AD"/>
    <w:rsid w:val="00FC6682"/>
    <w:rsid w:val="00FC6ECD"/>
    <w:rsid w:val="00FC6FFC"/>
    <w:rsid w:val="00FC7165"/>
    <w:rsid w:val="00FC7A06"/>
    <w:rsid w:val="00FD0F1B"/>
    <w:rsid w:val="00FD0FDC"/>
    <w:rsid w:val="00FD1CEB"/>
    <w:rsid w:val="00FD1E13"/>
    <w:rsid w:val="00FD27E9"/>
    <w:rsid w:val="00FD36DA"/>
    <w:rsid w:val="00FD374F"/>
    <w:rsid w:val="00FD40CE"/>
    <w:rsid w:val="00FD41AF"/>
    <w:rsid w:val="00FD53E7"/>
    <w:rsid w:val="00FD58F7"/>
    <w:rsid w:val="00FD5FF6"/>
    <w:rsid w:val="00FE22B6"/>
    <w:rsid w:val="00FE27A0"/>
    <w:rsid w:val="00FE3696"/>
    <w:rsid w:val="00FE36C0"/>
    <w:rsid w:val="00FE5291"/>
    <w:rsid w:val="00FE52C4"/>
    <w:rsid w:val="00FE5AD9"/>
    <w:rsid w:val="00FE6052"/>
    <w:rsid w:val="00FE6F54"/>
    <w:rsid w:val="00FF0696"/>
    <w:rsid w:val="00FF070A"/>
    <w:rsid w:val="00FF080F"/>
    <w:rsid w:val="00FF15E1"/>
    <w:rsid w:val="00FF33FD"/>
    <w:rsid w:val="00FF3644"/>
    <w:rsid w:val="00FF3CBD"/>
    <w:rsid w:val="00FF48BB"/>
    <w:rsid w:val="00FF505B"/>
    <w:rsid w:val="00FF5226"/>
    <w:rsid w:val="00FF5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B06BCE"/>
  <w15:docId w15:val="{8F791C12-6A68-406B-86A0-A7D22C0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A2"/>
    <w:pPr>
      <w:spacing w:after="0" w:line="240" w:lineRule="auto"/>
    </w:pPr>
    <w:rPr>
      <w:rFonts w:asciiTheme="majorBidi" w:hAnsiTheme="majorBidi"/>
      <w:sz w:val="24"/>
      <w:szCs w:val="24"/>
    </w:rPr>
  </w:style>
  <w:style w:type="paragraph" w:styleId="Heading1">
    <w:name w:val="heading 1"/>
    <w:aliases w:val=" תו"/>
    <w:basedOn w:val="Normal"/>
    <w:link w:val="Heading1Char"/>
    <w:qFormat/>
    <w:rsid w:val="006A415B"/>
    <w:pPr>
      <w:numPr>
        <w:numId w:val="1"/>
      </w:numPr>
      <w:bidi/>
      <w:spacing w:line="360" w:lineRule="auto"/>
      <w:ind w:right="340"/>
      <w:jc w:val="both"/>
      <w:outlineLvl w:val="0"/>
    </w:pPr>
    <w:rPr>
      <w:rFonts w:ascii="Times New Roman" w:eastAsia="Times New Roman" w:hAnsi="Times New Roman" w:cs="David"/>
      <w:kern w:val="28"/>
      <w:lang w:eastAsia="he-IL"/>
    </w:rPr>
  </w:style>
  <w:style w:type="paragraph" w:styleId="Heading2">
    <w:name w:val="heading 2"/>
    <w:basedOn w:val="Heading1"/>
    <w:link w:val="Heading2Char"/>
    <w:qFormat/>
    <w:rsid w:val="006A415B"/>
    <w:pPr>
      <w:numPr>
        <w:ilvl w:val="1"/>
      </w:numPr>
      <w:tabs>
        <w:tab w:val="num" w:pos="360"/>
      </w:tabs>
      <w:ind w:right="680"/>
      <w:outlineLvl w:val="1"/>
    </w:pPr>
  </w:style>
  <w:style w:type="paragraph" w:styleId="Heading3">
    <w:name w:val="heading 3"/>
    <w:basedOn w:val="Heading2"/>
    <w:link w:val="Heading3Char"/>
    <w:qFormat/>
    <w:rsid w:val="006A415B"/>
    <w:pPr>
      <w:keepNext/>
      <w:numPr>
        <w:ilvl w:val="2"/>
      </w:numPr>
      <w:tabs>
        <w:tab w:val="num" w:pos="360"/>
      </w:tabs>
      <w:ind w:right="1020"/>
      <w:outlineLvl w:val="2"/>
    </w:pPr>
  </w:style>
  <w:style w:type="paragraph" w:styleId="Heading4">
    <w:name w:val="heading 4"/>
    <w:basedOn w:val="Heading3"/>
    <w:link w:val="Heading4Char"/>
    <w:qFormat/>
    <w:rsid w:val="006A415B"/>
    <w:pPr>
      <w:keepNext w:val="0"/>
      <w:numPr>
        <w:ilvl w:val="3"/>
      </w:numPr>
      <w:tabs>
        <w:tab w:val="num" w:pos="360"/>
      </w:tabs>
      <w:ind w:right="1360"/>
      <w:outlineLvl w:val="3"/>
    </w:pPr>
  </w:style>
  <w:style w:type="paragraph" w:styleId="Heading5">
    <w:name w:val="heading 5"/>
    <w:basedOn w:val="Heading4"/>
    <w:link w:val="Heading5Char"/>
    <w:qFormat/>
    <w:rsid w:val="006A415B"/>
    <w:pPr>
      <w:numPr>
        <w:ilvl w:val="4"/>
      </w:numPr>
      <w:tabs>
        <w:tab w:val="num" w:pos="360"/>
      </w:tabs>
      <w:ind w:right="2068"/>
      <w:outlineLvl w:val="4"/>
    </w:pPr>
  </w:style>
  <w:style w:type="paragraph" w:styleId="Heading6">
    <w:name w:val="heading 6"/>
    <w:basedOn w:val="Normal"/>
    <w:next w:val="Normal"/>
    <w:link w:val="Heading6Char"/>
    <w:qFormat/>
    <w:rsid w:val="006A415B"/>
    <w:pPr>
      <w:numPr>
        <w:ilvl w:val="5"/>
        <w:numId w:val="1"/>
      </w:numPr>
      <w:bidi/>
      <w:spacing w:before="240" w:after="60" w:line="360" w:lineRule="auto"/>
      <w:ind w:right="2776"/>
      <w:jc w:val="both"/>
      <w:outlineLvl w:val="5"/>
    </w:pPr>
    <w:rPr>
      <w:rFonts w:ascii="Arial" w:eastAsia="Times New Roman" w:hAnsi="Arial" w:cs="Arial"/>
      <w:i/>
      <w:iCs/>
      <w:szCs w:val="22"/>
      <w:lang w:eastAsia="he-IL"/>
    </w:rPr>
  </w:style>
  <w:style w:type="paragraph" w:styleId="Heading7">
    <w:name w:val="heading 7"/>
    <w:basedOn w:val="Normal"/>
    <w:next w:val="Normal"/>
    <w:link w:val="Heading7Char"/>
    <w:qFormat/>
    <w:rsid w:val="006A415B"/>
    <w:pPr>
      <w:numPr>
        <w:ilvl w:val="6"/>
        <w:numId w:val="1"/>
      </w:numPr>
      <w:bidi/>
      <w:spacing w:before="240" w:after="60" w:line="360" w:lineRule="auto"/>
      <w:ind w:right="3484"/>
      <w:jc w:val="both"/>
      <w:outlineLvl w:val="6"/>
    </w:pPr>
    <w:rPr>
      <w:rFonts w:ascii="Arial" w:eastAsia="Times New Roman" w:hAnsi="Arial" w:cs="Arial"/>
      <w:sz w:val="20"/>
      <w:szCs w:val="20"/>
      <w:lang w:eastAsia="he-IL"/>
    </w:rPr>
  </w:style>
  <w:style w:type="paragraph" w:styleId="Heading8">
    <w:name w:val="heading 8"/>
    <w:basedOn w:val="Normal"/>
    <w:next w:val="Normal"/>
    <w:link w:val="Heading8Char"/>
    <w:qFormat/>
    <w:rsid w:val="006A415B"/>
    <w:pPr>
      <w:numPr>
        <w:ilvl w:val="7"/>
        <w:numId w:val="1"/>
      </w:numPr>
      <w:bidi/>
      <w:spacing w:before="240" w:after="60" w:line="360" w:lineRule="auto"/>
      <w:ind w:right="4192"/>
      <w:jc w:val="both"/>
      <w:outlineLvl w:val="7"/>
    </w:pPr>
    <w:rPr>
      <w:rFonts w:ascii="Arial" w:eastAsia="Times New Roman" w:hAnsi="Arial" w:cs="Arial"/>
      <w:i/>
      <w:iCs/>
      <w:sz w:val="20"/>
      <w:szCs w:val="20"/>
      <w:lang w:eastAsia="he-IL"/>
    </w:rPr>
  </w:style>
  <w:style w:type="paragraph" w:styleId="Heading9">
    <w:name w:val="heading 9"/>
    <w:basedOn w:val="Normal"/>
    <w:next w:val="Normal"/>
    <w:link w:val="Heading9Char"/>
    <w:qFormat/>
    <w:rsid w:val="006A415B"/>
    <w:pPr>
      <w:numPr>
        <w:ilvl w:val="8"/>
        <w:numId w:val="1"/>
      </w:numPr>
      <w:bidi/>
      <w:spacing w:before="240" w:after="60" w:line="360" w:lineRule="auto"/>
      <w:ind w:right="4900"/>
      <w:jc w:val="both"/>
      <w:outlineLvl w:val="8"/>
    </w:pPr>
    <w:rPr>
      <w:rFonts w:ascii="Arial" w:eastAsia="Times New Roman" w:hAnsi="Arial" w:cs="Arial"/>
      <w:i/>
      <w:i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EE"/>
    <w:rPr>
      <w:rFonts w:ascii="Tahoma" w:hAnsi="Tahoma" w:cs="Tahoma"/>
      <w:sz w:val="16"/>
      <w:szCs w:val="16"/>
    </w:rPr>
  </w:style>
  <w:style w:type="character" w:customStyle="1" w:styleId="BalloonTextChar">
    <w:name w:val="Balloon Text Char"/>
    <w:basedOn w:val="DefaultParagraphFont"/>
    <w:link w:val="BalloonText"/>
    <w:uiPriority w:val="99"/>
    <w:semiHidden/>
    <w:rsid w:val="003A2DEE"/>
    <w:rPr>
      <w:rFonts w:ascii="Tahoma" w:hAnsi="Tahoma" w:cs="Tahoma"/>
      <w:sz w:val="16"/>
      <w:szCs w:val="16"/>
    </w:rPr>
  </w:style>
  <w:style w:type="character" w:styleId="CommentReference">
    <w:name w:val="annotation reference"/>
    <w:basedOn w:val="DefaultParagraphFont"/>
    <w:uiPriority w:val="99"/>
    <w:semiHidden/>
    <w:unhideWhenUsed/>
    <w:rsid w:val="009021F6"/>
    <w:rPr>
      <w:sz w:val="16"/>
      <w:szCs w:val="16"/>
    </w:rPr>
  </w:style>
  <w:style w:type="paragraph" w:styleId="CommentText">
    <w:name w:val="annotation text"/>
    <w:basedOn w:val="Normal"/>
    <w:link w:val="CommentTextChar"/>
    <w:uiPriority w:val="99"/>
    <w:semiHidden/>
    <w:unhideWhenUsed/>
    <w:rsid w:val="009021F6"/>
    <w:rPr>
      <w:sz w:val="20"/>
      <w:szCs w:val="20"/>
    </w:rPr>
  </w:style>
  <w:style w:type="character" w:customStyle="1" w:styleId="CommentTextChar">
    <w:name w:val="Comment Text Char"/>
    <w:basedOn w:val="DefaultParagraphFont"/>
    <w:link w:val="CommentText"/>
    <w:uiPriority w:val="99"/>
    <w:semiHidden/>
    <w:rsid w:val="009021F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9021F6"/>
    <w:rPr>
      <w:b/>
      <w:bCs/>
    </w:rPr>
  </w:style>
  <w:style w:type="character" w:customStyle="1" w:styleId="CommentSubjectChar">
    <w:name w:val="Comment Subject Char"/>
    <w:basedOn w:val="CommentTextChar"/>
    <w:link w:val="CommentSubject"/>
    <w:uiPriority w:val="99"/>
    <w:semiHidden/>
    <w:rsid w:val="009021F6"/>
    <w:rPr>
      <w:rFonts w:asciiTheme="majorBidi" w:hAnsiTheme="majorBidi"/>
      <w:b/>
      <w:bCs/>
      <w:sz w:val="20"/>
      <w:szCs w:val="20"/>
    </w:rPr>
  </w:style>
  <w:style w:type="character" w:customStyle="1" w:styleId="Heading1Char">
    <w:name w:val="Heading 1 Char"/>
    <w:aliases w:val=" תו Char"/>
    <w:basedOn w:val="DefaultParagraphFont"/>
    <w:link w:val="Heading1"/>
    <w:rsid w:val="006A415B"/>
    <w:rPr>
      <w:rFonts w:ascii="Times New Roman" w:eastAsia="Times New Roman" w:hAnsi="Times New Roman" w:cs="David"/>
      <w:kern w:val="28"/>
      <w:sz w:val="24"/>
      <w:szCs w:val="24"/>
      <w:lang w:eastAsia="he-IL"/>
    </w:rPr>
  </w:style>
  <w:style w:type="character" w:customStyle="1" w:styleId="Heading2Char">
    <w:name w:val="Heading 2 Char"/>
    <w:basedOn w:val="DefaultParagraphFont"/>
    <w:link w:val="Heading2"/>
    <w:rsid w:val="006A415B"/>
    <w:rPr>
      <w:rFonts w:ascii="Times New Roman" w:eastAsia="Times New Roman" w:hAnsi="Times New Roman" w:cs="David"/>
      <w:kern w:val="28"/>
      <w:sz w:val="24"/>
      <w:szCs w:val="24"/>
      <w:lang w:eastAsia="he-IL"/>
    </w:rPr>
  </w:style>
  <w:style w:type="character" w:customStyle="1" w:styleId="Heading3Char">
    <w:name w:val="Heading 3 Char"/>
    <w:basedOn w:val="DefaultParagraphFont"/>
    <w:link w:val="Heading3"/>
    <w:rsid w:val="006A415B"/>
    <w:rPr>
      <w:rFonts w:ascii="Times New Roman" w:eastAsia="Times New Roman" w:hAnsi="Times New Roman" w:cs="David"/>
      <w:kern w:val="28"/>
      <w:sz w:val="24"/>
      <w:szCs w:val="24"/>
      <w:lang w:eastAsia="he-IL"/>
    </w:rPr>
  </w:style>
  <w:style w:type="character" w:customStyle="1" w:styleId="Heading4Char">
    <w:name w:val="Heading 4 Char"/>
    <w:basedOn w:val="DefaultParagraphFont"/>
    <w:link w:val="Heading4"/>
    <w:rsid w:val="006A415B"/>
    <w:rPr>
      <w:rFonts w:ascii="Times New Roman" w:eastAsia="Times New Roman" w:hAnsi="Times New Roman" w:cs="David"/>
      <w:kern w:val="28"/>
      <w:sz w:val="24"/>
      <w:szCs w:val="24"/>
      <w:lang w:eastAsia="he-IL"/>
    </w:rPr>
  </w:style>
  <w:style w:type="character" w:customStyle="1" w:styleId="Heading5Char">
    <w:name w:val="Heading 5 Char"/>
    <w:basedOn w:val="DefaultParagraphFont"/>
    <w:link w:val="Heading5"/>
    <w:rsid w:val="006A415B"/>
    <w:rPr>
      <w:rFonts w:ascii="Times New Roman" w:eastAsia="Times New Roman" w:hAnsi="Times New Roman" w:cs="David"/>
      <w:kern w:val="28"/>
      <w:sz w:val="24"/>
      <w:szCs w:val="24"/>
      <w:lang w:eastAsia="he-IL"/>
    </w:rPr>
  </w:style>
  <w:style w:type="character" w:customStyle="1" w:styleId="Heading6Char">
    <w:name w:val="Heading 6 Char"/>
    <w:basedOn w:val="DefaultParagraphFont"/>
    <w:link w:val="Heading6"/>
    <w:rsid w:val="006A415B"/>
    <w:rPr>
      <w:rFonts w:ascii="Arial" w:eastAsia="Times New Roman" w:hAnsi="Arial" w:cs="Arial"/>
      <w:i/>
      <w:iCs/>
      <w:sz w:val="24"/>
      <w:lang w:eastAsia="he-IL"/>
    </w:rPr>
  </w:style>
  <w:style w:type="character" w:customStyle="1" w:styleId="Heading7Char">
    <w:name w:val="Heading 7 Char"/>
    <w:basedOn w:val="DefaultParagraphFont"/>
    <w:link w:val="Heading7"/>
    <w:rsid w:val="006A415B"/>
    <w:rPr>
      <w:rFonts w:ascii="Arial" w:eastAsia="Times New Roman" w:hAnsi="Arial" w:cs="Arial"/>
      <w:sz w:val="20"/>
      <w:szCs w:val="20"/>
      <w:lang w:eastAsia="he-IL"/>
    </w:rPr>
  </w:style>
  <w:style w:type="character" w:customStyle="1" w:styleId="Heading8Char">
    <w:name w:val="Heading 8 Char"/>
    <w:basedOn w:val="DefaultParagraphFont"/>
    <w:link w:val="Heading8"/>
    <w:rsid w:val="006A415B"/>
    <w:rPr>
      <w:rFonts w:ascii="Arial" w:eastAsia="Times New Roman" w:hAnsi="Arial" w:cs="Arial"/>
      <w:i/>
      <w:iCs/>
      <w:sz w:val="20"/>
      <w:szCs w:val="20"/>
      <w:lang w:eastAsia="he-IL"/>
    </w:rPr>
  </w:style>
  <w:style w:type="character" w:customStyle="1" w:styleId="Heading9Char">
    <w:name w:val="Heading 9 Char"/>
    <w:basedOn w:val="DefaultParagraphFont"/>
    <w:link w:val="Heading9"/>
    <w:rsid w:val="006A415B"/>
    <w:rPr>
      <w:rFonts w:ascii="Arial" w:eastAsia="Times New Roman" w:hAnsi="Arial" w:cs="Arial"/>
      <w:i/>
      <w:iCs/>
      <w:sz w:val="18"/>
      <w:szCs w:val="18"/>
      <w:lang w:eastAsia="he-IL"/>
    </w:rPr>
  </w:style>
  <w:style w:type="paragraph" w:styleId="Header">
    <w:name w:val="header"/>
    <w:basedOn w:val="Normal"/>
    <w:link w:val="HeaderChar"/>
    <w:rsid w:val="006A415B"/>
    <w:pPr>
      <w:tabs>
        <w:tab w:val="center" w:pos="4153"/>
        <w:tab w:val="right" w:pos="8306"/>
      </w:tabs>
      <w:bidi/>
      <w:spacing w:line="360" w:lineRule="auto"/>
      <w:jc w:val="both"/>
    </w:pPr>
    <w:rPr>
      <w:rFonts w:ascii="Times New Roman" w:eastAsia="Times New Roman" w:hAnsi="Times New Roman" w:cs="David"/>
      <w:lang w:eastAsia="he-IL"/>
    </w:rPr>
  </w:style>
  <w:style w:type="character" w:customStyle="1" w:styleId="HeaderChar">
    <w:name w:val="Header Char"/>
    <w:basedOn w:val="DefaultParagraphFont"/>
    <w:link w:val="Header"/>
    <w:rsid w:val="006A415B"/>
    <w:rPr>
      <w:rFonts w:ascii="Times New Roman" w:eastAsia="Times New Roman" w:hAnsi="Times New Roman" w:cs="David"/>
      <w:sz w:val="24"/>
      <w:szCs w:val="24"/>
      <w:lang w:eastAsia="he-IL"/>
    </w:rPr>
  </w:style>
  <w:style w:type="paragraph" w:styleId="ListParagraph">
    <w:name w:val="List Paragraph"/>
    <w:basedOn w:val="Normal"/>
    <w:uiPriority w:val="34"/>
    <w:qFormat/>
    <w:rsid w:val="006A415B"/>
    <w:pPr>
      <w:bidi/>
      <w:spacing w:line="360" w:lineRule="auto"/>
      <w:ind w:left="720"/>
      <w:contextualSpacing/>
      <w:jc w:val="both"/>
    </w:pPr>
    <w:rPr>
      <w:rFonts w:ascii="Times New Roman" w:eastAsia="Times New Roman" w:hAnsi="Times New Roman" w:cs="David"/>
      <w:lang w:eastAsia="he-IL"/>
    </w:rPr>
  </w:style>
  <w:style w:type="paragraph" w:styleId="Footer">
    <w:name w:val="footer"/>
    <w:basedOn w:val="Normal"/>
    <w:link w:val="FooterChar"/>
    <w:uiPriority w:val="99"/>
    <w:unhideWhenUsed/>
    <w:rsid w:val="006A415B"/>
    <w:pPr>
      <w:tabs>
        <w:tab w:val="center" w:pos="4320"/>
        <w:tab w:val="right" w:pos="8640"/>
      </w:tabs>
    </w:pPr>
  </w:style>
  <w:style w:type="character" w:customStyle="1" w:styleId="FooterChar">
    <w:name w:val="Footer Char"/>
    <w:basedOn w:val="DefaultParagraphFont"/>
    <w:link w:val="Footer"/>
    <w:uiPriority w:val="99"/>
    <w:rsid w:val="006A415B"/>
    <w:rPr>
      <w:rFonts w:asciiTheme="majorBidi" w:hAnsiTheme="majorBidi"/>
      <w:sz w:val="24"/>
      <w:szCs w:val="24"/>
    </w:rPr>
  </w:style>
  <w:style w:type="paragraph" w:customStyle="1" w:styleId="regpar">
    <w:name w:val="regpar"/>
    <w:basedOn w:val="Normal"/>
    <w:rsid w:val="006A415B"/>
    <w:pPr>
      <w:spacing w:line="300" w:lineRule="exact"/>
      <w:ind w:firstLine="240"/>
      <w:jc w:val="both"/>
    </w:pPr>
    <w:rPr>
      <w:rFonts w:ascii="Times" w:eastAsia="Times New Roman" w:hAnsi="Times" w:cs="Times"/>
    </w:rPr>
  </w:style>
  <w:style w:type="paragraph" w:styleId="Revision">
    <w:name w:val="Revision"/>
    <w:hidden/>
    <w:uiPriority w:val="99"/>
    <w:semiHidden/>
    <w:rsid w:val="002530C3"/>
    <w:pPr>
      <w:spacing w:after="0" w:line="240" w:lineRule="auto"/>
    </w:pPr>
    <w:rPr>
      <w:rFonts w:asciiTheme="majorBidi" w:hAnsiTheme="majorBidi"/>
      <w:sz w:val="24"/>
      <w:szCs w:val="24"/>
    </w:rPr>
  </w:style>
  <w:style w:type="paragraph" w:styleId="FootnoteText">
    <w:name w:val="footnote text"/>
    <w:basedOn w:val="Normal"/>
    <w:link w:val="FootnoteTextChar"/>
    <w:uiPriority w:val="99"/>
    <w:semiHidden/>
    <w:unhideWhenUsed/>
    <w:rsid w:val="00701421"/>
    <w:rPr>
      <w:sz w:val="20"/>
      <w:szCs w:val="20"/>
    </w:rPr>
  </w:style>
  <w:style w:type="character" w:customStyle="1" w:styleId="FootnoteTextChar">
    <w:name w:val="Footnote Text Char"/>
    <w:basedOn w:val="DefaultParagraphFont"/>
    <w:link w:val="FootnoteText"/>
    <w:uiPriority w:val="99"/>
    <w:semiHidden/>
    <w:rsid w:val="00701421"/>
    <w:rPr>
      <w:rFonts w:asciiTheme="majorBidi" w:hAnsiTheme="majorBidi"/>
      <w:sz w:val="20"/>
      <w:szCs w:val="20"/>
    </w:rPr>
  </w:style>
  <w:style w:type="character" w:styleId="FootnoteReference">
    <w:name w:val="footnote reference"/>
    <w:basedOn w:val="DefaultParagraphFont"/>
    <w:uiPriority w:val="99"/>
    <w:semiHidden/>
    <w:unhideWhenUsed/>
    <w:rsid w:val="00701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665CF2-34AB-49EF-8B08-B00AED80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4</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BOI</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יהודה פאש</dc:creator>
  <cp:lastModifiedBy>יהודה פאש</cp:lastModifiedBy>
  <cp:revision>24</cp:revision>
  <cp:lastPrinted>2020-01-09T11:09:00Z</cp:lastPrinted>
  <dcterms:created xsi:type="dcterms:W3CDTF">2023-05-21T12:58:00Z</dcterms:created>
  <dcterms:modified xsi:type="dcterms:W3CDTF">2023-07-10T12:23:00Z</dcterms:modified>
</cp:coreProperties>
</file>