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94" w:rsidRDefault="00201194" w:rsidP="00595743">
      <w:pPr>
        <w:spacing w:line="360" w:lineRule="auto"/>
        <w:jc w:val="center"/>
        <w:rPr>
          <w:rFonts w:asciiTheme="minorHAnsi" w:eastAsiaTheme="minorHAnsi" w:hAnsiTheme="minorHAnsi" w:cs="David" w:hint="cs"/>
          <w:b/>
          <w:bCs/>
          <w:sz w:val="24"/>
          <w:szCs w:val="24"/>
          <w:u w:val="single"/>
          <w:rtl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01194" w:rsidRPr="00DB1CBC" w:rsidTr="00742089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194" w:rsidRDefault="00201194" w:rsidP="00742089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201194" w:rsidRPr="00201194" w:rsidRDefault="00201194" w:rsidP="00742089">
            <w:pPr>
              <w:ind w:right="-101"/>
              <w:jc w:val="center"/>
              <w:rPr>
                <w:sz w:val="26"/>
                <w:szCs w:val="26"/>
              </w:rPr>
            </w:pPr>
            <w:r w:rsidRPr="00201194">
              <w:rPr>
                <w:rFonts w:cs="David"/>
                <w:sz w:val="26"/>
                <w:szCs w:val="26"/>
                <w:rtl/>
              </w:rPr>
              <w:t>דו</w:t>
            </w:r>
            <w:r w:rsidRPr="00201194">
              <w:rPr>
                <w:rFonts w:cs="David" w:hint="cs"/>
                <w:sz w:val="26"/>
                <w:szCs w:val="26"/>
                <w:rtl/>
              </w:rPr>
              <w:t>בר</w:t>
            </w:r>
            <w:r w:rsidRPr="00201194">
              <w:rPr>
                <w:rFonts w:cs="David"/>
                <w:sz w:val="26"/>
                <w:szCs w:val="26"/>
                <w:rtl/>
              </w:rPr>
              <w:t>ות</w:t>
            </w:r>
            <w:r w:rsidRPr="00201194">
              <w:rPr>
                <w:rFonts w:cs="David" w:hint="cs"/>
                <w:sz w:val="26"/>
                <w:szCs w:val="26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201194" w:rsidRDefault="00201194" w:rsidP="007420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471" cy="676275"/>
                  <wp:effectExtent l="0" t="0" r="635" b="9525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תמונה 1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194" w:rsidRPr="00201194" w:rsidRDefault="00201194" w:rsidP="00742089">
            <w:pPr>
              <w:bidi w:val="0"/>
              <w:spacing w:line="480" w:lineRule="auto"/>
              <w:rPr>
                <w:rFonts w:cs="David"/>
                <w:sz w:val="24"/>
                <w:szCs w:val="24"/>
              </w:rPr>
            </w:pPr>
            <w:r w:rsidRPr="00201194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201194">
              <w:rPr>
                <w:rFonts w:cs="David" w:hint="cs"/>
                <w:sz w:val="24"/>
                <w:szCs w:val="24"/>
                <w:rtl/>
              </w:rPr>
              <w:t>ירושלים, י"ט באייר</w:t>
            </w:r>
            <w:r w:rsidRPr="00201194">
              <w:rPr>
                <w:rFonts w:cs="David"/>
                <w:sz w:val="24"/>
                <w:szCs w:val="24"/>
                <w:rtl/>
              </w:rPr>
              <w:t>, תשע"</w:t>
            </w:r>
            <w:r w:rsidRPr="00201194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201194" w:rsidRPr="00DF107C" w:rsidRDefault="00201194" w:rsidP="00742089">
            <w:pPr>
              <w:bidi w:val="0"/>
              <w:spacing w:line="480" w:lineRule="auto"/>
              <w:rPr>
                <w:rFonts w:cs="David"/>
                <w:sz w:val="24"/>
              </w:rPr>
            </w:pPr>
            <w:r w:rsidRPr="00201194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201194">
              <w:rPr>
                <w:rFonts w:cs="David" w:hint="cs"/>
                <w:sz w:val="24"/>
                <w:szCs w:val="24"/>
                <w:rtl/>
              </w:rPr>
              <w:t>19 במאי 2014</w:t>
            </w:r>
          </w:p>
        </w:tc>
      </w:tr>
    </w:tbl>
    <w:p w:rsidR="00201194" w:rsidRDefault="00201194" w:rsidP="00B92325">
      <w:pPr>
        <w:spacing w:after="0" w:line="360" w:lineRule="auto"/>
        <w:rPr>
          <w:rFonts w:asciiTheme="minorHAnsi" w:eastAsiaTheme="minorHAnsi" w:hAnsiTheme="minorHAnsi" w:cs="David" w:hint="cs"/>
          <w:sz w:val="24"/>
          <w:szCs w:val="24"/>
          <w:rtl/>
        </w:rPr>
      </w:pPr>
      <w:r>
        <w:rPr>
          <w:rFonts w:asciiTheme="minorHAnsi" w:eastAsiaTheme="minorHAnsi" w:hAnsiTheme="minorHAnsi" w:cs="David" w:hint="cs"/>
          <w:sz w:val="24"/>
          <w:szCs w:val="24"/>
          <w:rtl/>
        </w:rPr>
        <w:t>הודעה לעיתונות:</w:t>
      </w:r>
    </w:p>
    <w:p w:rsidR="00B92325" w:rsidRPr="00B92325" w:rsidRDefault="00B92325" w:rsidP="00B92325">
      <w:pPr>
        <w:spacing w:line="360" w:lineRule="auto"/>
        <w:rPr>
          <w:rFonts w:asciiTheme="minorHAnsi" w:eastAsiaTheme="minorHAnsi" w:hAnsiTheme="minorHAnsi" w:cs="David"/>
          <w:sz w:val="24"/>
          <w:szCs w:val="24"/>
          <w:rtl/>
        </w:rPr>
      </w:pPr>
      <w:r w:rsidRPr="00B92325">
        <w:rPr>
          <w:rFonts w:asciiTheme="minorHAnsi" w:eastAsiaTheme="minorHAnsi" w:hAnsiTheme="minorHAnsi" w:cs="David"/>
          <w:sz w:val="24"/>
          <w:szCs w:val="24"/>
          <w:rtl/>
        </w:rPr>
        <w:t>קטע מתוך סקירת ההתפתחויות הכלכליות בחודשים</w:t>
      </w:r>
      <w:r>
        <w:rPr>
          <w:rFonts w:asciiTheme="minorHAnsi" w:eastAsiaTheme="minorHAnsi" w:hAnsiTheme="minorHAnsi" w:cs="David"/>
          <w:sz w:val="24"/>
          <w:szCs w:val="24"/>
          <w:rtl/>
        </w:rPr>
        <w:t xml:space="preserve"> האחרונים (137) שתפורסם בקרוב</w:t>
      </w:r>
      <w:r>
        <w:rPr>
          <w:rFonts w:asciiTheme="minorHAnsi" w:eastAsiaTheme="minorHAnsi" w:hAnsiTheme="minorHAnsi" w:cs="David" w:hint="cs"/>
          <w:sz w:val="24"/>
          <w:szCs w:val="24"/>
          <w:rtl/>
        </w:rPr>
        <w:t>:</w:t>
      </w:r>
    </w:p>
    <w:p w:rsidR="00AC774A" w:rsidRPr="008D2E54" w:rsidRDefault="00A92BB8" w:rsidP="00595743">
      <w:pPr>
        <w:spacing w:line="360" w:lineRule="auto"/>
        <w:jc w:val="center"/>
        <w:rPr>
          <w:rFonts w:asciiTheme="minorHAnsi" w:eastAsiaTheme="minorHAnsi" w:hAnsiTheme="minorHAnsi" w:cs="David"/>
          <w:b/>
          <w:bCs/>
          <w:sz w:val="24"/>
          <w:szCs w:val="24"/>
          <w:u w:val="single"/>
          <w:rtl/>
        </w:rPr>
      </w:pPr>
      <w:r w:rsidRPr="008D2E54">
        <w:rPr>
          <w:rFonts w:asciiTheme="minorHAnsi" w:eastAsiaTheme="minorHAnsi" w:hAnsiTheme="minorHAnsi" w:cs="David" w:hint="cs"/>
          <w:b/>
          <w:bCs/>
          <w:sz w:val="24"/>
          <w:szCs w:val="24"/>
          <w:u w:val="single"/>
          <w:rtl/>
        </w:rPr>
        <w:t>אומדנים ראשונים לקראת תקציב המדינה ל</w:t>
      </w:r>
      <w:r w:rsidR="00201194">
        <w:rPr>
          <w:rFonts w:asciiTheme="minorHAnsi" w:eastAsiaTheme="minorHAnsi" w:hAnsiTheme="minorHAnsi" w:cs="David" w:hint="cs"/>
          <w:b/>
          <w:bCs/>
          <w:sz w:val="24"/>
          <w:szCs w:val="24"/>
          <w:u w:val="single"/>
          <w:rtl/>
        </w:rPr>
        <w:t xml:space="preserve">שנת 2015, </w:t>
      </w:r>
      <w:r w:rsidR="00842C16" w:rsidRPr="008D2E54">
        <w:rPr>
          <w:rFonts w:asciiTheme="minorHAnsi" w:eastAsiaTheme="minorHAnsi" w:hAnsiTheme="minorHAnsi" w:cs="David" w:hint="cs"/>
          <w:b/>
          <w:bCs/>
          <w:sz w:val="24"/>
          <w:szCs w:val="24"/>
          <w:u w:val="single"/>
          <w:rtl/>
        </w:rPr>
        <w:t xml:space="preserve">ומגמות </w:t>
      </w:r>
      <w:r w:rsidR="00595743">
        <w:rPr>
          <w:rFonts w:asciiTheme="minorHAnsi" w:eastAsiaTheme="minorHAnsi" w:hAnsiTheme="minorHAnsi" w:cs="David" w:hint="cs"/>
          <w:b/>
          <w:bCs/>
          <w:sz w:val="24"/>
          <w:szCs w:val="24"/>
          <w:u w:val="single"/>
          <w:rtl/>
        </w:rPr>
        <w:t xml:space="preserve">התקציב </w:t>
      </w:r>
      <w:r w:rsidR="00842C16" w:rsidRPr="008D2E54">
        <w:rPr>
          <w:rFonts w:asciiTheme="minorHAnsi" w:eastAsiaTheme="minorHAnsi" w:hAnsiTheme="minorHAnsi" w:cs="David" w:hint="cs"/>
          <w:b/>
          <w:bCs/>
          <w:sz w:val="24"/>
          <w:szCs w:val="24"/>
          <w:u w:val="single"/>
          <w:rtl/>
        </w:rPr>
        <w:t>להמשך העשור</w:t>
      </w:r>
    </w:p>
    <w:p w:rsidR="00842C16" w:rsidRDefault="00456792" w:rsidP="00F3706C">
      <w:pPr>
        <w:pStyle w:val="a8"/>
        <w:numPr>
          <w:ilvl w:val="0"/>
          <w:numId w:val="3"/>
        </w:numPr>
        <w:spacing w:line="360" w:lineRule="auto"/>
        <w:ind w:left="509"/>
        <w:jc w:val="both"/>
        <w:rPr>
          <w:rFonts w:asciiTheme="minorHAnsi" w:eastAsiaTheme="minorHAnsi" w:hAnsiTheme="minorHAnsi" w:cs="David"/>
          <w:b/>
          <w:bCs/>
          <w:sz w:val="24"/>
          <w:szCs w:val="24"/>
        </w:rPr>
      </w:pP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ההתאמה הפיסקלית שביצעה הממשלה בתקציב 2014-2013 הביאה להיפוך </w:t>
      </w:r>
      <w:proofErr w:type="spellStart"/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העליה</w:t>
      </w:r>
      <w:proofErr w:type="spellEnd"/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בגירעון, שיקמה את אמינות מחויבות הממשלה למתווה הגירעון הפוחת ותרמה לירידה בפערי הריבית בין ישראל למדינות המפותחות.</w:t>
      </w:r>
    </w:p>
    <w:p w:rsidR="00456792" w:rsidRDefault="00BD41FD" w:rsidP="00F3706C">
      <w:pPr>
        <w:pStyle w:val="a8"/>
        <w:numPr>
          <w:ilvl w:val="0"/>
          <w:numId w:val="3"/>
        </w:numPr>
        <w:spacing w:line="360" w:lineRule="auto"/>
        <w:ind w:left="509"/>
        <w:jc w:val="both"/>
        <w:rPr>
          <w:rFonts w:asciiTheme="minorHAnsi" w:eastAsiaTheme="minorHAnsi" w:hAnsiTheme="minorHAnsi" w:cs="David"/>
          <w:b/>
          <w:bCs/>
          <w:sz w:val="24"/>
          <w:szCs w:val="24"/>
        </w:rPr>
      </w:pP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יש חשיבות רבה להמשך הפחתת הגירעון בהתאם למתווה הקבוע בחוק שכן, </w:t>
      </w:r>
      <w:r w:rsidR="00456792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בהתחשב במיקומו של המשק במחזור העסקים, רמת הגירעון הנוכחית עדיין גבוהה בהשוואה בינלאומית ואינה מאפשרת ירידה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מתמשכת של יחס החוב לתוצר.</w:t>
      </w:r>
    </w:p>
    <w:p w:rsidR="00BD41FD" w:rsidRDefault="00BD41FD" w:rsidP="00D704D5">
      <w:pPr>
        <w:pStyle w:val="a8"/>
        <w:numPr>
          <w:ilvl w:val="0"/>
          <w:numId w:val="3"/>
        </w:numPr>
        <w:spacing w:line="360" w:lineRule="auto"/>
        <w:ind w:left="509"/>
        <w:jc w:val="both"/>
        <w:rPr>
          <w:rFonts w:asciiTheme="minorHAnsi" w:eastAsiaTheme="minorHAnsi" w:hAnsiTheme="minorHAnsi" w:cs="David"/>
          <w:b/>
          <w:bCs/>
          <w:sz w:val="24"/>
          <w:szCs w:val="24"/>
        </w:rPr>
      </w:pP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כדי לעמוד ביעד הגירעון לשנת 2015 יידרשו צעדי מדיניות בהיקף של כ-1</w:t>
      </w:r>
      <w:r w:rsidR="00D704D5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8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מיליארדי ₪ - הפחתת הוצאות, וכן צעדים להגדלת ההכנסות.</w:t>
      </w:r>
      <w:r w:rsidRPr="00BD41FD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3C59E6" w:rsidRPr="00BD41FD" w:rsidRDefault="003C59E6" w:rsidP="00482F5E">
      <w:pPr>
        <w:pStyle w:val="a8"/>
        <w:numPr>
          <w:ilvl w:val="0"/>
          <w:numId w:val="3"/>
        </w:numPr>
        <w:spacing w:line="360" w:lineRule="auto"/>
        <w:ind w:left="509"/>
        <w:jc w:val="both"/>
        <w:rPr>
          <w:rFonts w:asciiTheme="minorHAnsi" w:eastAsiaTheme="minorHAnsi" w:hAnsiTheme="minorHAnsi" w:cs="David"/>
          <w:b/>
          <w:bCs/>
          <w:sz w:val="24"/>
          <w:szCs w:val="24"/>
        </w:rPr>
      </w:pP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גובהה של תקרת ההוצאות לשנת 2015 יושפע במידה ניכרת </w:t>
      </w:r>
      <w:r>
        <w:rPr>
          <w:rFonts w:asciiTheme="minorHAnsi" w:eastAsiaTheme="minorHAnsi" w:hAnsiTheme="minorHAnsi" w:cs="David"/>
          <w:b/>
          <w:bCs/>
          <w:sz w:val="24"/>
          <w:szCs w:val="24"/>
          <w:rtl/>
        </w:rPr>
        <w:t>–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יותר מ-4</w:t>
      </w:r>
      <w:r w:rsidR="00D704D5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.5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מיליארדי ₪ -</w:t>
      </w:r>
      <w:r w:rsidR="002D69CA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מההחלטה לגבי ביצוע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התאמת מחירים בגין הפער בין </w:t>
      </w:r>
      <w:r w:rsidR="00482F5E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ה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התפתחות </w:t>
      </w:r>
      <w:r w:rsidR="00482F5E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בפועל של 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המחירים בשנתיים האחרונות</w:t>
      </w:r>
      <w:r w:rsidR="002D69CA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ל</w:t>
      </w:r>
      <w:r w:rsidR="002D69CA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בין זו שנחזתה </w:t>
      </w:r>
      <w:r w:rsidR="00482F5E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ב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תקציב.</w:t>
      </w:r>
    </w:p>
    <w:p w:rsidR="00BD41FD" w:rsidRDefault="00BD41FD" w:rsidP="00D704D5">
      <w:pPr>
        <w:pStyle w:val="a8"/>
        <w:numPr>
          <w:ilvl w:val="0"/>
          <w:numId w:val="3"/>
        </w:numPr>
        <w:spacing w:line="360" w:lineRule="auto"/>
        <w:ind w:left="509"/>
        <w:jc w:val="both"/>
        <w:rPr>
          <w:rFonts w:asciiTheme="minorHAnsi" w:eastAsiaTheme="minorHAnsi" w:hAnsiTheme="minorHAnsi" w:cs="David"/>
          <w:b/>
          <w:bCs/>
          <w:sz w:val="24"/>
          <w:szCs w:val="24"/>
        </w:rPr>
      </w:pP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הוצאות הממשלה הצפויות על בסיס התוכניות שאישרה </w:t>
      </w:r>
      <w:r w:rsidR="003C59E6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גבוהות משמעותית מתקרת ההוצאות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הקבועה בחו</w:t>
      </w:r>
      <w:r w:rsidR="003C59E6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ק: אם תבוצע התאמת המחירים הפער הוא כ-1</w:t>
      </w:r>
      <w:r w:rsidR="00D704D5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2</w:t>
      </w:r>
      <w:r w:rsidR="003C59E6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מיליארדי ₪ ואם לא תבוצע כ-7 מיליארדים.</w:t>
      </w:r>
      <w:r w:rsidR="00A47086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A47086" w:rsidRDefault="00A47086" w:rsidP="00D704D5">
      <w:pPr>
        <w:pStyle w:val="a8"/>
        <w:numPr>
          <w:ilvl w:val="0"/>
          <w:numId w:val="3"/>
        </w:numPr>
        <w:spacing w:line="360" w:lineRule="auto"/>
        <w:ind w:left="509"/>
        <w:jc w:val="both"/>
        <w:rPr>
          <w:rFonts w:asciiTheme="minorHAnsi" w:eastAsiaTheme="minorHAnsi" w:hAnsiTheme="minorHAnsi" w:cs="David"/>
          <w:b/>
          <w:bCs/>
          <w:sz w:val="24"/>
          <w:szCs w:val="24"/>
        </w:rPr>
      </w:pP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הגדלת ההוצאות בהתאם לתקרה תחייב צעדי מדיניות להגדלת ההכנסות: בכ-</w:t>
      </w:r>
      <w:r w:rsidR="00D704D5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6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מיליארדי ₪ אם תבוצע התאמת המחירים ובכ-</w:t>
      </w:r>
      <w:r w:rsidR="00D704D5"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>11</w:t>
      </w:r>
      <w:r>
        <w:rPr>
          <w:rFonts w:asciiTheme="minorHAnsi" w:eastAsiaTheme="minorHAnsi" w:hAnsiTheme="minorHAnsi" w:cs="David" w:hint="cs"/>
          <w:b/>
          <w:bCs/>
          <w:sz w:val="24"/>
          <w:szCs w:val="24"/>
          <w:rtl/>
        </w:rPr>
        <w:t xml:space="preserve"> מיליארדים אם לא תבוצע.</w:t>
      </w:r>
    </w:p>
    <w:p w:rsidR="00772213" w:rsidRPr="00AC774A" w:rsidRDefault="00F374EE" w:rsidP="00BB64B3">
      <w:pPr>
        <w:spacing w:line="360" w:lineRule="auto"/>
        <w:jc w:val="both"/>
        <w:rPr>
          <w:rFonts w:asciiTheme="minorHAnsi" w:eastAsiaTheme="minorHAnsi" w:hAnsiTheme="minorHAnsi" w:cs="David"/>
          <w:sz w:val="24"/>
          <w:szCs w:val="24"/>
        </w:rPr>
      </w:pPr>
      <w:r>
        <w:rPr>
          <w:rFonts w:asciiTheme="minorHAnsi" w:eastAsiaTheme="minorHAnsi" w:hAnsiTheme="minorHAnsi" w:cs="David" w:hint="cs"/>
          <w:sz w:val="24"/>
          <w:szCs w:val="24"/>
          <w:rtl/>
        </w:rPr>
        <w:t>הצלח</w:t>
      </w:r>
      <w:r w:rsidR="0007162A">
        <w:rPr>
          <w:rFonts w:asciiTheme="minorHAnsi" w:eastAsiaTheme="minorHAnsi" w:hAnsiTheme="minorHAnsi" w:cs="David" w:hint="cs"/>
          <w:sz w:val="24"/>
          <w:szCs w:val="24"/>
          <w:rtl/>
        </w:rPr>
        <w:t>ת</w:t>
      </w:r>
      <w:r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proofErr w:type="spellStart"/>
      <w:r w:rsidR="0007162A">
        <w:rPr>
          <w:rFonts w:asciiTheme="minorHAnsi" w:eastAsiaTheme="minorHAnsi" w:hAnsiTheme="minorHAnsi" w:cs="David" w:hint="cs"/>
          <w:sz w:val="24"/>
          <w:szCs w:val="24"/>
          <w:rtl/>
        </w:rPr>
        <w:t>תוכנית</w:t>
      </w:r>
      <w:proofErr w:type="spellEnd"/>
      <w:r w:rsidR="000F7FFA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C373FD">
        <w:rPr>
          <w:rFonts w:asciiTheme="minorHAnsi" w:eastAsiaTheme="minorHAnsi" w:hAnsiTheme="minorHAnsi" w:cs="David" w:hint="cs"/>
          <w:sz w:val="24"/>
          <w:szCs w:val="24"/>
          <w:rtl/>
        </w:rPr>
        <w:t xml:space="preserve">הקונסולידציה הפיסקלית שהפעילה הממשלה במקביל לאישור התקציב לשנים </w:t>
      </w:r>
      <w:r w:rsidR="00C373FD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2013 </w:t>
      </w:r>
      <w:r w:rsidR="00C373FD">
        <w:rPr>
          <w:rFonts w:asciiTheme="minorHAnsi" w:eastAsiaTheme="minorHAnsi" w:hAnsiTheme="minorHAnsi" w:cs="David" w:hint="cs"/>
          <w:sz w:val="24"/>
          <w:szCs w:val="24"/>
          <w:rtl/>
        </w:rPr>
        <w:t xml:space="preserve">ו-2014, </w:t>
      </w:r>
      <w:r w:rsidR="000F7FFA">
        <w:rPr>
          <w:rFonts w:asciiTheme="minorHAnsi" w:eastAsiaTheme="minorHAnsi" w:hAnsiTheme="minorHAnsi" w:cs="David" w:hint="cs"/>
          <w:sz w:val="24"/>
          <w:szCs w:val="24"/>
          <w:rtl/>
        </w:rPr>
        <w:t xml:space="preserve">שיקמה את אמינות המחויבות של הממשלה לתוואי הגירעון היורד </w:t>
      </w:r>
      <w:r w:rsidR="00F3706C">
        <w:rPr>
          <w:rFonts w:asciiTheme="minorHAnsi" w:eastAsiaTheme="minorHAnsi" w:hAnsiTheme="minorHAnsi" w:cs="David" w:hint="cs"/>
          <w:sz w:val="24"/>
          <w:szCs w:val="24"/>
          <w:rtl/>
        </w:rPr>
        <w:t>שנקבע</w:t>
      </w:r>
      <w:r w:rsidR="0018393A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F3706C">
        <w:rPr>
          <w:rFonts w:asciiTheme="minorHAnsi" w:eastAsiaTheme="minorHAnsi" w:hAnsiTheme="minorHAnsi" w:cs="David" w:hint="cs"/>
          <w:sz w:val="24"/>
          <w:szCs w:val="24"/>
          <w:rtl/>
        </w:rPr>
        <w:t>ב-</w:t>
      </w:r>
      <w:r w:rsidR="0018393A">
        <w:rPr>
          <w:rFonts w:asciiTheme="minorHAnsi" w:eastAsiaTheme="minorHAnsi" w:hAnsiTheme="minorHAnsi" w:cs="David" w:hint="cs"/>
          <w:sz w:val="24"/>
          <w:szCs w:val="24"/>
          <w:rtl/>
        </w:rPr>
        <w:t>2009</w:t>
      </w:r>
      <w:r w:rsidR="000F7FFA">
        <w:rPr>
          <w:rFonts w:asciiTheme="minorHAnsi" w:eastAsiaTheme="minorHAnsi" w:hAnsiTheme="minorHAnsi" w:cs="David" w:hint="cs"/>
          <w:sz w:val="24"/>
          <w:szCs w:val="24"/>
          <w:rtl/>
        </w:rPr>
        <w:t xml:space="preserve">, שעמידה בו צפויה להפחית את יחס החוב לתוצר לכ-60 אחוזים עד סוף העשור. </w:t>
      </w:r>
      <w:r w:rsidR="00BB64B3">
        <w:rPr>
          <w:rFonts w:asciiTheme="minorHAnsi" w:eastAsiaTheme="minorHAnsi" w:hAnsiTheme="minorHAnsi" w:cs="David" w:hint="cs"/>
          <w:sz w:val="24"/>
          <w:szCs w:val="24"/>
          <w:rtl/>
        </w:rPr>
        <w:t xml:space="preserve">שיקום האמינות תרם גם לירידה הניכרת באותה התקופה במרווחי הריבית בין ישראל למדינות המפותחות ומשום כך בנטל תשלומי הריבית בשנים הבאות. </w:t>
      </w:r>
      <w:r w:rsidR="00117C40">
        <w:rPr>
          <w:rFonts w:asciiTheme="minorHAnsi" w:eastAsiaTheme="minorHAnsi" w:hAnsiTheme="minorHAnsi" w:cs="David" w:hint="cs"/>
          <w:sz w:val="24"/>
          <w:szCs w:val="24"/>
          <w:rtl/>
        </w:rPr>
        <w:t xml:space="preserve">עם זאת, </w:t>
      </w:r>
      <w:r w:rsidR="006A25AA">
        <w:rPr>
          <w:rFonts w:asciiTheme="minorHAnsi" w:eastAsiaTheme="minorHAnsi" w:hAnsiTheme="minorHAnsi" w:cs="David" w:hint="cs"/>
          <w:sz w:val="24"/>
          <w:szCs w:val="24"/>
          <w:rtl/>
        </w:rPr>
        <w:t>היות וחלק משמעותי מההכנסות שתרמו להפחתת הגירעון היו חד-פעמיות, ו</w:t>
      </w:r>
      <w:r w:rsidR="0088278F">
        <w:rPr>
          <w:rFonts w:asciiTheme="minorHAnsi" w:eastAsiaTheme="minorHAnsi" w:hAnsiTheme="minorHAnsi" w:cs="David" w:hint="cs"/>
          <w:sz w:val="24"/>
          <w:szCs w:val="24"/>
          <w:rtl/>
        </w:rPr>
        <w:t>מכיוון שעל פי מרבית האומדנים</w:t>
      </w:r>
      <w:r w:rsidR="00117C40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פער התוצר </w:t>
      </w:r>
      <w:r w:rsidR="0088278F">
        <w:rPr>
          <w:rFonts w:asciiTheme="minorHAnsi" w:eastAsiaTheme="minorHAnsi" w:hAnsiTheme="minorHAnsi" w:cs="David" w:hint="cs"/>
          <w:sz w:val="24"/>
          <w:szCs w:val="24"/>
          <w:rtl/>
        </w:rPr>
        <w:t xml:space="preserve">הנוכחי 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בישראל הוא נמוך (המשק </w:t>
      </w:r>
      <w:r w:rsidR="0088278F">
        <w:rPr>
          <w:rFonts w:asciiTheme="minorHAnsi" w:eastAsiaTheme="minorHAnsi" w:hAnsiTheme="minorHAnsi" w:cs="David" w:hint="cs"/>
          <w:sz w:val="24"/>
          <w:szCs w:val="24"/>
          <w:rtl/>
        </w:rPr>
        <w:t>קרוב לת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עסוקה מלאה), רמתו של הגירעון </w:t>
      </w:r>
      <w:r w:rsidR="006A25AA">
        <w:rPr>
          <w:rFonts w:asciiTheme="minorHAnsi" w:eastAsiaTheme="minorHAnsi" w:hAnsiTheme="minorHAnsi" w:cs="David" w:hint="cs"/>
          <w:sz w:val="24"/>
          <w:szCs w:val="24"/>
          <w:rtl/>
        </w:rPr>
        <w:t xml:space="preserve">המבני 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>היא עדיין גבוהה</w:t>
      </w:r>
      <w:r w:rsidR="0088278F">
        <w:rPr>
          <w:rFonts w:asciiTheme="minorHAnsi" w:eastAsiaTheme="minorHAnsi" w:hAnsiTheme="minorHAnsi" w:cs="David" w:hint="cs"/>
          <w:sz w:val="24"/>
          <w:szCs w:val="24"/>
          <w:rtl/>
        </w:rPr>
        <w:t xml:space="preserve"> מכדי לאפשר ירידה מתמשכת של יחס החוב לתוצר</w:t>
      </w:r>
      <w:r w:rsidR="00BB64B3">
        <w:rPr>
          <w:rFonts w:asciiTheme="minorHAnsi" w:eastAsiaTheme="minorHAnsi" w:hAnsiTheme="minorHAnsi" w:cs="David" w:hint="cs"/>
          <w:sz w:val="24"/>
          <w:szCs w:val="24"/>
          <w:rtl/>
        </w:rPr>
        <w:t>, והיא גם גבוהה בהשוואה למדינות המפותחות האחרות.</w:t>
      </w:r>
    </w:p>
    <w:p w:rsidR="00AA3D15" w:rsidRDefault="003A36A1" w:rsidP="003A36A1">
      <w:pPr>
        <w:spacing w:line="360" w:lineRule="auto"/>
        <w:jc w:val="both"/>
        <w:rPr>
          <w:rFonts w:asciiTheme="minorHAnsi" w:eastAsiaTheme="minorHAnsi" w:hAnsiTheme="minorHAnsi" w:cs="David"/>
          <w:sz w:val="24"/>
          <w:szCs w:val="24"/>
          <w:rtl/>
        </w:rPr>
      </w:pPr>
      <w:r>
        <w:rPr>
          <w:rFonts w:asciiTheme="minorHAnsi" w:eastAsiaTheme="minorHAnsi" w:hAnsiTheme="minorHAnsi" w:cs="David" w:hint="cs"/>
          <w:sz w:val="24"/>
          <w:szCs w:val="24"/>
          <w:rtl/>
        </w:rPr>
        <w:t>בהנחה שהתקציב יוצא במלואו</w:t>
      </w:r>
      <w:r w:rsidR="00BB64B3">
        <w:rPr>
          <w:rFonts w:asciiTheme="minorHAnsi" w:eastAsiaTheme="minorHAnsi" w:hAnsiTheme="minorHAnsi" w:cs="David" w:hint="cs"/>
          <w:sz w:val="24"/>
          <w:szCs w:val="24"/>
          <w:rtl/>
        </w:rPr>
        <w:t xml:space="preserve"> ובהתבסס על התחזיות המקרו-כלכליות העדכניות, 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הגירעון הצפוי לשנת 2014 </w:t>
      </w:r>
      <w:r>
        <w:rPr>
          <w:rFonts w:asciiTheme="minorHAnsi" w:eastAsiaTheme="minorHAnsi" w:hAnsiTheme="minorHAnsi" w:cs="David" w:hint="cs"/>
          <w:sz w:val="24"/>
          <w:szCs w:val="24"/>
          <w:rtl/>
        </w:rPr>
        <w:t>קרוב ל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יעד שקבעה הממשלה </w:t>
      </w:r>
      <w:r w:rsidR="00AC774A" w:rsidRPr="00AC774A">
        <w:rPr>
          <w:rFonts w:asciiTheme="minorHAnsi" w:eastAsiaTheme="minorHAnsi" w:hAnsiTheme="minorHAnsi" w:cs="David"/>
          <w:sz w:val="24"/>
          <w:szCs w:val="24"/>
          <w:rtl/>
        </w:rPr>
        <w:t>–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 שלושה אחוזי תוצר</w:t>
      </w:r>
      <w:r w:rsidR="007F691B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7F691B">
        <w:rPr>
          <w:rFonts w:asciiTheme="minorHAnsi" w:eastAsiaTheme="minorHAnsi" w:hAnsiTheme="minorHAnsi" w:cs="David"/>
          <w:sz w:val="24"/>
          <w:szCs w:val="24"/>
          <w:rtl/>
        </w:rPr>
        <w:t>–</w:t>
      </w:r>
      <w:r w:rsidR="00BB64B3" w:rsidRPr="00BB64B3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742CA3">
        <w:rPr>
          <w:rFonts w:asciiTheme="minorHAnsi" w:eastAsiaTheme="minorHAnsi" w:hAnsiTheme="minorHAnsi" w:cs="David" w:hint="cs"/>
          <w:sz w:val="24"/>
          <w:szCs w:val="24"/>
          <w:rtl/>
        </w:rPr>
        <w:t>ו</w:t>
      </w:r>
      <w:r w:rsidR="00BB64B3" w:rsidRPr="00AC774A">
        <w:rPr>
          <w:rFonts w:asciiTheme="minorHAnsi" w:eastAsiaTheme="minorHAnsi" w:hAnsiTheme="minorHAnsi" w:cs="David" w:hint="cs"/>
          <w:sz w:val="24"/>
          <w:szCs w:val="24"/>
          <w:rtl/>
        </w:rPr>
        <w:t>משקל החוב הציבורי בתוצר לא צפוי ל</w:t>
      </w:r>
      <w:r w:rsidR="00BB64B3">
        <w:rPr>
          <w:rFonts w:asciiTheme="minorHAnsi" w:eastAsiaTheme="minorHAnsi" w:hAnsiTheme="minorHAnsi" w:cs="David" w:hint="cs"/>
          <w:sz w:val="24"/>
          <w:szCs w:val="24"/>
          <w:rtl/>
        </w:rPr>
        <w:t>השתנות משמעותית השנה</w:t>
      </w:r>
      <w:r w:rsidR="00BB64B3" w:rsidRPr="00AC774A">
        <w:rPr>
          <w:rFonts w:asciiTheme="minorHAnsi" w:eastAsiaTheme="minorHAnsi" w:hAnsiTheme="minorHAnsi" w:cs="David" w:hint="cs"/>
          <w:sz w:val="24"/>
          <w:szCs w:val="24"/>
          <w:rtl/>
        </w:rPr>
        <w:t>.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 ההכנסות ממסים צפויות לגדול ריאלית בכ-5.5</w:t>
      </w:r>
      <w:r w:rsidR="006D5BC3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6D5BC3">
        <w:rPr>
          <w:rFonts w:asciiTheme="minorHAnsi" w:eastAsiaTheme="minorHAnsi" w:hAnsiTheme="minorHAnsi" w:cs="David"/>
          <w:sz w:val="24"/>
          <w:szCs w:val="24"/>
          <w:rtl/>
        </w:rPr>
        <w:t>–</w:t>
      </w:r>
      <w:r w:rsidR="006D5BC3">
        <w:rPr>
          <w:rFonts w:asciiTheme="minorHAnsi" w:eastAsiaTheme="minorHAnsi" w:hAnsiTheme="minorHAnsi" w:cs="David" w:hint="cs"/>
          <w:sz w:val="24"/>
          <w:szCs w:val="24"/>
          <w:rtl/>
        </w:rPr>
        <w:t xml:space="preserve"> 6.0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 אחוזים בהשוואה לשנת 2013 </w:t>
      </w:r>
      <w:r w:rsidR="006D5BC3">
        <w:rPr>
          <w:rFonts w:asciiTheme="minorHAnsi" w:eastAsiaTheme="minorHAnsi" w:hAnsiTheme="minorHAnsi" w:cs="David"/>
          <w:sz w:val="24"/>
          <w:szCs w:val="24"/>
          <w:rtl/>
        </w:rPr>
        <w:t>–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6D5BC3">
        <w:rPr>
          <w:rFonts w:asciiTheme="minorHAnsi" w:eastAsiaTheme="minorHAnsi" w:hAnsiTheme="minorHAnsi" w:cs="David" w:hint="cs"/>
          <w:sz w:val="24"/>
          <w:szCs w:val="24"/>
          <w:rtl/>
        </w:rPr>
        <w:t xml:space="preserve">במידה רבה בזכות העלאת שיעורי המס באמצע </w:t>
      </w:r>
      <w:r w:rsidR="00AC774A" w:rsidRPr="00AC774A">
        <w:rPr>
          <w:rFonts w:asciiTheme="minorHAnsi" w:eastAsiaTheme="minorHAnsi" w:hAnsiTheme="minorHAnsi" w:cs="David" w:hint="cs"/>
          <w:sz w:val="24"/>
          <w:szCs w:val="24"/>
          <w:rtl/>
        </w:rPr>
        <w:t xml:space="preserve">2013. </w:t>
      </w:r>
      <w:r w:rsidR="00742CA3">
        <w:rPr>
          <w:rFonts w:asciiTheme="minorHAnsi" w:eastAsiaTheme="minorHAnsi" w:hAnsiTheme="minorHAnsi" w:cs="David" w:hint="cs"/>
          <w:sz w:val="24"/>
          <w:szCs w:val="24"/>
          <w:rtl/>
        </w:rPr>
        <w:t xml:space="preserve">עם זאת, השינויים הרבים בשיעורי המס ובכללי המס </w:t>
      </w:r>
      <w:r w:rsidR="00C96A2E">
        <w:rPr>
          <w:rFonts w:asciiTheme="minorHAnsi" w:eastAsiaTheme="minorHAnsi" w:hAnsiTheme="minorHAnsi" w:cs="David" w:hint="cs"/>
          <w:sz w:val="24"/>
          <w:szCs w:val="24"/>
          <w:rtl/>
        </w:rPr>
        <w:t>מאמצע 2012</w:t>
      </w:r>
      <w:r w:rsidR="00742CA3">
        <w:rPr>
          <w:rFonts w:asciiTheme="minorHAnsi" w:eastAsiaTheme="minorHAnsi" w:hAnsiTheme="minorHAnsi" w:cs="David" w:hint="cs"/>
          <w:sz w:val="24"/>
          <w:szCs w:val="24"/>
          <w:rtl/>
        </w:rPr>
        <w:t>, והריבית הנמוכה בעולם המעודדת עסקאות פיננסיות</w:t>
      </w:r>
      <w:r w:rsidR="00C96A2E">
        <w:rPr>
          <w:rFonts w:asciiTheme="minorHAnsi" w:eastAsiaTheme="minorHAnsi" w:hAnsiTheme="minorHAnsi" w:cs="David" w:hint="cs"/>
          <w:sz w:val="24"/>
          <w:szCs w:val="24"/>
          <w:rtl/>
        </w:rPr>
        <w:t>,</w:t>
      </w:r>
      <w:r w:rsidR="00742CA3">
        <w:rPr>
          <w:rFonts w:asciiTheme="minorHAnsi" w:eastAsiaTheme="minorHAnsi" w:hAnsiTheme="minorHAnsi" w:cs="David" w:hint="cs"/>
          <w:sz w:val="24"/>
          <w:szCs w:val="24"/>
          <w:rtl/>
        </w:rPr>
        <w:t xml:space="preserve"> שחלקן עתירות מסים</w:t>
      </w:r>
      <w:r w:rsidR="00C96A2E">
        <w:rPr>
          <w:rFonts w:asciiTheme="minorHAnsi" w:eastAsiaTheme="minorHAnsi" w:hAnsiTheme="minorHAnsi" w:cs="David" w:hint="cs"/>
          <w:sz w:val="24"/>
          <w:szCs w:val="24"/>
          <w:rtl/>
        </w:rPr>
        <w:t>,</w:t>
      </w:r>
      <w:r w:rsidR="007F5B9D">
        <w:rPr>
          <w:rFonts w:asciiTheme="minorHAnsi" w:eastAsiaTheme="minorHAnsi" w:hAnsiTheme="minorHAnsi" w:cs="David" w:hint="cs"/>
          <w:sz w:val="24"/>
          <w:szCs w:val="24"/>
          <w:rtl/>
        </w:rPr>
        <w:t xml:space="preserve"> מגדילים את התנודתיות של תקבולי </w:t>
      </w:r>
      <w:r w:rsidR="00C96A2E">
        <w:rPr>
          <w:rFonts w:asciiTheme="minorHAnsi" w:eastAsiaTheme="minorHAnsi" w:hAnsiTheme="minorHAnsi" w:cs="David" w:hint="cs"/>
          <w:sz w:val="24"/>
          <w:szCs w:val="24"/>
          <w:rtl/>
        </w:rPr>
        <w:t>המס ואת אי-הו</w:t>
      </w:r>
      <w:r>
        <w:rPr>
          <w:rFonts w:asciiTheme="minorHAnsi" w:eastAsiaTheme="minorHAnsi" w:hAnsiTheme="minorHAnsi" w:cs="David" w:hint="cs"/>
          <w:sz w:val="24"/>
          <w:szCs w:val="24"/>
          <w:rtl/>
        </w:rPr>
        <w:t>ו</w:t>
      </w:r>
      <w:r w:rsidR="00C96A2E">
        <w:rPr>
          <w:rFonts w:asciiTheme="minorHAnsi" w:eastAsiaTheme="minorHAnsi" w:hAnsiTheme="minorHAnsi" w:cs="David" w:hint="cs"/>
          <w:sz w:val="24"/>
          <w:szCs w:val="24"/>
          <w:rtl/>
        </w:rPr>
        <w:t>דאות לגבי מגמתם בתקופה האחרונה.</w:t>
      </w:r>
    </w:p>
    <w:p w:rsidR="00345246" w:rsidRPr="00AC774A" w:rsidRDefault="00345246" w:rsidP="003A36A1">
      <w:pPr>
        <w:spacing w:line="360" w:lineRule="auto"/>
        <w:jc w:val="both"/>
        <w:rPr>
          <w:rFonts w:asciiTheme="minorHAnsi" w:eastAsiaTheme="minorHAnsi" w:hAnsiTheme="minorHAnsi" w:cs="David"/>
          <w:sz w:val="24"/>
          <w:szCs w:val="24"/>
          <w:rtl/>
        </w:rPr>
      </w:pPr>
    </w:p>
    <w:p w:rsidR="00AC6921" w:rsidRPr="00AC6921" w:rsidRDefault="00B92325" w:rsidP="003A36A1">
      <w:pPr>
        <w:spacing w:line="360" w:lineRule="auto"/>
        <w:jc w:val="both"/>
        <w:rPr>
          <w:rFonts w:asciiTheme="minorHAnsi" w:eastAsiaTheme="minorHAnsi" w:hAnsiTheme="minorHAnsi" w:cs="David"/>
          <w:sz w:val="24"/>
          <w:szCs w:val="24"/>
          <w:rtl/>
        </w:rPr>
      </w:pPr>
      <w:r>
        <w:rPr>
          <w:rFonts w:asciiTheme="minorHAnsi" w:eastAsiaTheme="minorHAnsi" w:hAnsiTheme="minorHAnsi" w:cs="David"/>
          <w:sz w:val="24"/>
          <w:szCs w:val="24"/>
          <w:rtl/>
        </w:rPr>
        <w:lastRenderedPageBreak/>
        <w:br/>
      </w:r>
      <w:bookmarkStart w:id="0" w:name="_GoBack"/>
      <w:bookmarkEnd w:id="0"/>
      <w:r w:rsidR="00277572">
        <w:rPr>
          <w:rFonts w:asciiTheme="minorHAnsi" w:eastAsiaTheme="minorHAnsi" w:hAnsiTheme="minorHAnsi" w:cs="David" w:hint="cs"/>
          <w:sz w:val="24"/>
          <w:szCs w:val="24"/>
          <w:rtl/>
        </w:rPr>
        <w:t xml:space="preserve">על פי </w:t>
      </w:r>
      <w:r w:rsidR="00C373FD">
        <w:rPr>
          <w:rFonts w:asciiTheme="minorHAnsi" w:eastAsiaTheme="minorHAnsi" w:hAnsiTheme="minorHAnsi" w:cs="David" w:hint="cs"/>
          <w:sz w:val="24"/>
          <w:szCs w:val="24"/>
          <w:rtl/>
        </w:rPr>
        <w:t>הכלל הפיסקלי החדש</w:t>
      </w:r>
      <w:r w:rsidR="000B7CEF">
        <w:rPr>
          <w:rFonts w:asciiTheme="minorHAnsi" w:eastAsiaTheme="minorHAnsi" w:hAnsiTheme="minorHAnsi" w:cs="David" w:hint="cs"/>
          <w:sz w:val="24"/>
          <w:szCs w:val="24"/>
          <w:rtl/>
        </w:rPr>
        <w:t>,</w:t>
      </w:r>
      <w:r w:rsidR="00277572">
        <w:rPr>
          <w:rFonts w:asciiTheme="minorHAnsi" w:eastAsiaTheme="minorHAnsi" w:hAnsiTheme="minorHAnsi" w:cs="David" w:hint="cs"/>
          <w:sz w:val="24"/>
          <w:szCs w:val="24"/>
          <w:rtl/>
        </w:rPr>
        <w:t xml:space="preserve"> הגידול הריאלי המותר של תקציב 2015 הוא 2.6 אחוזים</w:t>
      </w:r>
      <w:r w:rsidR="000B7CEF">
        <w:rPr>
          <w:rFonts w:asciiTheme="minorHAnsi" w:eastAsiaTheme="minorHAnsi" w:hAnsiTheme="minorHAnsi" w:cs="David" w:hint="cs"/>
          <w:sz w:val="24"/>
          <w:szCs w:val="24"/>
          <w:rtl/>
        </w:rPr>
        <w:t>, שמשמעותו תוספת של 8 מיליארדי ש"ח</w:t>
      </w:r>
      <w:r w:rsidR="00277572">
        <w:rPr>
          <w:rFonts w:asciiTheme="minorHAnsi" w:eastAsiaTheme="minorHAnsi" w:hAnsiTheme="minorHAnsi" w:cs="David" w:hint="cs"/>
          <w:sz w:val="24"/>
          <w:szCs w:val="24"/>
          <w:rtl/>
        </w:rPr>
        <w:t>.</w:t>
      </w:r>
      <w:r w:rsidR="000B7CEF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C96A2E">
        <w:rPr>
          <w:rFonts w:asciiTheme="minorHAnsi" w:eastAsiaTheme="minorHAnsi" w:hAnsiTheme="minorHAnsi" w:cs="David" w:hint="cs"/>
          <w:sz w:val="24"/>
          <w:szCs w:val="24"/>
          <w:rtl/>
        </w:rPr>
        <w:t>ואולם</w:t>
      </w:r>
      <w:r w:rsidR="000B7CEF">
        <w:rPr>
          <w:rFonts w:asciiTheme="minorHAnsi" w:eastAsiaTheme="minorHAnsi" w:hAnsiTheme="minorHAnsi" w:cs="David" w:hint="cs"/>
          <w:sz w:val="24"/>
          <w:szCs w:val="24"/>
          <w:rtl/>
        </w:rPr>
        <w:t xml:space="preserve">, שיעור הגידול הריאלי של </w:t>
      </w:r>
      <w:r w:rsidR="003A36A1">
        <w:rPr>
          <w:rFonts w:asciiTheme="minorHAnsi" w:eastAsiaTheme="minorHAnsi" w:hAnsiTheme="minorHAnsi" w:cs="David" w:hint="cs"/>
          <w:sz w:val="24"/>
          <w:szCs w:val="24"/>
          <w:rtl/>
        </w:rPr>
        <w:t>ה</w:t>
      </w:r>
      <w:r w:rsidR="000B7CEF">
        <w:rPr>
          <w:rFonts w:asciiTheme="minorHAnsi" w:eastAsiaTheme="minorHAnsi" w:hAnsiTheme="minorHAnsi" w:cs="David" w:hint="cs"/>
          <w:sz w:val="24"/>
          <w:szCs w:val="24"/>
          <w:rtl/>
        </w:rPr>
        <w:t xml:space="preserve">תקציב מותאם </w:t>
      </w:r>
      <w:r w:rsidR="003A36A1">
        <w:rPr>
          <w:rFonts w:asciiTheme="minorHAnsi" w:eastAsiaTheme="minorHAnsi" w:hAnsiTheme="minorHAnsi" w:cs="David" w:hint="cs"/>
          <w:sz w:val="24"/>
          <w:szCs w:val="24"/>
          <w:rtl/>
        </w:rPr>
        <w:t xml:space="preserve">מדי שנה </w:t>
      </w:r>
      <w:r w:rsidR="000B7CEF">
        <w:rPr>
          <w:rFonts w:asciiTheme="minorHAnsi" w:eastAsiaTheme="minorHAnsi" w:hAnsiTheme="minorHAnsi" w:cs="David" w:hint="cs"/>
          <w:sz w:val="24"/>
          <w:szCs w:val="24"/>
          <w:rtl/>
        </w:rPr>
        <w:t>לפער בין תחזית המחירים ששימשה להכנת התקציב הקודם ל</w:t>
      </w:r>
      <w:r w:rsidR="008949C1">
        <w:rPr>
          <w:rFonts w:asciiTheme="minorHAnsi" w:eastAsiaTheme="minorHAnsi" w:hAnsiTheme="minorHAnsi" w:cs="David" w:hint="cs"/>
          <w:sz w:val="24"/>
          <w:szCs w:val="24"/>
          <w:rtl/>
        </w:rPr>
        <w:t>בין ה</w:t>
      </w:r>
      <w:r w:rsidR="000B7CEF">
        <w:rPr>
          <w:rFonts w:asciiTheme="minorHAnsi" w:eastAsiaTheme="minorHAnsi" w:hAnsiTheme="minorHAnsi" w:cs="David" w:hint="cs"/>
          <w:sz w:val="24"/>
          <w:szCs w:val="24"/>
          <w:rtl/>
        </w:rPr>
        <w:t>מחירים בפועל</w:t>
      </w:r>
      <w:r w:rsidR="008949C1">
        <w:rPr>
          <w:rFonts w:asciiTheme="minorHAnsi" w:eastAsiaTheme="minorHAnsi" w:hAnsiTheme="minorHAnsi" w:cs="David" w:hint="cs"/>
          <w:sz w:val="24"/>
          <w:szCs w:val="24"/>
          <w:rtl/>
        </w:rPr>
        <w:t xml:space="preserve">. משמעות </w:t>
      </w:r>
      <w:r w:rsidR="00CC0844">
        <w:rPr>
          <w:rFonts w:asciiTheme="minorHAnsi" w:eastAsiaTheme="minorHAnsi" w:hAnsiTheme="minorHAnsi" w:cs="David" w:hint="cs"/>
          <w:sz w:val="24"/>
          <w:szCs w:val="24"/>
          <w:rtl/>
        </w:rPr>
        <w:t>התאמה זו</w:t>
      </w:r>
      <w:r w:rsidR="008949C1">
        <w:rPr>
          <w:rFonts w:asciiTheme="minorHAnsi" w:eastAsiaTheme="minorHAnsi" w:hAnsiTheme="minorHAnsi" w:cs="David" w:hint="cs"/>
          <w:sz w:val="24"/>
          <w:szCs w:val="24"/>
          <w:rtl/>
        </w:rPr>
        <w:t xml:space="preserve">, אם </w:t>
      </w:r>
      <w:r w:rsidR="00CC0844">
        <w:rPr>
          <w:rFonts w:asciiTheme="minorHAnsi" w:eastAsiaTheme="minorHAnsi" w:hAnsiTheme="minorHAnsi" w:cs="David" w:hint="cs"/>
          <w:sz w:val="24"/>
          <w:szCs w:val="24"/>
          <w:rtl/>
        </w:rPr>
        <w:t>ת</w:t>
      </w:r>
      <w:r w:rsidR="00B1710A">
        <w:rPr>
          <w:rFonts w:asciiTheme="minorHAnsi" w:eastAsiaTheme="minorHAnsi" w:hAnsiTheme="minorHAnsi" w:cs="David" w:hint="cs"/>
          <w:sz w:val="24"/>
          <w:szCs w:val="24"/>
          <w:rtl/>
        </w:rPr>
        <w:t>יושם</w:t>
      </w:r>
      <w:r w:rsidR="008949C1">
        <w:rPr>
          <w:rFonts w:asciiTheme="minorHAnsi" w:eastAsiaTheme="minorHAnsi" w:hAnsiTheme="minorHAnsi" w:cs="David" w:hint="cs"/>
          <w:sz w:val="24"/>
          <w:szCs w:val="24"/>
          <w:rtl/>
        </w:rPr>
        <w:t>, היא שהגידול הריאלי בתקציב 2015 יהיה רק 1.</w:t>
      </w:r>
      <w:r w:rsidR="002B740A">
        <w:rPr>
          <w:rFonts w:asciiTheme="minorHAnsi" w:eastAsiaTheme="minorHAnsi" w:hAnsiTheme="minorHAnsi" w:cs="David" w:hint="cs"/>
          <w:sz w:val="24"/>
          <w:szCs w:val="24"/>
          <w:rtl/>
        </w:rPr>
        <w:t>1</w:t>
      </w:r>
      <w:r w:rsidR="008949C1">
        <w:rPr>
          <w:rFonts w:asciiTheme="minorHAnsi" w:eastAsiaTheme="minorHAnsi" w:hAnsiTheme="minorHAnsi" w:cs="David" w:hint="cs"/>
          <w:sz w:val="24"/>
          <w:szCs w:val="24"/>
          <w:rtl/>
        </w:rPr>
        <w:t xml:space="preserve"> אחוזים, או 3.</w:t>
      </w:r>
      <w:r w:rsidR="002B740A">
        <w:rPr>
          <w:rFonts w:asciiTheme="minorHAnsi" w:eastAsiaTheme="minorHAnsi" w:hAnsiTheme="minorHAnsi" w:cs="David" w:hint="cs"/>
          <w:sz w:val="24"/>
          <w:szCs w:val="24"/>
          <w:rtl/>
        </w:rPr>
        <w:t>3</w:t>
      </w:r>
      <w:r w:rsidR="008949C1">
        <w:rPr>
          <w:rFonts w:asciiTheme="minorHAnsi" w:eastAsiaTheme="minorHAnsi" w:hAnsiTheme="minorHAnsi" w:cs="David" w:hint="cs"/>
          <w:sz w:val="24"/>
          <w:szCs w:val="24"/>
          <w:rtl/>
        </w:rPr>
        <w:t xml:space="preserve"> מיליארדי ₪</w:t>
      </w:r>
      <w:r w:rsidR="002B256B">
        <w:rPr>
          <w:rFonts w:asciiTheme="minorHAnsi" w:eastAsiaTheme="minorHAnsi" w:hAnsiTheme="minorHAnsi" w:cs="David" w:hint="cs"/>
          <w:sz w:val="24"/>
          <w:szCs w:val="24"/>
          <w:rtl/>
        </w:rPr>
        <w:t>; זאת לאחר שבסיס התקציב כבר הופחת ב-3.75 מיליארדי ₪ ב-2014</w:t>
      </w:r>
      <w:r w:rsidR="008949C1">
        <w:rPr>
          <w:rFonts w:asciiTheme="minorHAnsi" w:eastAsiaTheme="minorHAnsi" w:hAnsiTheme="minorHAnsi" w:cs="David" w:hint="cs"/>
          <w:sz w:val="24"/>
          <w:szCs w:val="24"/>
          <w:rtl/>
        </w:rPr>
        <w:t xml:space="preserve">. </w:t>
      </w:r>
      <w:r w:rsidR="003C0AB4">
        <w:rPr>
          <w:rFonts w:asciiTheme="minorHAnsi" w:eastAsiaTheme="minorHAnsi" w:hAnsiTheme="minorHAnsi" w:cs="David" w:hint="cs"/>
          <w:sz w:val="24"/>
          <w:szCs w:val="24"/>
          <w:rtl/>
        </w:rPr>
        <w:t xml:space="preserve">עם זאת, </w:t>
      </w:r>
      <w:r w:rsidR="00B1710A">
        <w:rPr>
          <w:rFonts w:asciiTheme="minorHAnsi" w:eastAsiaTheme="minorHAnsi" w:hAnsiTheme="minorHAnsi" w:cs="David" w:hint="cs"/>
          <w:sz w:val="24"/>
          <w:szCs w:val="24"/>
          <w:rtl/>
        </w:rPr>
        <w:t>השנה קיימת שאלה משפטית האם יש צורך לבצע את התאמת המחירים, שכן הממשלה עברה לכלל הוצאה חדש ולכן אין מדובר בעדכון</w:t>
      </w:r>
      <w:r w:rsidR="006F4C5A">
        <w:rPr>
          <w:rFonts w:asciiTheme="minorHAnsi" w:eastAsiaTheme="minorHAnsi" w:hAnsiTheme="minorHAnsi" w:cs="David" w:hint="cs"/>
          <w:sz w:val="24"/>
          <w:szCs w:val="24"/>
          <w:rtl/>
        </w:rPr>
        <w:t xml:space="preserve"> שגרתי של התקציב על פי כלל קיים; להחלטה שתתקבל בנושא זה תהיה השפעה ניכרת על הרכב ההתאמה שתידרש כדי לעמוד ביעדי הגירעון וההוצאה בתקציב 2015.</w:t>
      </w:r>
      <w:r w:rsidR="002E0181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</w:p>
    <w:p w:rsidR="002E0181" w:rsidRDefault="002E0181" w:rsidP="00F45E28">
      <w:pPr>
        <w:spacing w:line="360" w:lineRule="auto"/>
        <w:jc w:val="both"/>
        <w:rPr>
          <w:rFonts w:asciiTheme="minorHAnsi" w:eastAsiaTheme="minorHAnsi" w:hAnsiTheme="minorHAnsi" w:cs="David"/>
          <w:sz w:val="24"/>
          <w:szCs w:val="24"/>
          <w:rtl/>
        </w:rPr>
      </w:pPr>
      <w:r>
        <w:rPr>
          <w:rFonts w:asciiTheme="minorHAnsi" w:eastAsiaTheme="minorHAnsi" w:hAnsiTheme="minorHAnsi" w:cs="David" w:hint="cs"/>
          <w:sz w:val="24"/>
          <w:szCs w:val="24"/>
          <w:rtl/>
        </w:rPr>
        <w:t xml:space="preserve">רמת ההוצאות הצפויה בתקציב 2015 על בסיס הפעילות הקיימת, המגמות הדמוגרפיות ועלות התוכניות שאישרה הממשלה גבוהה משמעותית מתקרת ההוצאות שקובע הכלל הפיסקלי. </w:t>
      </w:r>
      <w:r w:rsidR="00037E92">
        <w:rPr>
          <w:rFonts w:asciiTheme="minorHAnsi" w:eastAsiaTheme="minorHAnsi" w:hAnsiTheme="minorHAnsi" w:cs="David" w:hint="cs"/>
          <w:sz w:val="24"/>
          <w:szCs w:val="24"/>
          <w:rtl/>
        </w:rPr>
        <w:t>זאת למרות ההנחה שהדרישות התקציביות שטרם אושרו בתחומי הביטחון, החינוך, הרווחה</w:t>
      </w:r>
      <w:r w:rsidR="003C0AB4">
        <w:rPr>
          <w:rFonts w:asciiTheme="minorHAnsi" w:eastAsiaTheme="minorHAnsi" w:hAnsiTheme="minorHAnsi" w:cs="David" w:hint="cs"/>
          <w:sz w:val="24"/>
          <w:szCs w:val="24"/>
          <w:rtl/>
        </w:rPr>
        <w:t>,</w:t>
      </w:r>
      <w:r w:rsidR="00037E92">
        <w:rPr>
          <w:rFonts w:asciiTheme="minorHAnsi" w:eastAsiaTheme="minorHAnsi" w:hAnsiTheme="minorHAnsi" w:cs="David" w:hint="cs"/>
          <w:sz w:val="24"/>
          <w:szCs w:val="24"/>
          <w:rtl/>
        </w:rPr>
        <w:t xml:space="preserve"> והבריאות לא י</w:t>
      </w:r>
      <w:r w:rsidR="00B45F02">
        <w:rPr>
          <w:rFonts w:asciiTheme="minorHAnsi" w:eastAsiaTheme="minorHAnsi" w:hAnsiTheme="minorHAnsi" w:cs="David" w:hint="cs"/>
          <w:sz w:val="24"/>
          <w:szCs w:val="24"/>
          <w:rtl/>
        </w:rPr>
        <w:t>אושרו ללא קיצוץ מקביל בסעיפים אחרים.</w:t>
      </w:r>
      <w:r w:rsidR="00037E92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>
        <w:rPr>
          <w:rFonts w:asciiTheme="minorHAnsi" w:eastAsiaTheme="minorHAnsi" w:hAnsiTheme="minorHAnsi" w:cs="David" w:hint="cs"/>
          <w:sz w:val="24"/>
          <w:szCs w:val="24"/>
          <w:rtl/>
        </w:rPr>
        <w:t xml:space="preserve">הפער </w:t>
      </w:r>
      <w:r w:rsidR="00B45F02">
        <w:rPr>
          <w:rFonts w:asciiTheme="minorHAnsi" w:eastAsiaTheme="minorHAnsi" w:hAnsiTheme="minorHAnsi" w:cs="David" w:hint="cs"/>
          <w:sz w:val="24"/>
          <w:szCs w:val="24"/>
          <w:rtl/>
        </w:rPr>
        <w:t xml:space="preserve">בין ההוצאה הצפויה לתקרה </w:t>
      </w:r>
      <w:r>
        <w:rPr>
          <w:rFonts w:asciiTheme="minorHAnsi" w:eastAsiaTheme="minorHAnsi" w:hAnsiTheme="minorHAnsi" w:cs="David" w:hint="cs"/>
          <w:sz w:val="24"/>
          <w:szCs w:val="24"/>
          <w:rtl/>
        </w:rPr>
        <w:t>הוא כ-12 מיליארדי ₪</w:t>
      </w:r>
      <w:r w:rsidR="00CC2D34">
        <w:rPr>
          <w:rFonts w:asciiTheme="minorHAnsi" w:eastAsiaTheme="minorHAnsi" w:hAnsiTheme="minorHAnsi" w:cs="David" w:hint="cs"/>
          <w:sz w:val="24"/>
          <w:szCs w:val="24"/>
          <w:rtl/>
        </w:rPr>
        <w:t xml:space="preserve"> במידה ותבוצע התאמת המחירים (שתקטין את ההוצאה המותרת)</w:t>
      </w:r>
      <w:r w:rsidR="002B256B">
        <w:rPr>
          <w:rFonts w:asciiTheme="minorHAnsi" w:eastAsiaTheme="minorHAnsi" w:hAnsiTheme="minorHAnsi" w:cs="David" w:hint="cs"/>
          <w:sz w:val="24"/>
          <w:szCs w:val="24"/>
          <w:rtl/>
        </w:rPr>
        <w:t>,</w:t>
      </w:r>
      <w:r w:rsidR="00CC2D34">
        <w:rPr>
          <w:rFonts w:asciiTheme="minorHAnsi" w:eastAsiaTheme="minorHAnsi" w:hAnsiTheme="minorHAnsi" w:cs="David" w:hint="cs"/>
          <w:sz w:val="24"/>
          <w:szCs w:val="24"/>
          <w:rtl/>
        </w:rPr>
        <w:t xml:space="preserve"> או כ-7 מיליארדי ₪ במידה וי</w:t>
      </w:r>
      <w:r w:rsidR="003C0AB4">
        <w:rPr>
          <w:rFonts w:asciiTheme="minorHAnsi" w:eastAsiaTheme="minorHAnsi" w:hAnsiTheme="minorHAnsi" w:cs="David" w:hint="cs"/>
          <w:sz w:val="24"/>
          <w:szCs w:val="24"/>
          <w:rtl/>
        </w:rPr>
        <w:t>קבע</w:t>
      </w:r>
      <w:r w:rsidR="00CC2D34">
        <w:rPr>
          <w:rFonts w:asciiTheme="minorHAnsi" w:eastAsiaTheme="minorHAnsi" w:hAnsiTheme="minorHAnsi" w:cs="David" w:hint="cs"/>
          <w:sz w:val="24"/>
          <w:szCs w:val="24"/>
          <w:rtl/>
        </w:rPr>
        <w:t xml:space="preserve"> ש</w:t>
      </w:r>
      <w:r w:rsidR="002B256B">
        <w:rPr>
          <w:rFonts w:asciiTheme="minorHAnsi" w:eastAsiaTheme="minorHAnsi" w:hAnsiTheme="minorHAnsi" w:cs="David" w:hint="cs"/>
          <w:sz w:val="24"/>
          <w:szCs w:val="24"/>
          <w:rtl/>
        </w:rPr>
        <w:t xml:space="preserve">מבחינה חוקית </w:t>
      </w:r>
      <w:r w:rsidR="00CC2D34">
        <w:rPr>
          <w:rFonts w:asciiTheme="minorHAnsi" w:eastAsiaTheme="minorHAnsi" w:hAnsiTheme="minorHAnsi" w:cs="David" w:hint="cs"/>
          <w:sz w:val="24"/>
          <w:szCs w:val="24"/>
          <w:rtl/>
        </w:rPr>
        <w:t xml:space="preserve">אין צורך בהתאמת מחירים השנה. פער זה הוא נמוך מזה </w:t>
      </w:r>
      <w:proofErr w:type="spellStart"/>
      <w:r w:rsidR="00CC2D34">
        <w:rPr>
          <w:rFonts w:asciiTheme="minorHAnsi" w:eastAsiaTheme="minorHAnsi" w:hAnsiTheme="minorHAnsi" w:cs="David" w:hint="cs"/>
          <w:sz w:val="24"/>
          <w:szCs w:val="24"/>
          <w:rtl/>
        </w:rPr>
        <w:t>שאיתו</w:t>
      </w:r>
      <w:proofErr w:type="spellEnd"/>
      <w:r w:rsidR="00CC2D34">
        <w:rPr>
          <w:rFonts w:asciiTheme="minorHAnsi" w:eastAsiaTheme="minorHAnsi" w:hAnsiTheme="minorHAnsi" w:cs="David" w:hint="cs"/>
          <w:sz w:val="24"/>
          <w:szCs w:val="24"/>
          <w:rtl/>
        </w:rPr>
        <w:t xml:space="preserve"> התמודדה הממשלה בתקציב 2014-2013, אך גבוה מאשר במרבית השנים הקודמות. </w:t>
      </w:r>
      <w:r w:rsidR="00B77A2D">
        <w:rPr>
          <w:rFonts w:asciiTheme="minorHAnsi" w:eastAsiaTheme="minorHAnsi" w:hAnsiTheme="minorHAnsi" w:cs="David" w:hint="cs"/>
          <w:sz w:val="24"/>
          <w:szCs w:val="24"/>
          <w:rtl/>
        </w:rPr>
        <w:t xml:space="preserve">יתר על כן, גם לאחר ביצוע ההתאמות יוותר פער של 6 מיליארדי ₪ נוספים בין ההוצאה הצפויה לתקרת ההוצאות ב-2016 ופער נוסף גם ב-2017. </w:t>
      </w:r>
      <w:r w:rsidR="00F45E28">
        <w:rPr>
          <w:rFonts w:cs="David" w:hint="cs"/>
          <w:sz w:val="24"/>
          <w:szCs w:val="24"/>
          <w:rtl/>
        </w:rPr>
        <w:t xml:space="preserve">חלק מהפער נגרם בשל השינוי בכלל ההוצאה אשתקד לכלל מצמצם יותר, אך </w:t>
      </w:r>
      <w:r w:rsidR="00CC2D34">
        <w:rPr>
          <w:rFonts w:cs="David" w:hint="cs"/>
          <w:sz w:val="24"/>
          <w:szCs w:val="24"/>
          <w:rtl/>
        </w:rPr>
        <w:t>להיווצרות פער</w:t>
      </w:r>
      <w:r w:rsidR="00B77A2D">
        <w:rPr>
          <w:rFonts w:cs="David" w:hint="cs"/>
          <w:sz w:val="24"/>
          <w:szCs w:val="24"/>
          <w:rtl/>
        </w:rPr>
        <w:t>ים אלה</w:t>
      </w:r>
      <w:r w:rsidR="00CC2D34">
        <w:rPr>
          <w:rFonts w:cs="David" w:hint="cs"/>
          <w:sz w:val="24"/>
          <w:szCs w:val="24"/>
          <w:rtl/>
        </w:rPr>
        <w:t xml:space="preserve"> תורם </w:t>
      </w:r>
      <w:r w:rsidR="00F45E28">
        <w:rPr>
          <w:rFonts w:cs="David" w:hint="cs"/>
          <w:sz w:val="24"/>
          <w:szCs w:val="24"/>
          <w:rtl/>
        </w:rPr>
        <w:t xml:space="preserve">גם </w:t>
      </w:r>
      <w:r w:rsidR="00CC2D34">
        <w:rPr>
          <w:rFonts w:cs="David" w:hint="cs"/>
          <w:sz w:val="24"/>
          <w:szCs w:val="24"/>
          <w:rtl/>
        </w:rPr>
        <w:t>היעדר</w:t>
      </w:r>
      <w:r w:rsidR="00CC2D34" w:rsidRPr="004833EB">
        <w:rPr>
          <w:rFonts w:cs="David" w:hint="cs"/>
          <w:sz w:val="24"/>
          <w:szCs w:val="24"/>
          <w:rtl/>
        </w:rPr>
        <w:t xml:space="preserve"> מעקב </w:t>
      </w:r>
      <w:r w:rsidR="00CC2D34">
        <w:rPr>
          <w:rFonts w:cs="David" w:hint="cs"/>
          <w:sz w:val="24"/>
          <w:szCs w:val="24"/>
          <w:rtl/>
        </w:rPr>
        <w:t xml:space="preserve">שיטתי </w:t>
      </w:r>
      <w:r w:rsidR="00CC2D34" w:rsidRPr="004833EB">
        <w:rPr>
          <w:rFonts w:cs="David" w:hint="cs"/>
          <w:sz w:val="24"/>
          <w:szCs w:val="24"/>
          <w:rtl/>
        </w:rPr>
        <w:t>אחר</w:t>
      </w:r>
      <w:r w:rsidR="00CC2D34">
        <w:rPr>
          <w:rFonts w:cs="David" w:hint="cs"/>
          <w:sz w:val="24"/>
          <w:szCs w:val="24"/>
          <w:rtl/>
        </w:rPr>
        <w:t>י</w:t>
      </w:r>
      <w:r w:rsidR="00CC2D34" w:rsidRPr="004833EB">
        <w:rPr>
          <w:rFonts w:cs="David" w:hint="cs"/>
          <w:sz w:val="24"/>
          <w:szCs w:val="24"/>
          <w:rtl/>
        </w:rPr>
        <w:t xml:space="preserve"> הפער בין עלות </w:t>
      </w:r>
      <w:r w:rsidR="00B77A2D">
        <w:rPr>
          <w:rFonts w:cs="David" w:hint="cs"/>
          <w:sz w:val="24"/>
          <w:szCs w:val="24"/>
          <w:rtl/>
        </w:rPr>
        <w:t xml:space="preserve">סך </w:t>
      </w:r>
      <w:r w:rsidR="00CC2D34" w:rsidRPr="004833EB">
        <w:rPr>
          <w:rFonts w:cs="David" w:hint="cs"/>
          <w:sz w:val="24"/>
          <w:szCs w:val="24"/>
          <w:rtl/>
        </w:rPr>
        <w:t>התוכניות ש</w:t>
      </w:r>
      <w:r w:rsidR="00CC2D34">
        <w:rPr>
          <w:rFonts w:cs="David" w:hint="cs"/>
          <w:sz w:val="24"/>
          <w:szCs w:val="24"/>
          <w:rtl/>
        </w:rPr>
        <w:t>מאשרת</w:t>
      </w:r>
      <w:r w:rsidR="00CC2D34" w:rsidRPr="004833EB">
        <w:rPr>
          <w:rFonts w:cs="David" w:hint="cs"/>
          <w:sz w:val="24"/>
          <w:szCs w:val="24"/>
          <w:rtl/>
        </w:rPr>
        <w:t xml:space="preserve"> הממשלה ל</w:t>
      </w:r>
      <w:r w:rsidR="00CC2D34">
        <w:rPr>
          <w:rFonts w:cs="David" w:hint="cs"/>
          <w:sz w:val="24"/>
          <w:szCs w:val="24"/>
          <w:rtl/>
        </w:rPr>
        <w:t xml:space="preserve">בין </w:t>
      </w:r>
      <w:r w:rsidR="00CC2D34" w:rsidRPr="004833EB">
        <w:rPr>
          <w:rFonts w:cs="David" w:hint="cs"/>
          <w:sz w:val="24"/>
          <w:szCs w:val="24"/>
          <w:rtl/>
        </w:rPr>
        <w:t xml:space="preserve">תקרת ההוצאות </w:t>
      </w:r>
      <w:r w:rsidR="00CC2D34">
        <w:rPr>
          <w:rFonts w:cs="David" w:hint="cs"/>
          <w:sz w:val="24"/>
          <w:szCs w:val="24"/>
          <w:rtl/>
        </w:rPr>
        <w:t>שקובע</w:t>
      </w:r>
      <w:r w:rsidR="00CC2D34" w:rsidRPr="004833EB">
        <w:rPr>
          <w:rFonts w:cs="David" w:hint="cs"/>
          <w:sz w:val="24"/>
          <w:szCs w:val="24"/>
          <w:rtl/>
        </w:rPr>
        <w:t xml:space="preserve"> </w:t>
      </w:r>
      <w:r w:rsidR="00CC2D34">
        <w:rPr>
          <w:rFonts w:cs="David" w:hint="cs"/>
          <w:sz w:val="24"/>
          <w:szCs w:val="24"/>
          <w:rtl/>
        </w:rPr>
        <w:t>ה</w:t>
      </w:r>
      <w:r w:rsidR="00CC2D34" w:rsidRPr="004833EB">
        <w:rPr>
          <w:rFonts w:cs="David" w:hint="cs"/>
          <w:sz w:val="24"/>
          <w:szCs w:val="24"/>
          <w:rtl/>
        </w:rPr>
        <w:t>כלל ה</w:t>
      </w:r>
      <w:r w:rsidR="00CC2D34">
        <w:rPr>
          <w:rFonts w:cs="David" w:hint="cs"/>
          <w:sz w:val="24"/>
          <w:szCs w:val="24"/>
          <w:rtl/>
        </w:rPr>
        <w:t>פיסקלי</w:t>
      </w:r>
      <w:r w:rsidR="00CC2D34" w:rsidRPr="004833EB">
        <w:rPr>
          <w:rFonts w:cs="David" w:hint="cs"/>
          <w:sz w:val="24"/>
          <w:szCs w:val="24"/>
          <w:rtl/>
        </w:rPr>
        <w:t xml:space="preserve">. </w:t>
      </w:r>
      <w:r w:rsidR="00CC2D34">
        <w:rPr>
          <w:rFonts w:cs="David" w:hint="cs"/>
          <w:sz w:val="24"/>
          <w:szCs w:val="24"/>
          <w:rtl/>
        </w:rPr>
        <w:t>כדי למנוע</w:t>
      </w:r>
      <w:r w:rsidR="00CC2D34" w:rsidRPr="004833EB">
        <w:rPr>
          <w:rFonts w:cs="David" w:hint="cs"/>
          <w:sz w:val="24"/>
          <w:szCs w:val="24"/>
          <w:rtl/>
        </w:rPr>
        <w:t xml:space="preserve"> חזרה על התהליך </w:t>
      </w:r>
      <w:r w:rsidR="00CC2D34">
        <w:rPr>
          <w:rFonts w:cs="David" w:hint="cs"/>
          <w:sz w:val="24"/>
          <w:szCs w:val="24"/>
          <w:rtl/>
        </w:rPr>
        <w:t>שהוביל</w:t>
      </w:r>
      <w:r w:rsidR="00CC2D34" w:rsidRPr="004833EB">
        <w:rPr>
          <w:rFonts w:cs="David" w:hint="cs"/>
          <w:sz w:val="24"/>
          <w:szCs w:val="24"/>
          <w:rtl/>
        </w:rPr>
        <w:t xml:space="preserve"> לבעיה הנוכחית</w:t>
      </w:r>
      <w:r w:rsidR="00CC2D34">
        <w:rPr>
          <w:rFonts w:cs="David" w:hint="cs"/>
          <w:sz w:val="24"/>
          <w:szCs w:val="24"/>
          <w:rtl/>
        </w:rPr>
        <w:t xml:space="preserve"> ח</w:t>
      </w:r>
      <w:r w:rsidR="00CC2D34" w:rsidRPr="004833EB">
        <w:rPr>
          <w:rFonts w:cs="David" w:hint="cs"/>
          <w:sz w:val="24"/>
          <w:szCs w:val="24"/>
          <w:rtl/>
        </w:rPr>
        <w:t xml:space="preserve">שוב שהממשלה תאמץ </w:t>
      </w:r>
      <w:r w:rsidR="00CC2D34">
        <w:rPr>
          <w:rFonts w:cs="David" w:hint="cs"/>
          <w:sz w:val="24"/>
          <w:szCs w:val="24"/>
          <w:rtl/>
        </w:rPr>
        <w:t xml:space="preserve">בהקדם </w:t>
      </w:r>
      <w:r w:rsidR="00CC2D34" w:rsidRPr="004833EB">
        <w:rPr>
          <w:rFonts w:cs="David" w:hint="cs"/>
          <w:sz w:val="24"/>
          <w:szCs w:val="24"/>
          <w:rtl/>
        </w:rPr>
        <w:t xml:space="preserve">מערכת </w:t>
      </w:r>
      <w:r w:rsidR="00CC2D34">
        <w:rPr>
          <w:rFonts w:cs="David" w:hint="cs"/>
          <w:sz w:val="24"/>
          <w:szCs w:val="24"/>
          <w:rtl/>
        </w:rPr>
        <w:t>ש</w:t>
      </w:r>
      <w:r w:rsidR="00CC2D34" w:rsidRPr="004833EB">
        <w:rPr>
          <w:rFonts w:cs="David" w:hint="cs"/>
          <w:sz w:val="24"/>
          <w:szCs w:val="24"/>
          <w:rtl/>
        </w:rPr>
        <w:t>תעקוב אחרי התחייבויות</w:t>
      </w:r>
      <w:r w:rsidR="00CC2D34">
        <w:rPr>
          <w:rFonts w:cs="David" w:hint="cs"/>
          <w:sz w:val="24"/>
          <w:szCs w:val="24"/>
          <w:rtl/>
        </w:rPr>
        <w:t>יה</w:t>
      </w:r>
      <w:r w:rsidR="00CC2D34" w:rsidRPr="004833EB">
        <w:rPr>
          <w:rFonts w:cs="David" w:hint="cs"/>
          <w:sz w:val="24"/>
          <w:szCs w:val="24"/>
          <w:rtl/>
        </w:rPr>
        <w:t xml:space="preserve"> להוצאות לשנים הקרובות ותחייב הת</w:t>
      </w:r>
      <w:r w:rsidR="00CC2D34">
        <w:rPr>
          <w:rFonts w:cs="David" w:hint="cs"/>
          <w:sz w:val="24"/>
          <w:szCs w:val="24"/>
          <w:rtl/>
        </w:rPr>
        <w:t>ייחסות</w:t>
      </w:r>
      <w:r w:rsidR="00CC2D34" w:rsidRPr="004833EB">
        <w:rPr>
          <w:rFonts w:cs="David" w:hint="cs"/>
          <w:sz w:val="24"/>
          <w:szCs w:val="24"/>
          <w:rtl/>
        </w:rPr>
        <w:t xml:space="preserve"> </w:t>
      </w:r>
      <w:proofErr w:type="spellStart"/>
      <w:r w:rsidR="00CC2D34" w:rsidRPr="004833EB">
        <w:rPr>
          <w:rFonts w:cs="David" w:hint="cs"/>
          <w:sz w:val="24"/>
          <w:szCs w:val="24"/>
          <w:rtl/>
        </w:rPr>
        <w:t>מיידית</w:t>
      </w:r>
      <w:proofErr w:type="spellEnd"/>
      <w:r w:rsidR="00CC2D34" w:rsidRPr="004833EB">
        <w:rPr>
          <w:rFonts w:cs="David" w:hint="cs"/>
          <w:sz w:val="24"/>
          <w:szCs w:val="24"/>
          <w:rtl/>
        </w:rPr>
        <w:t xml:space="preserve"> </w:t>
      </w:r>
      <w:r w:rsidR="00CC2D34">
        <w:rPr>
          <w:rFonts w:cs="David" w:hint="cs"/>
          <w:sz w:val="24"/>
          <w:szCs w:val="24"/>
          <w:rtl/>
        </w:rPr>
        <w:t>להתפתחות</w:t>
      </w:r>
      <w:r w:rsidR="00CC2D34" w:rsidRPr="004833EB">
        <w:rPr>
          <w:rFonts w:cs="David" w:hint="cs"/>
          <w:sz w:val="24"/>
          <w:szCs w:val="24"/>
          <w:rtl/>
        </w:rPr>
        <w:t xml:space="preserve"> </w:t>
      </w:r>
      <w:r w:rsidR="00CC2D34">
        <w:rPr>
          <w:rFonts w:cs="David" w:hint="cs"/>
          <w:sz w:val="24"/>
          <w:szCs w:val="24"/>
          <w:rtl/>
        </w:rPr>
        <w:t xml:space="preserve">של </w:t>
      </w:r>
      <w:r w:rsidR="00CC2D34" w:rsidRPr="004833EB">
        <w:rPr>
          <w:rFonts w:cs="David" w:hint="cs"/>
          <w:sz w:val="24"/>
          <w:szCs w:val="24"/>
          <w:rtl/>
        </w:rPr>
        <w:t>חריג</w:t>
      </w:r>
      <w:r w:rsidR="00CC2D34">
        <w:rPr>
          <w:rFonts w:cs="David" w:hint="cs"/>
          <w:sz w:val="24"/>
          <w:szCs w:val="24"/>
          <w:rtl/>
        </w:rPr>
        <w:t>ות</w:t>
      </w:r>
      <w:r w:rsidR="00CC2D34" w:rsidRPr="004833EB">
        <w:rPr>
          <w:rFonts w:cs="David" w:hint="cs"/>
          <w:sz w:val="24"/>
          <w:szCs w:val="24"/>
          <w:rtl/>
        </w:rPr>
        <w:t xml:space="preserve"> מתקרת ההוצאות</w:t>
      </w:r>
      <w:r w:rsidR="00CC2D34">
        <w:rPr>
          <w:rFonts w:cs="David" w:hint="cs"/>
          <w:sz w:val="24"/>
          <w:szCs w:val="24"/>
          <w:rtl/>
        </w:rPr>
        <w:t xml:space="preserve"> לשנים הבאות.</w:t>
      </w:r>
    </w:p>
    <w:p w:rsidR="004A4642" w:rsidRPr="001F1CC5" w:rsidRDefault="00484C7D" w:rsidP="00B45F02">
      <w:pPr>
        <w:spacing w:line="360" w:lineRule="auto"/>
        <w:jc w:val="both"/>
        <w:rPr>
          <w:rFonts w:asciiTheme="minorHAnsi" w:eastAsiaTheme="minorHAnsi" w:hAnsiTheme="minorHAnsi" w:cs="David"/>
          <w:sz w:val="24"/>
          <w:szCs w:val="24"/>
        </w:rPr>
      </w:pPr>
      <w:r w:rsidRPr="002E0181">
        <w:rPr>
          <w:rFonts w:asciiTheme="minorHAnsi" w:eastAsiaTheme="minorHAnsi" w:hAnsiTheme="minorHAnsi" w:cs="David" w:hint="cs"/>
          <w:sz w:val="24"/>
          <w:szCs w:val="24"/>
          <w:rtl/>
        </w:rPr>
        <w:t>תקרת הגירעון הקבועה בחוק לשנת 2015 היא 2.5 אחוזי תוצר</w:t>
      </w:r>
      <w:r w:rsidR="002B256B">
        <w:rPr>
          <w:rFonts w:asciiTheme="minorHAnsi" w:eastAsiaTheme="minorHAnsi" w:hAnsiTheme="minorHAnsi" w:cs="David" w:hint="cs"/>
          <w:sz w:val="24"/>
          <w:szCs w:val="24"/>
          <w:rtl/>
        </w:rPr>
        <w:t>.</w:t>
      </w:r>
      <w:r w:rsidR="00AE13D0" w:rsidRPr="002E0181">
        <w:rPr>
          <w:rFonts w:asciiTheme="minorHAnsi" w:eastAsiaTheme="minorHAnsi" w:hAnsiTheme="minorHAnsi" w:cs="David" w:hint="cs"/>
          <w:sz w:val="24"/>
          <w:szCs w:val="24"/>
          <w:rtl/>
        </w:rPr>
        <w:t xml:space="preserve"> על פי אומדנים הנגזרים ממודל המס של חטיבת המחקר של בנק ישראל</w:t>
      </w:r>
      <w:r w:rsidR="00BE20AE">
        <w:rPr>
          <w:rFonts w:asciiTheme="minorHAnsi" w:eastAsiaTheme="minorHAnsi" w:hAnsiTheme="minorHAnsi" w:cs="David" w:hint="cs"/>
          <w:sz w:val="24"/>
          <w:szCs w:val="24"/>
          <w:rtl/>
        </w:rPr>
        <w:t xml:space="preserve">, </w:t>
      </w:r>
      <w:r w:rsidR="00BE20AE" w:rsidRPr="002E0181">
        <w:rPr>
          <w:rFonts w:asciiTheme="minorHAnsi" w:eastAsiaTheme="minorHAnsi" w:hAnsiTheme="minorHAnsi" w:cs="David" w:hint="cs"/>
          <w:sz w:val="24"/>
          <w:szCs w:val="24"/>
          <w:rtl/>
        </w:rPr>
        <w:t>אם תבוצע התאמ</w:t>
      </w:r>
      <w:r w:rsidR="00B45F02">
        <w:rPr>
          <w:rFonts w:asciiTheme="minorHAnsi" w:eastAsiaTheme="minorHAnsi" w:hAnsiTheme="minorHAnsi" w:cs="David" w:hint="cs"/>
          <w:sz w:val="24"/>
          <w:szCs w:val="24"/>
          <w:rtl/>
        </w:rPr>
        <w:t>ת המחירים</w:t>
      </w:r>
      <w:r w:rsidR="00BE20AE" w:rsidRPr="002E0181">
        <w:rPr>
          <w:rFonts w:asciiTheme="minorHAnsi" w:eastAsiaTheme="minorHAnsi" w:hAnsiTheme="minorHAnsi" w:cs="David" w:hint="cs"/>
          <w:sz w:val="24"/>
          <w:szCs w:val="24"/>
          <w:rtl/>
        </w:rPr>
        <w:t>, וגידול ההוצאות ימותן ב-12 מיליארדי ₪ בהשוואה לאומדן הנוכחי, הגירעון הצפוי הוא 3.0 אחוזי תוצר ותוספת ההכנסות שתידרש כדי לא לחרוג מתקרת הגירעון היא כ-6 מיליארדי ₪</w:t>
      </w:r>
      <w:r w:rsidR="00BE20AE">
        <w:rPr>
          <w:rFonts w:asciiTheme="minorHAnsi" w:eastAsiaTheme="minorHAnsi" w:hAnsiTheme="minorHAnsi" w:cs="David" w:hint="cs"/>
          <w:sz w:val="24"/>
          <w:szCs w:val="24"/>
          <w:rtl/>
        </w:rPr>
        <w:t xml:space="preserve">. </w:t>
      </w:r>
      <w:r w:rsidR="00BE20AE" w:rsidRPr="002E0181">
        <w:rPr>
          <w:rFonts w:asciiTheme="minorHAnsi" w:eastAsiaTheme="minorHAnsi" w:hAnsiTheme="minorHAnsi" w:cs="David" w:hint="cs"/>
          <w:sz w:val="24"/>
          <w:szCs w:val="24"/>
          <w:rtl/>
        </w:rPr>
        <w:t>אם לא תבוצע התאמת המחירים, וגידול ההוצאות ימותן רק ב-7.3 מיליארדי ₪, הגירעון הצפוי יאמיר ל-3.4 אחוזי תוצר ותוספת ההכנסות הנדרשת תגיע ליותר מ-10.5 מיליארדי ₪.</w:t>
      </w:r>
      <w:r w:rsidR="00BE20AE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B45F02">
        <w:rPr>
          <w:rFonts w:asciiTheme="minorHAnsi" w:eastAsiaTheme="minorHAnsi" w:hAnsiTheme="minorHAnsi" w:cs="David" w:hint="cs"/>
          <w:sz w:val="24"/>
          <w:szCs w:val="24"/>
          <w:rtl/>
        </w:rPr>
        <w:t>אומדנים אלה כוללים</w:t>
      </w:r>
      <w:r w:rsidR="00BE20AE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  <w:r w:rsidR="001B5DEF" w:rsidRPr="002E0181">
        <w:rPr>
          <w:rFonts w:asciiTheme="minorHAnsi" w:eastAsiaTheme="minorHAnsi" w:hAnsiTheme="minorHAnsi" w:cs="David" w:hint="cs"/>
          <w:sz w:val="24"/>
          <w:szCs w:val="24"/>
          <w:rtl/>
        </w:rPr>
        <w:t xml:space="preserve">הפסד הכנסות של </w:t>
      </w:r>
      <w:r w:rsidR="00037E92">
        <w:rPr>
          <w:rFonts w:asciiTheme="minorHAnsi" w:eastAsiaTheme="minorHAnsi" w:hAnsiTheme="minorHAnsi" w:cs="David" w:hint="cs"/>
          <w:sz w:val="24"/>
          <w:szCs w:val="24"/>
          <w:rtl/>
        </w:rPr>
        <w:t>כ</w:t>
      </w:r>
      <w:r w:rsidR="001B5DEF" w:rsidRPr="002E0181">
        <w:rPr>
          <w:rFonts w:asciiTheme="minorHAnsi" w:eastAsiaTheme="minorHAnsi" w:hAnsiTheme="minorHAnsi" w:cs="David" w:hint="cs"/>
          <w:sz w:val="24"/>
          <w:szCs w:val="24"/>
          <w:rtl/>
        </w:rPr>
        <w:t>-2</w:t>
      </w:r>
      <w:r w:rsidR="000752E7" w:rsidRPr="002E0181">
        <w:rPr>
          <w:rFonts w:asciiTheme="minorHAnsi" w:eastAsiaTheme="minorHAnsi" w:hAnsiTheme="minorHAnsi" w:cs="David" w:hint="cs"/>
          <w:sz w:val="24"/>
          <w:szCs w:val="24"/>
          <w:rtl/>
        </w:rPr>
        <w:t>.5</w:t>
      </w:r>
      <w:r w:rsidR="001B5DEF" w:rsidRPr="002E0181">
        <w:rPr>
          <w:rFonts w:asciiTheme="minorHAnsi" w:eastAsiaTheme="minorHAnsi" w:hAnsiTheme="minorHAnsi" w:cs="David" w:hint="cs"/>
          <w:sz w:val="24"/>
          <w:szCs w:val="24"/>
          <w:rtl/>
        </w:rPr>
        <w:t xml:space="preserve"> מיליארדי </w:t>
      </w:r>
      <w:r w:rsidR="001B5DEF" w:rsidRPr="002E0181">
        <w:rPr>
          <w:rFonts w:asciiTheme="minorHAnsi" w:eastAsiaTheme="minorHAnsi" w:hAnsiTheme="minorHAnsi" w:cs="David" w:hint="eastAsia"/>
          <w:sz w:val="24"/>
          <w:szCs w:val="24"/>
          <w:rtl/>
        </w:rPr>
        <w:t>₪</w:t>
      </w:r>
      <w:r w:rsidR="001B5DEF" w:rsidRPr="002E0181">
        <w:rPr>
          <w:rFonts w:asciiTheme="minorHAnsi" w:eastAsiaTheme="minorHAnsi" w:hAnsiTheme="minorHAnsi" w:cs="David" w:hint="cs"/>
          <w:sz w:val="24"/>
          <w:szCs w:val="24"/>
          <w:rtl/>
        </w:rPr>
        <w:t xml:space="preserve"> בגין החלטת הממשלה לקבוע שיעור מע"מ 0 </w:t>
      </w:r>
      <w:proofErr w:type="spellStart"/>
      <w:r w:rsidR="001B5DEF" w:rsidRPr="002E0181">
        <w:rPr>
          <w:rFonts w:asciiTheme="minorHAnsi" w:eastAsiaTheme="minorHAnsi" w:hAnsiTheme="minorHAnsi" w:cs="David" w:hint="cs"/>
          <w:sz w:val="24"/>
          <w:szCs w:val="24"/>
          <w:rtl/>
        </w:rPr>
        <w:t>לרוכשי</w:t>
      </w:r>
      <w:proofErr w:type="spellEnd"/>
      <w:r w:rsidR="001B5DEF" w:rsidRPr="002E0181">
        <w:rPr>
          <w:rFonts w:asciiTheme="minorHAnsi" w:eastAsiaTheme="minorHAnsi" w:hAnsiTheme="minorHAnsi" w:cs="David" w:hint="cs"/>
          <w:sz w:val="24"/>
          <w:szCs w:val="24"/>
          <w:rtl/>
        </w:rPr>
        <w:t xml:space="preserve"> דירה ראשונה, שצפוי כי תיושם עד תחילת 2015. </w:t>
      </w:r>
      <w:r w:rsidR="006E218F" w:rsidRPr="002E0181">
        <w:rPr>
          <w:rFonts w:asciiTheme="minorHAnsi" w:eastAsiaTheme="minorHAnsi" w:hAnsiTheme="minorHAnsi" w:cs="David" w:hint="cs"/>
          <w:sz w:val="24"/>
          <w:szCs w:val="24"/>
          <w:rtl/>
        </w:rPr>
        <w:t>השילוב של ההתאמות הנדרשות כדי לא לחרוג הן מתקרת ההוצאות והן מתקרת הגירעון הוא לפיכך כ-1</w:t>
      </w:r>
      <w:r w:rsidR="000752E7" w:rsidRPr="002E0181">
        <w:rPr>
          <w:rFonts w:asciiTheme="minorHAnsi" w:eastAsiaTheme="minorHAnsi" w:hAnsiTheme="minorHAnsi" w:cs="David" w:hint="cs"/>
          <w:sz w:val="24"/>
          <w:szCs w:val="24"/>
          <w:rtl/>
        </w:rPr>
        <w:t>8</w:t>
      </w:r>
      <w:r w:rsidR="006E218F" w:rsidRPr="002E0181">
        <w:rPr>
          <w:rFonts w:asciiTheme="minorHAnsi" w:eastAsiaTheme="minorHAnsi" w:hAnsiTheme="minorHAnsi" w:cs="David" w:hint="cs"/>
          <w:sz w:val="24"/>
          <w:szCs w:val="24"/>
          <w:rtl/>
        </w:rPr>
        <w:t xml:space="preserve"> מיליארדי ₪, שהם כ-1.</w:t>
      </w:r>
      <w:r w:rsidR="000752E7" w:rsidRPr="002E0181">
        <w:rPr>
          <w:rFonts w:asciiTheme="minorHAnsi" w:eastAsiaTheme="minorHAnsi" w:hAnsiTheme="minorHAnsi" w:cs="David" w:hint="cs"/>
          <w:sz w:val="24"/>
          <w:szCs w:val="24"/>
          <w:rtl/>
        </w:rPr>
        <w:t>6</w:t>
      </w:r>
      <w:r w:rsidR="006E218F" w:rsidRPr="002E0181">
        <w:rPr>
          <w:rFonts w:asciiTheme="minorHAnsi" w:eastAsiaTheme="minorHAnsi" w:hAnsiTheme="minorHAnsi" w:cs="David" w:hint="cs"/>
          <w:sz w:val="24"/>
          <w:szCs w:val="24"/>
          <w:rtl/>
        </w:rPr>
        <w:t xml:space="preserve"> אחוזי תוצר.</w:t>
      </w:r>
      <w:r w:rsidR="006E218F">
        <w:rPr>
          <w:rFonts w:asciiTheme="minorHAnsi" w:eastAsiaTheme="minorHAnsi" w:hAnsiTheme="minorHAnsi" w:cs="David" w:hint="cs"/>
          <w:sz w:val="24"/>
          <w:szCs w:val="24"/>
          <w:rtl/>
        </w:rPr>
        <w:t xml:space="preserve"> </w:t>
      </w:r>
    </w:p>
    <w:p w:rsidR="00DD140F" w:rsidRDefault="000A62DF" w:rsidP="0077221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עמידה ביעד</w:t>
      </w:r>
      <w:r w:rsidR="00B77A2D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 הגירעון תאפשר לממשלה להפחית באופן מתמשך את יחס החוב לתוצר לכ-60 אחוזים בשנת 2020 (הקו הירוק באיור </w:t>
      </w:r>
      <w:r w:rsidR="00772213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 xml:space="preserve">). מאידך, שמירה על תקרת ההוצאות ללא צעדים להגדלת ההכנסות (כולל ב-2015) תקבע </w:t>
      </w:r>
      <w:r w:rsidR="00E72EF0">
        <w:rPr>
          <w:rFonts w:cs="David" w:hint="cs"/>
          <w:sz w:val="24"/>
          <w:szCs w:val="24"/>
          <w:rtl/>
        </w:rPr>
        <w:t xml:space="preserve">בשנים הקרובות </w:t>
      </w:r>
      <w:r>
        <w:rPr>
          <w:rFonts w:cs="David" w:hint="cs"/>
          <w:sz w:val="24"/>
          <w:szCs w:val="24"/>
          <w:rtl/>
        </w:rPr>
        <w:t>את יחס החוב לתוצר ברמתו הנוכחית, בפרט במקרה בו לא תבוצע התאמת המחירים ב-2015</w:t>
      </w:r>
      <w:r w:rsidR="00B53D04">
        <w:rPr>
          <w:rFonts w:cs="David" w:hint="cs"/>
          <w:sz w:val="24"/>
          <w:szCs w:val="24"/>
          <w:rtl/>
        </w:rPr>
        <w:t xml:space="preserve"> (הקו </w:t>
      </w:r>
      <w:r w:rsidR="00B53D04" w:rsidRPr="006E6468">
        <w:rPr>
          <w:rFonts w:cs="David" w:hint="cs"/>
          <w:sz w:val="24"/>
          <w:szCs w:val="24"/>
          <w:rtl/>
        </w:rPr>
        <w:t>האדום</w:t>
      </w:r>
      <w:r w:rsidR="00B53D04">
        <w:rPr>
          <w:rFonts w:cs="David" w:hint="cs"/>
          <w:sz w:val="24"/>
          <w:szCs w:val="24"/>
          <w:rtl/>
        </w:rPr>
        <w:t xml:space="preserve"> באיור </w:t>
      </w:r>
      <w:r w:rsidR="00772213">
        <w:rPr>
          <w:rFonts w:cs="David" w:hint="cs"/>
          <w:sz w:val="24"/>
          <w:szCs w:val="24"/>
          <w:rtl/>
        </w:rPr>
        <w:t>1</w:t>
      </w:r>
      <w:r w:rsidR="00B53D04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>.</w:t>
      </w:r>
    </w:p>
    <w:p w:rsidR="007E1CC6" w:rsidRDefault="007E1CC6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DE625B" w:rsidRDefault="00DE625B" w:rsidP="00772213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E625B" w:rsidRPr="00DA631D" w:rsidRDefault="00DE625B" w:rsidP="00DA631D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DA631D">
        <w:rPr>
          <w:rFonts w:cs="David" w:hint="cs"/>
          <w:b/>
          <w:bCs/>
          <w:sz w:val="28"/>
          <w:szCs w:val="28"/>
          <w:rtl/>
        </w:rPr>
        <w:t>איור 1: תוואים של יחס החוב לתוצר לפי תוואי מדיניות שונים, 2020-2014</w:t>
      </w:r>
    </w:p>
    <w:p w:rsidR="006E6468" w:rsidRDefault="00DA631D" w:rsidP="007E1CC6">
      <w:pPr>
        <w:spacing w:line="360" w:lineRule="auto"/>
        <w:ind w:left="-902"/>
        <w:jc w:val="center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</w:rPr>
        <w:drawing>
          <wp:inline distT="0" distB="0" distL="0" distR="0" wp14:anchorId="2E365E5B">
            <wp:extent cx="6348865" cy="387667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578" cy="388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69A" w:rsidRDefault="00DB069A" w:rsidP="009253C1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227996" w:rsidRDefault="00227996" w:rsidP="006E6468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227996" w:rsidSect="007E1CC6">
      <w:footerReference w:type="default" r:id="rId11"/>
      <w:pgSz w:w="11906" w:h="16838"/>
      <w:pgMar w:top="680" w:right="1814" w:bottom="567" w:left="1355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92" w:rsidRDefault="00A54292" w:rsidP="001C0979">
      <w:pPr>
        <w:spacing w:after="0" w:line="240" w:lineRule="auto"/>
      </w:pPr>
      <w:r>
        <w:separator/>
      </w:r>
    </w:p>
  </w:endnote>
  <w:endnote w:type="continuationSeparator" w:id="0">
    <w:p w:rsidR="00A54292" w:rsidRDefault="00A54292" w:rsidP="001C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0"/>
        <w:szCs w:val="20"/>
        <w:rtl/>
      </w:rPr>
      <w:id w:val="-1809852548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CC6" w:rsidRPr="007E1CC6" w:rsidRDefault="007E1CC6" w:rsidP="007E1CC6">
            <w:pPr>
              <w:pStyle w:val="ab"/>
              <w:tabs>
                <w:tab w:val="clear" w:pos="4153"/>
                <w:tab w:val="clear" w:pos="8306"/>
              </w:tabs>
              <w:ind w:right="-284"/>
              <w:rPr>
                <w:rFonts w:cs="David"/>
                <w:sz w:val="20"/>
                <w:szCs w:val="20"/>
                <w:rtl/>
                <w:cs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בנק ישראל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DA765D">
              <w:rPr>
                <w:rFonts w:cs="David" w:hint="cs"/>
                <w:sz w:val="20"/>
                <w:szCs w:val="20"/>
                <w:rtl/>
              </w:rPr>
              <w:t xml:space="preserve"> הודעה לעיתונות - הסקירה הפיסקלית מאי 2014</w:t>
            </w:r>
            <w:r w:rsidR="00DA765D">
              <w:rPr>
                <w:rFonts w:cs="David" w:hint="cs"/>
                <w:sz w:val="20"/>
                <w:szCs w:val="20"/>
                <w:rtl/>
              </w:rPr>
              <w:tab/>
            </w:r>
            <w:r w:rsidR="00DA765D">
              <w:rPr>
                <w:rFonts w:cs="David" w:hint="cs"/>
                <w:sz w:val="20"/>
                <w:szCs w:val="20"/>
                <w:rtl/>
              </w:rPr>
              <w:tab/>
            </w:r>
            <w:r w:rsidR="00DA765D">
              <w:rPr>
                <w:rFonts w:cs="David" w:hint="cs"/>
                <w:sz w:val="20"/>
                <w:szCs w:val="20"/>
                <w:rtl/>
              </w:rPr>
              <w:tab/>
            </w:r>
            <w:r w:rsidR="00DA765D">
              <w:rPr>
                <w:rFonts w:cs="David" w:hint="cs"/>
                <w:sz w:val="20"/>
                <w:szCs w:val="20"/>
                <w:rtl/>
              </w:rPr>
              <w:tab/>
            </w:r>
            <w:r>
              <w:rPr>
                <w:rFonts w:cs="David" w:hint="cs"/>
                <w:sz w:val="20"/>
                <w:szCs w:val="20"/>
                <w:rtl/>
              </w:rPr>
              <w:tab/>
            </w:r>
            <w:r w:rsidRPr="007E1CC6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עמוד </w:t>
            </w:r>
            <w:r w:rsidRPr="007E1CC6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7E1CC6">
              <w:rPr>
                <w:rFonts w:cs="David"/>
                <w:b/>
                <w:bCs/>
                <w:sz w:val="20"/>
                <w:szCs w:val="20"/>
                <w:rtl/>
                <w:cs/>
              </w:rPr>
              <w:instrText>PAGE</w:instrText>
            </w:r>
            <w:r w:rsidRPr="007E1CC6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 w:rsidR="00FF16BA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1</w:t>
            </w:r>
            <w:r w:rsidRPr="007E1CC6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  <w:r w:rsidRPr="007E1CC6">
              <w:rPr>
                <w:rFonts w:cs="David"/>
                <w:sz w:val="20"/>
                <w:szCs w:val="20"/>
                <w:rtl/>
                <w:cs/>
                <w:lang w:val="he-IL"/>
              </w:rPr>
              <w:t xml:space="preserve"> מתוך </w:t>
            </w:r>
            <w:r w:rsidRPr="007E1CC6">
              <w:rPr>
                <w:rFonts w:cs="David"/>
                <w:b/>
                <w:bCs/>
                <w:sz w:val="20"/>
                <w:szCs w:val="20"/>
              </w:rPr>
              <w:fldChar w:fldCharType="begin"/>
            </w:r>
            <w:r w:rsidRPr="007E1CC6">
              <w:rPr>
                <w:rFonts w:cs="David"/>
                <w:b/>
                <w:bCs/>
                <w:sz w:val="20"/>
                <w:szCs w:val="20"/>
                <w:rtl/>
                <w:cs/>
              </w:rPr>
              <w:instrText>NUMPAGES</w:instrText>
            </w:r>
            <w:r w:rsidRPr="007E1CC6">
              <w:rPr>
                <w:rFonts w:cs="David"/>
                <w:b/>
                <w:bCs/>
                <w:sz w:val="20"/>
                <w:szCs w:val="20"/>
              </w:rPr>
              <w:fldChar w:fldCharType="separate"/>
            </w:r>
            <w:r w:rsidR="00FF16BA">
              <w:rPr>
                <w:rFonts w:cs="David"/>
                <w:b/>
                <w:bCs/>
                <w:noProof/>
                <w:sz w:val="20"/>
                <w:szCs w:val="20"/>
                <w:rtl/>
              </w:rPr>
              <w:t>3</w:t>
            </w:r>
            <w:r w:rsidRPr="007E1CC6">
              <w:rPr>
                <w:rFonts w:cs="Davi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438E9" w:rsidRPr="00B5550D" w:rsidRDefault="001438E9" w:rsidP="00B555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92" w:rsidRDefault="00A54292" w:rsidP="001C0979">
      <w:pPr>
        <w:spacing w:after="0" w:line="240" w:lineRule="auto"/>
      </w:pPr>
      <w:r>
        <w:separator/>
      </w:r>
    </w:p>
  </w:footnote>
  <w:footnote w:type="continuationSeparator" w:id="0">
    <w:p w:rsidR="00A54292" w:rsidRDefault="00A54292" w:rsidP="001C0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160"/>
    <w:multiLevelType w:val="hybridMultilevel"/>
    <w:tmpl w:val="688AE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634E7"/>
    <w:multiLevelType w:val="hybridMultilevel"/>
    <w:tmpl w:val="95D8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3E1"/>
    <w:multiLevelType w:val="hybridMultilevel"/>
    <w:tmpl w:val="95D8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79"/>
    <w:rsid w:val="00007491"/>
    <w:rsid w:val="00010586"/>
    <w:rsid w:val="0002272E"/>
    <w:rsid w:val="00037E92"/>
    <w:rsid w:val="0004795A"/>
    <w:rsid w:val="00055DDA"/>
    <w:rsid w:val="0007162A"/>
    <w:rsid w:val="00072895"/>
    <w:rsid w:val="000752E7"/>
    <w:rsid w:val="00075B6A"/>
    <w:rsid w:val="0008295A"/>
    <w:rsid w:val="00083DB3"/>
    <w:rsid w:val="000A62DF"/>
    <w:rsid w:val="000B7CEF"/>
    <w:rsid w:val="000D0B43"/>
    <w:rsid w:val="000E5F6C"/>
    <w:rsid w:val="000F0481"/>
    <w:rsid w:val="000F35AD"/>
    <w:rsid w:val="000F7FFA"/>
    <w:rsid w:val="00117C40"/>
    <w:rsid w:val="00126DE0"/>
    <w:rsid w:val="001438E9"/>
    <w:rsid w:val="0018393A"/>
    <w:rsid w:val="00197FB5"/>
    <w:rsid w:val="001A3DC3"/>
    <w:rsid w:val="001B5DEF"/>
    <w:rsid w:val="001C0979"/>
    <w:rsid w:val="001F12ED"/>
    <w:rsid w:val="001F1CC5"/>
    <w:rsid w:val="00201194"/>
    <w:rsid w:val="00204774"/>
    <w:rsid w:val="00227996"/>
    <w:rsid w:val="002320F9"/>
    <w:rsid w:val="002352AB"/>
    <w:rsid w:val="00274539"/>
    <w:rsid w:val="00277572"/>
    <w:rsid w:val="00297793"/>
    <w:rsid w:val="002B256B"/>
    <w:rsid w:val="002B740A"/>
    <w:rsid w:val="002D0FEA"/>
    <w:rsid w:val="002D69CA"/>
    <w:rsid w:val="002E0181"/>
    <w:rsid w:val="00303F1D"/>
    <w:rsid w:val="00345246"/>
    <w:rsid w:val="0035364B"/>
    <w:rsid w:val="00361816"/>
    <w:rsid w:val="00366AC6"/>
    <w:rsid w:val="00383CD3"/>
    <w:rsid w:val="00397046"/>
    <w:rsid w:val="003A36A1"/>
    <w:rsid w:val="003B1378"/>
    <w:rsid w:val="003C0AB4"/>
    <w:rsid w:val="003C59E6"/>
    <w:rsid w:val="003D03CB"/>
    <w:rsid w:val="003F29EB"/>
    <w:rsid w:val="00411E60"/>
    <w:rsid w:val="004208BF"/>
    <w:rsid w:val="00433364"/>
    <w:rsid w:val="004565B0"/>
    <w:rsid w:val="00456792"/>
    <w:rsid w:val="00482F5E"/>
    <w:rsid w:val="00484C7D"/>
    <w:rsid w:val="00490884"/>
    <w:rsid w:val="004A4642"/>
    <w:rsid w:val="004A489E"/>
    <w:rsid w:val="004A7549"/>
    <w:rsid w:val="004B0D07"/>
    <w:rsid w:val="004D428F"/>
    <w:rsid w:val="005059EF"/>
    <w:rsid w:val="00510B8A"/>
    <w:rsid w:val="0053015A"/>
    <w:rsid w:val="005326DA"/>
    <w:rsid w:val="0055003C"/>
    <w:rsid w:val="005515A2"/>
    <w:rsid w:val="005645F1"/>
    <w:rsid w:val="00572612"/>
    <w:rsid w:val="00595743"/>
    <w:rsid w:val="005D283E"/>
    <w:rsid w:val="0060272C"/>
    <w:rsid w:val="00611439"/>
    <w:rsid w:val="00635C3D"/>
    <w:rsid w:val="00684BD9"/>
    <w:rsid w:val="006A25AA"/>
    <w:rsid w:val="006B1F10"/>
    <w:rsid w:val="006B422E"/>
    <w:rsid w:val="006B7F45"/>
    <w:rsid w:val="006D5BC3"/>
    <w:rsid w:val="006D7781"/>
    <w:rsid w:val="006E218F"/>
    <w:rsid w:val="006E6468"/>
    <w:rsid w:val="006F4C5A"/>
    <w:rsid w:val="0071050C"/>
    <w:rsid w:val="0071159B"/>
    <w:rsid w:val="00734286"/>
    <w:rsid w:val="00742CA3"/>
    <w:rsid w:val="00746DDA"/>
    <w:rsid w:val="00772213"/>
    <w:rsid w:val="0078440D"/>
    <w:rsid w:val="0078558F"/>
    <w:rsid w:val="007A0AC9"/>
    <w:rsid w:val="007B088B"/>
    <w:rsid w:val="007B6B6B"/>
    <w:rsid w:val="007C11D4"/>
    <w:rsid w:val="007C685D"/>
    <w:rsid w:val="007E1CC6"/>
    <w:rsid w:val="007E45E8"/>
    <w:rsid w:val="007F5B9D"/>
    <w:rsid w:val="007F691B"/>
    <w:rsid w:val="00806267"/>
    <w:rsid w:val="008151BF"/>
    <w:rsid w:val="008228E5"/>
    <w:rsid w:val="00842C16"/>
    <w:rsid w:val="008625E1"/>
    <w:rsid w:val="008755CE"/>
    <w:rsid w:val="0088278F"/>
    <w:rsid w:val="00886A8F"/>
    <w:rsid w:val="008949C1"/>
    <w:rsid w:val="008D2E54"/>
    <w:rsid w:val="008E53AA"/>
    <w:rsid w:val="00903EC9"/>
    <w:rsid w:val="00923630"/>
    <w:rsid w:val="009253C1"/>
    <w:rsid w:val="00954E7E"/>
    <w:rsid w:val="00965B95"/>
    <w:rsid w:val="009672FA"/>
    <w:rsid w:val="00973338"/>
    <w:rsid w:val="009D0FAB"/>
    <w:rsid w:val="009E069A"/>
    <w:rsid w:val="009F2713"/>
    <w:rsid w:val="00A1247D"/>
    <w:rsid w:val="00A13EBE"/>
    <w:rsid w:val="00A324FC"/>
    <w:rsid w:val="00A47086"/>
    <w:rsid w:val="00A517F5"/>
    <w:rsid w:val="00A54292"/>
    <w:rsid w:val="00A6451B"/>
    <w:rsid w:val="00A92BB8"/>
    <w:rsid w:val="00AA3D15"/>
    <w:rsid w:val="00AB24CC"/>
    <w:rsid w:val="00AB4A69"/>
    <w:rsid w:val="00AC3C33"/>
    <w:rsid w:val="00AC6921"/>
    <w:rsid w:val="00AC774A"/>
    <w:rsid w:val="00AE13D0"/>
    <w:rsid w:val="00AF5B7C"/>
    <w:rsid w:val="00B0068E"/>
    <w:rsid w:val="00B1710A"/>
    <w:rsid w:val="00B17DBB"/>
    <w:rsid w:val="00B301F3"/>
    <w:rsid w:val="00B45F02"/>
    <w:rsid w:val="00B53D04"/>
    <w:rsid w:val="00B5550D"/>
    <w:rsid w:val="00B77A2D"/>
    <w:rsid w:val="00B8504E"/>
    <w:rsid w:val="00B8551B"/>
    <w:rsid w:val="00B92325"/>
    <w:rsid w:val="00BA0B3F"/>
    <w:rsid w:val="00BA653C"/>
    <w:rsid w:val="00BB64B3"/>
    <w:rsid w:val="00BC1706"/>
    <w:rsid w:val="00BC1F9A"/>
    <w:rsid w:val="00BD41FD"/>
    <w:rsid w:val="00BE20AE"/>
    <w:rsid w:val="00BF02E8"/>
    <w:rsid w:val="00BF1379"/>
    <w:rsid w:val="00C27E22"/>
    <w:rsid w:val="00C373FD"/>
    <w:rsid w:val="00C534E8"/>
    <w:rsid w:val="00C75DD6"/>
    <w:rsid w:val="00C96A2E"/>
    <w:rsid w:val="00CC0844"/>
    <w:rsid w:val="00CC2D34"/>
    <w:rsid w:val="00CC54A6"/>
    <w:rsid w:val="00CE3821"/>
    <w:rsid w:val="00D34BBE"/>
    <w:rsid w:val="00D438F6"/>
    <w:rsid w:val="00D57A48"/>
    <w:rsid w:val="00D704D5"/>
    <w:rsid w:val="00D8197B"/>
    <w:rsid w:val="00DA631D"/>
    <w:rsid w:val="00DA765D"/>
    <w:rsid w:val="00DB069A"/>
    <w:rsid w:val="00DB30EA"/>
    <w:rsid w:val="00DC537A"/>
    <w:rsid w:val="00DD140F"/>
    <w:rsid w:val="00DE10B7"/>
    <w:rsid w:val="00DE625B"/>
    <w:rsid w:val="00E05042"/>
    <w:rsid w:val="00E3061F"/>
    <w:rsid w:val="00E546B3"/>
    <w:rsid w:val="00E56715"/>
    <w:rsid w:val="00E57F9E"/>
    <w:rsid w:val="00E72EF0"/>
    <w:rsid w:val="00EA7B8C"/>
    <w:rsid w:val="00EB14C2"/>
    <w:rsid w:val="00EB5DE2"/>
    <w:rsid w:val="00ED07FB"/>
    <w:rsid w:val="00EE7433"/>
    <w:rsid w:val="00EF10D4"/>
    <w:rsid w:val="00F07E2E"/>
    <w:rsid w:val="00F3706C"/>
    <w:rsid w:val="00F374EE"/>
    <w:rsid w:val="00F45106"/>
    <w:rsid w:val="00F45E28"/>
    <w:rsid w:val="00F8766F"/>
    <w:rsid w:val="00FD0A71"/>
    <w:rsid w:val="00FD5B26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C09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טקסט הערת שוליים תו"/>
    <w:basedOn w:val="a0"/>
    <w:link w:val="a3"/>
    <w:semiHidden/>
    <w:rsid w:val="001C097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1C09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1C097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48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3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1438E9"/>
    <w:rPr>
      <w:rFonts w:ascii="Calibri" w:eastAsia="Times New Roman" w:hAnsi="Calibri" w:cs="Arial"/>
    </w:rPr>
  </w:style>
  <w:style w:type="paragraph" w:styleId="ab">
    <w:name w:val="footer"/>
    <w:basedOn w:val="a"/>
    <w:link w:val="ac"/>
    <w:uiPriority w:val="99"/>
    <w:unhideWhenUsed/>
    <w:rsid w:val="00143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1438E9"/>
    <w:rPr>
      <w:rFonts w:ascii="Calibri" w:eastAsia="Times New Roman" w:hAnsi="Calibri" w:cs="Arial"/>
    </w:rPr>
  </w:style>
  <w:style w:type="character" w:styleId="ad">
    <w:name w:val="annotation reference"/>
    <w:basedOn w:val="a0"/>
    <w:uiPriority w:val="99"/>
    <w:semiHidden/>
    <w:unhideWhenUsed/>
    <w:rsid w:val="002D69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D69CA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2D69CA"/>
    <w:rPr>
      <w:rFonts w:ascii="Calibri" w:eastAsia="Times New Roman" w:hAnsi="Calibri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69CA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2D69CA"/>
    <w:rPr>
      <w:rFonts w:ascii="Calibri" w:eastAsia="Times New Roman" w:hAnsi="Calibri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9253C1"/>
    <w:pPr>
      <w:spacing w:after="0" w:line="240" w:lineRule="auto"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9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C09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טקסט הערת שוליים תו"/>
    <w:basedOn w:val="a0"/>
    <w:link w:val="a3"/>
    <w:semiHidden/>
    <w:rsid w:val="001C0979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1C09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1C0979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48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3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1438E9"/>
    <w:rPr>
      <w:rFonts w:ascii="Calibri" w:eastAsia="Times New Roman" w:hAnsi="Calibri" w:cs="Arial"/>
    </w:rPr>
  </w:style>
  <w:style w:type="paragraph" w:styleId="ab">
    <w:name w:val="footer"/>
    <w:basedOn w:val="a"/>
    <w:link w:val="ac"/>
    <w:uiPriority w:val="99"/>
    <w:unhideWhenUsed/>
    <w:rsid w:val="00143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1438E9"/>
    <w:rPr>
      <w:rFonts w:ascii="Calibri" w:eastAsia="Times New Roman" w:hAnsi="Calibri" w:cs="Arial"/>
    </w:rPr>
  </w:style>
  <w:style w:type="character" w:styleId="ad">
    <w:name w:val="annotation reference"/>
    <w:basedOn w:val="a0"/>
    <w:uiPriority w:val="99"/>
    <w:semiHidden/>
    <w:unhideWhenUsed/>
    <w:rsid w:val="002D69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D69CA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2D69CA"/>
    <w:rPr>
      <w:rFonts w:ascii="Calibri" w:eastAsia="Times New Roman" w:hAnsi="Calibri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69CA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2D69CA"/>
    <w:rPr>
      <w:rFonts w:ascii="Calibri" w:eastAsia="Times New Roman" w:hAnsi="Calibri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9253C1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217CAA5-725E-4787-BFC3-609E67516D5D}"/>
</file>

<file path=customXml/itemProps2.xml><?xml version="1.0" encoding="utf-8"?>
<ds:datastoreItem xmlns:ds="http://schemas.openxmlformats.org/officeDocument/2006/customXml" ds:itemID="{1528DD0F-D069-4012-8B28-4549F3BD5434}"/>
</file>

<file path=customXml/itemProps3.xml><?xml version="1.0" encoding="utf-8"?>
<ds:datastoreItem xmlns:ds="http://schemas.openxmlformats.org/officeDocument/2006/customXml" ds:itemID="{DED3A4DD-77D3-4A8B-8FEE-D122343DF8F3}"/>
</file>

<file path=customXml/itemProps4.xml><?xml version="1.0" encoding="utf-8"?>
<ds:datastoreItem xmlns:ds="http://schemas.openxmlformats.org/officeDocument/2006/customXml" ds:itemID="{56605ED1-1F1B-4C15-8594-A65CDEE314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2014-05-19T08:44:00Z</dcterms:created>
  <dcterms:modified xsi:type="dcterms:W3CDTF">2014-05-19T08:44:00Z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