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0105E584" w:rsidR="00650B9A" w:rsidRDefault="00125AB8" w:rsidP="00A60E0E">
      <w:pPr>
        <w:pStyle w:val="regpar"/>
        <w:spacing w:line="300" w:lineRule="atLeast"/>
        <w:ind w:firstLine="0"/>
        <w:jc w:val="center"/>
        <w:rPr>
          <w:rFonts w:ascii="Times New Roman" w:hAnsi="Times New Roman" w:cs="David"/>
          <w:bCs/>
        </w:rPr>
      </w:pPr>
      <w:r>
        <w:rPr>
          <w:noProof/>
        </w:rPr>
        <w:drawing>
          <wp:inline distT="0" distB="0" distL="0" distR="0" wp14:anchorId="48CFD75F" wp14:editId="68863E03">
            <wp:extent cx="2924175" cy="971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971550"/>
                    </a:xfrm>
                    <a:prstGeom prst="rect">
                      <a:avLst/>
                    </a:prstGeom>
                    <a:noFill/>
                    <a:ln>
                      <a:noFill/>
                    </a:ln>
                  </pic:spPr>
                </pic:pic>
              </a:graphicData>
            </a:graphic>
          </wp:inline>
        </w:drawing>
      </w:r>
    </w:p>
    <w:p w14:paraId="5A42A60F" w14:textId="77777777" w:rsidR="00125AB8" w:rsidRDefault="00125AB8" w:rsidP="00A60E0E">
      <w:pPr>
        <w:pStyle w:val="regpar"/>
        <w:spacing w:line="300" w:lineRule="atLeast"/>
        <w:ind w:firstLine="0"/>
        <w:jc w:val="center"/>
        <w:rPr>
          <w:rFonts w:ascii="Times New Roman" w:hAnsi="Times New Roman" w:cs="David"/>
          <w:bCs/>
        </w:rPr>
      </w:pPr>
    </w:p>
    <w:p w14:paraId="5FEC0092" w14:textId="77777777" w:rsidR="00650B9A" w:rsidRPr="0012431B" w:rsidRDefault="00650B9A" w:rsidP="00A60E0E">
      <w:pPr>
        <w:pStyle w:val="regpar"/>
        <w:spacing w:line="300" w:lineRule="atLeast"/>
        <w:ind w:firstLine="0"/>
        <w:jc w:val="center"/>
        <w:rPr>
          <w:rFonts w:ascii="Segoe UI" w:hAnsi="Segoe UI" w:cs="Segoe UI"/>
          <w:bCs/>
          <w:sz w:val="22"/>
          <w:szCs w:val="22"/>
        </w:rPr>
      </w:pPr>
      <w:r w:rsidRPr="0012431B">
        <w:rPr>
          <w:rFonts w:ascii="Segoe UI" w:hAnsi="Segoe UI" w:cs="Segoe UI"/>
          <w:bCs/>
          <w:sz w:val="22"/>
          <w:szCs w:val="22"/>
        </w:rPr>
        <w:t>BANK OF ISRAEL</w:t>
      </w:r>
    </w:p>
    <w:p w14:paraId="7BDED074" w14:textId="1F140308" w:rsidR="00650B9A" w:rsidRPr="0012431B" w:rsidRDefault="00650B9A"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 xml:space="preserve">Office of the </w:t>
      </w:r>
      <w:r w:rsidR="0009048D" w:rsidRPr="0012431B">
        <w:rPr>
          <w:rFonts w:ascii="Segoe UI" w:hAnsi="Segoe UI" w:cs="Segoe UI"/>
          <w:sz w:val="22"/>
          <w:szCs w:val="22"/>
        </w:rPr>
        <w:t>Spokesperson and Economic Information</w:t>
      </w:r>
    </w:p>
    <w:p w14:paraId="5DC516B5" w14:textId="6D04FE8F" w:rsidR="0009048D" w:rsidRPr="0012431B" w:rsidRDefault="0009048D" w:rsidP="0009048D">
      <w:pPr>
        <w:pStyle w:val="regpar"/>
        <w:spacing w:line="300" w:lineRule="atLeast"/>
        <w:ind w:firstLine="0"/>
        <w:jc w:val="center"/>
        <w:rPr>
          <w:rFonts w:ascii="Segoe UI" w:hAnsi="Segoe UI" w:cs="Segoe UI"/>
          <w:sz w:val="22"/>
          <w:szCs w:val="22"/>
        </w:rPr>
      </w:pPr>
    </w:p>
    <w:p w14:paraId="73A6A7DC" w14:textId="3569AD15" w:rsidR="0009048D" w:rsidRPr="0012431B" w:rsidRDefault="0009048D"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Press release</w:t>
      </w:r>
    </w:p>
    <w:p w14:paraId="2DEFF62A" w14:textId="77777777" w:rsidR="00DD0AB5" w:rsidRPr="0012431B" w:rsidRDefault="00DD0AB5" w:rsidP="00A60E0E">
      <w:pPr>
        <w:pStyle w:val="regpar"/>
        <w:spacing w:line="300" w:lineRule="atLeast"/>
        <w:ind w:firstLine="0"/>
        <w:jc w:val="center"/>
        <w:rPr>
          <w:rFonts w:ascii="Segoe UI" w:hAnsi="Segoe UI" w:cs="Segoe UI"/>
          <w:b/>
          <w:sz w:val="22"/>
          <w:szCs w:val="22"/>
        </w:rPr>
      </w:pPr>
    </w:p>
    <w:p w14:paraId="0CD9A423" w14:textId="670B9D0A" w:rsidR="007617BD" w:rsidRPr="0012431B" w:rsidRDefault="00DC36D7" w:rsidP="00651EE8">
      <w:pPr>
        <w:pStyle w:val="regpar"/>
        <w:jc w:val="right"/>
        <w:rPr>
          <w:rFonts w:ascii="Segoe UI" w:hAnsi="Segoe UI" w:cs="Segoe UI"/>
          <w:sz w:val="22"/>
          <w:szCs w:val="22"/>
        </w:rPr>
      </w:pPr>
      <w:r>
        <w:rPr>
          <w:rFonts w:ascii="Segoe UI" w:hAnsi="Segoe UI" w:cs="Segoe UI"/>
          <w:sz w:val="22"/>
          <w:szCs w:val="22"/>
        </w:rPr>
        <w:t>March 12</w:t>
      </w:r>
      <w:r w:rsidR="00443EB3">
        <w:rPr>
          <w:rFonts w:ascii="Segoe UI" w:hAnsi="Segoe UI" w:cs="Segoe UI"/>
          <w:sz w:val="22"/>
          <w:szCs w:val="22"/>
        </w:rPr>
        <w:t>, 2025</w:t>
      </w:r>
    </w:p>
    <w:p w14:paraId="22D7AE78" w14:textId="3BEA9B84" w:rsidR="00F23C43" w:rsidRPr="0012431B" w:rsidRDefault="00F23C43" w:rsidP="00F23C43">
      <w:pPr>
        <w:pStyle w:val="regpar"/>
        <w:rPr>
          <w:rFonts w:ascii="Segoe UI" w:hAnsi="Segoe UI" w:cs="Segoe UI"/>
          <w:sz w:val="22"/>
          <w:szCs w:val="22"/>
        </w:rPr>
      </w:pPr>
    </w:p>
    <w:p w14:paraId="325CE029" w14:textId="30104A21" w:rsidR="00D00CF7" w:rsidRPr="0012431B" w:rsidRDefault="00D00CF7" w:rsidP="00D00CF7">
      <w:pPr>
        <w:pStyle w:val="regpar"/>
        <w:jc w:val="center"/>
        <w:rPr>
          <w:rFonts w:ascii="Segoe UI" w:hAnsi="Segoe UI" w:cs="Segoe UI"/>
          <w:b/>
          <w:bCs/>
          <w:sz w:val="22"/>
          <w:szCs w:val="22"/>
        </w:rPr>
      </w:pPr>
    </w:p>
    <w:p w14:paraId="526F09E0" w14:textId="18211051" w:rsidR="00DC36D7" w:rsidRPr="00A31813" w:rsidRDefault="00EE001D" w:rsidP="00DC36D7">
      <w:pPr>
        <w:pStyle w:val="regpar"/>
        <w:ind w:firstLine="0"/>
        <w:jc w:val="center"/>
        <w:rPr>
          <w:rFonts w:ascii="Segoe UI" w:hAnsi="Segoe UI" w:cs="Segoe UI"/>
          <w:b/>
          <w:bCs/>
        </w:rPr>
      </w:pPr>
      <w:bookmarkStart w:id="0" w:name="_GoBack"/>
      <w:r>
        <w:rPr>
          <w:rFonts w:ascii="Segoe UI" w:hAnsi="Segoe UI" w:cs="Segoe UI"/>
          <w:b/>
          <w:bCs/>
        </w:rPr>
        <w:t>Analysis f</w:t>
      </w:r>
      <w:r w:rsidR="00DC36D7" w:rsidRPr="00A31813">
        <w:rPr>
          <w:rFonts w:ascii="Segoe UI" w:hAnsi="Segoe UI" w:cs="Segoe UI"/>
          <w:b/>
          <w:bCs/>
        </w:rPr>
        <w:t>rom the forthcoming Bank of Israel Annual Report for 2024:</w:t>
      </w:r>
    </w:p>
    <w:p w14:paraId="08DAA86D" w14:textId="568E6C14" w:rsidR="00DC36D7" w:rsidRPr="00A31813" w:rsidRDefault="00DC36D7" w:rsidP="00EE001D">
      <w:pPr>
        <w:pStyle w:val="regpar"/>
        <w:ind w:firstLine="0"/>
        <w:jc w:val="center"/>
        <w:rPr>
          <w:rFonts w:ascii="Segoe UI" w:hAnsi="Segoe UI" w:cs="Segoe UI"/>
          <w:b/>
          <w:bCs/>
        </w:rPr>
      </w:pPr>
      <w:r w:rsidRPr="00A31813">
        <w:rPr>
          <w:rFonts w:ascii="Segoe UI" w:hAnsi="Segoe UI" w:cs="Segoe UI"/>
          <w:b/>
          <w:bCs/>
        </w:rPr>
        <w:t xml:space="preserve">The expected effect of the </w:t>
      </w:r>
      <w:r w:rsidR="00A5711A" w:rsidRPr="00A31813">
        <w:rPr>
          <w:rFonts w:ascii="Segoe UI" w:hAnsi="Segoe UI" w:cs="Segoe UI"/>
          <w:b/>
          <w:bCs/>
        </w:rPr>
        <w:t>“</w:t>
      </w:r>
      <w:proofErr w:type="spellStart"/>
      <w:r w:rsidR="00A5711A" w:rsidRPr="00A31813">
        <w:rPr>
          <w:rFonts w:ascii="Segoe UI" w:hAnsi="Segoe UI" w:cs="Segoe UI"/>
          <w:b/>
          <w:bCs/>
        </w:rPr>
        <w:t>Yatziv</w:t>
      </w:r>
      <w:proofErr w:type="spellEnd"/>
      <w:r w:rsidR="00A5711A" w:rsidRPr="00A31813">
        <w:rPr>
          <w:rFonts w:ascii="Segoe UI" w:hAnsi="Segoe UI" w:cs="Segoe UI"/>
          <w:b/>
          <w:bCs/>
        </w:rPr>
        <w:t xml:space="preserve">” reform </w:t>
      </w:r>
      <w:r w:rsidR="00EE001D">
        <w:rPr>
          <w:rFonts w:ascii="Segoe UI" w:hAnsi="Segoe UI" w:cs="Segoe UI"/>
          <w:b/>
          <w:bCs/>
        </w:rPr>
        <w:t xml:space="preserve">on the number </w:t>
      </w:r>
      <w:r w:rsidR="00A5711A" w:rsidRPr="00A31813">
        <w:rPr>
          <w:rFonts w:ascii="Segoe UI" w:hAnsi="Segoe UI" w:cs="Segoe UI"/>
          <w:b/>
          <w:bCs/>
        </w:rPr>
        <w:t xml:space="preserve">and quality of training </w:t>
      </w:r>
      <w:r w:rsidR="00EE001D">
        <w:rPr>
          <w:rFonts w:ascii="Segoe UI" w:hAnsi="Segoe UI" w:cs="Segoe UI"/>
          <w:b/>
          <w:bCs/>
        </w:rPr>
        <w:t>of</w:t>
      </w:r>
      <w:r w:rsidR="00A5711A" w:rsidRPr="00A31813">
        <w:rPr>
          <w:rFonts w:ascii="Segoe UI" w:hAnsi="Segoe UI" w:cs="Segoe UI"/>
          <w:b/>
          <w:bCs/>
        </w:rPr>
        <w:t xml:space="preserve"> physicians in Israel</w:t>
      </w:r>
    </w:p>
    <w:bookmarkEnd w:id="0"/>
    <w:p w14:paraId="56CB040C" w14:textId="77777777" w:rsidR="00443EB3" w:rsidRPr="00443EB3" w:rsidRDefault="00443EB3" w:rsidP="00477DE2">
      <w:pPr>
        <w:pStyle w:val="regpar"/>
        <w:ind w:firstLine="0"/>
        <w:jc w:val="center"/>
        <w:rPr>
          <w:rFonts w:ascii="Segoe UI" w:hAnsi="Segoe UI" w:cs="Segoe UI"/>
          <w:sz w:val="22"/>
          <w:szCs w:val="22"/>
        </w:rPr>
      </w:pPr>
    </w:p>
    <w:p w14:paraId="54494C80" w14:textId="6D458232" w:rsidR="00A5711A" w:rsidRPr="00E4348E" w:rsidRDefault="00A5711A" w:rsidP="00E4348E">
      <w:pPr>
        <w:pStyle w:val="af2"/>
        <w:numPr>
          <w:ilvl w:val="0"/>
          <w:numId w:val="19"/>
        </w:numPr>
        <w:shd w:val="clear" w:color="auto" w:fill="FFFFFF"/>
        <w:spacing w:after="240"/>
        <w:jc w:val="both"/>
        <w:rPr>
          <w:rFonts w:ascii="Segoe UI" w:hAnsi="Segoe UI" w:cs="Segoe UI"/>
          <w:color w:val="242424"/>
          <w:sz w:val="22"/>
          <w:szCs w:val="22"/>
        </w:rPr>
      </w:pPr>
      <w:r w:rsidRPr="00E4348E">
        <w:rPr>
          <w:rFonts w:ascii="Segoe UI" w:hAnsi="Segoe UI" w:cs="Segoe UI"/>
          <w:color w:val="242424"/>
          <w:sz w:val="22"/>
          <w:szCs w:val="22"/>
        </w:rPr>
        <w:t>The “</w:t>
      </w:r>
      <w:proofErr w:type="spellStart"/>
      <w:r w:rsidRPr="00E4348E">
        <w:rPr>
          <w:rFonts w:ascii="Segoe UI" w:hAnsi="Segoe UI" w:cs="Segoe UI"/>
          <w:color w:val="242424"/>
          <w:sz w:val="22"/>
          <w:szCs w:val="22"/>
        </w:rPr>
        <w:t>Yatziv</w:t>
      </w:r>
      <w:proofErr w:type="spellEnd"/>
      <w:r w:rsidRPr="00E4348E">
        <w:rPr>
          <w:rFonts w:ascii="Segoe UI" w:hAnsi="Segoe UI" w:cs="Segoe UI"/>
          <w:color w:val="242424"/>
          <w:sz w:val="22"/>
          <w:szCs w:val="22"/>
        </w:rPr>
        <w:t xml:space="preserve"> reform” to regulate medical studies at faculties abroad is expected to reduce the number of new medical license recipients by 400–600 per year beginning in 2026.  The reform is expected to be felt particularly in the periphery areas of the country.</w:t>
      </w:r>
    </w:p>
    <w:p w14:paraId="5A6B4BE2" w14:textId="0CC1112F" w:rsidR="00A5711A" w:rsidRPr="00E4348E" w:rsidRDefault="00A5711A" w:rsidP="00E4348E">
      <w:pPr>
        <w:pStyle w:val="af2"/>
        <w:numPr>
          <w:ilvl w:val="0"/>
          <w:numId w:val="19"/>
        </w:numPr>
        <w:shd w:val="clear" w:color="auto" w:fill="FFFFFF"/>
        <w:spacing w:after="240"/>
        <w:jc w:val="both"/>
        <w:rPr>
          <w:rFonts w:ascii="Segoe UI" w:hAnsi="Segoe UI" w:cs="Segoe UI"/>
          <w:color w:val="242424"/>
          <w:sz w:val="22"/>
          <w:szCs w:val="22"/>
        </w:rPr>
      </w:pPr>
      <w:r w:rsidRPr="00E4348E">
        <w:rPr>
          <w:rFonts w:ascii="Segoe UI" w:hAnsi="Segoe UI" w:cs="Segoe UI"/>
          <w:color w:val="242424"/>
          <w:sz w:val="22"/>
          <w:szCs w:val="22"/>
        </w:rPr>
        <w:t>In recent years, several measures have been implemented to significantly increase the number of new physicians.  However, it should take several years from the impact of the reform—beginning in 2026—until these measures mature, which may lead to a shortage of new physicians in the coming years.</w:t>
      </w:r>
    </w:p>
    <w:p w14:paraId="65BCF5F7" w14:textId="723E2AB4" w:rsidR="00A5711A" w:rsidRPr="00E4348E" w:rsidRDefault="00A5711A" w:rsidP="00E4348E">
      <w:pPr>
        <w:pStyle w:val="af2"/>
        <w:numPr>
          <w:ilvl w:val="0"/>
          <w:numId w:val="19"/>
        </w:numPr>
        <w:shd w:val="clear" w:color="auto" w:fill="FFFFFF"/>
        <w:spacing w:after="240"/>
        <w:jc w:val="both"/>
        <w:rPr>
          <w:rFonts w:ascii="Segoe UI" w:hAnsi="Segoe UI" w:cs="Segoe UI"/>
          <w:color w:val="242424"/>
          <w:sz w:val="22"/>
          <w:szCs w:val="22"/>
        </w:rPr>
      </w:pPr>
      <w:r w:rsidRPr="00E4348E">
        <w:rPr>
          <w:rFonts w:ascii="Segoe UI" w:hAnsi="Segoe UI" w:cs="Segoe UI"/>
          <w:color w:val="242424"/>
          <w:sz w:val="22"/>
          <w:szCs w:val="22"/>
        </w:rPr>
        <w:t xml:space="preserve">The impact of the </w:t>
      </w:r>
      <w:proofErr w:type="spellStart"/>
      <w:r w:rsidRPr="00E4348E">
        <w:rPr>
          <w:rFonts w:ascii="Segoe UI" w:hAnsi="Segoe UI" w:cs="Segoe UI"/>
          <w:color w:val="242424"/>
          <w:sz w:val="22"/>
          <w:szCs w:val="22"/>
        </w:rPr>
        <w:t>Yatziv</w:t>
      </w:r>
      <w:proofErr w:type="spellEnd"/>
      <w:r w:rsidRPr="00E4348E">
        <w:rPr>
          <w:rFonts w:ascii="Segoe UI" w:hAnsi="Segoe UI" w:cs="Segoe UI"/>
          <w:color w:val="242424"/>
          <w:sz w:val="22"/>
          <w:szCs w:val="22"/>
        </w:rPr>
        <w:t xml:space="preserve"> reform and the anticipated increase in demand for physicians in the coming years, highlight the importance of implementing plans to increase the number of new physicians in Israel, with an emphasis on geographic dispersal.</w:t>
      </w:r>
    </w:p>
    <w:p w14:paraId="19908940" w14:textId="372547F3" w:rsidR="00E4348E" w:rsidRPr="00E4348E" w:rsidRDefault="00E4348E" w:rsidP="00C732AE">
      <w:pPr>
        <w:spacing w:before="100" w:beforeAutospacing="1" w:after="100" w:afterAutospacing="1"/>
        <w:jc w:val="both"/>
        <w:rPr>
          <w:rFonts w:ascii="Segoe UI" w:hAnsi="Segoe UI" w:cs="Segoe UI"/>
          <w:sz w:val="22"/>
          <w:szCs w:val="22"/>
        </w:rPr>
      </w:pPr>
      <w:r w:rsidRPr="00E4348E">
        <w:rPr>
          <w:rFonts w:ascii="Segoe UI" w:hAnsi="Segoe UI" w:cs="Segoe UI"/>
          <w:sz w:val="22"/>
          <w:szCs w:val="22"/>
        </w:rPr>
        <w:t xml:space="preserve">In 2020, 58 percent of the </w:t>
      </w:r>
      <w:r w:rsidR="00C732AE">
        <w:rPr>
          <w:rFonts w:ascii="Segoe UI" w:hAnsi="Segoe UI" w:cs="Segoe UI"/>
          <w:sz w:val="22"/>
          <w:szCs w:val="22"/>
        </w:rPr>
        <w:t>physicians</w:t>
      </w:r>
      <w:r w:rsidRPr="00E4348E">
        <w:rPr>
          <w:rFonts w:ascii="Segoe UI" w:hAnsi="Segoe UI" w:cs="Segoe UI"/>
          <w:sz w:val="22"/>
          <w:szCs w:val="22"/>
        </w:rPr>
        <w:t xml:space="preserve"> active in Israel were trained outside its borders, an unusually high rate compared to other OECD countries (OECD, 2023). The group of </w:t>
      </w:r>
      <w:r w:rsidR="00C732AE">
        <w:rPr>
          <w:rFonts w:ascii="Segoe UI" w:hAnsi="Segoe UI" w:cs="Segoe UI"/>
          <w:sz w:val="22"/>
          <w:szCs w:val="22"/>
        </w:rPr>
        <w:t>physicians</w:t>
      </w:r>
      <w:r w:rsidRPr="00E4348E">
        <w:rPr>
          <w:rFonts w:ascii="Segoe UI" w:hAnsi="Segoe UI" w:cs="Segoe UI"/>
          <w:sz w:val="22"/>
          <w:szCs w:val="22"/>
        </w:rPr>
        <w:t xml:space="preserve"> trained abroad includes new immigrants, but the majority are Israelis who traveled to study medicine abroad, primarily due to the high admission threshold for medical studies in Israel, a result of the limited number of places available for students in Israeli faculties. In this </w:t>
      </w:r>
      <w:r>
        <w:rPr>
          <w:rFonts w:ascii="Segoe UI" w:hAnsi="Segoe UI" w:cs="Segoe UI"/>
          <w:sz w:val="22"/>
          <w:szCs w:val="22"/>
        </w:rPr>
        <w:t>situation</w:t>
      </w:r>
      <w:r w:rsidRPr="00E4348E">
        <w:rPr>
          <w:rFonts w:ascii="Segoe UI" w:hAnsi="Segoe UI" w:cs="Segoe UI"/>
          <w:sz w:val="22"/>
          <w:szCs w:val="22"/>
        </w:rPr>
        <w:t xml:space="preserve">, the Israeli healthcare system relies heavily on </w:t>
      </w:r>
      <w:r w:rsidR="00236B6F">
        <w:rPr>
          <w:rFonts w:ascii="Segoe UI" w:hAnsi="Segoe UI" w:cs="Segoe UI"/>
          <w:sz w:val="22"/>
          <w:szCs w:val="22"/>
        </w:rPr>
        <w:t>physicians</w:t>
      </w:r>
      <w:r w:rsidRPr="00E4348E">
        <w:rPr>
          <w:rFonts w:ascii="Segoe UI" w:hAnsi="Segoe UI" w:cs="Segoe UI"/>
          <w:sz w:val="22"/>
          <w:szCs w:val="22"/>
        </w:rPr>
        <w:t xml:space="preserve"> trained abroad, which has several disadvantages</w:t>
      </w:r>
      <w:r>
        <w:rPr>
          <w:rFonts w:ascii="Segoe UI" w:hAnsi="Segoe UI" w:cs="Segoe UI"/>
          <w:sz w:val="22"/>
          <w:szCs w:val="22"/>
        </w:rPr>
        <w:t>.</w:t>
      </w:r>
      <w:r w:rsidRPr="00E4348E">
        <w:rPr>
          <w:rFonts w:ascii="Segoe UI" w:hAnsi="Segoe UI" w:cs="Segoe UI"/>
          <w:sz w:val="22"/>
          <w:szCs w:val="22"/>
        </w:rPr>
        <w:t xml:space="preserve"> </w:t>
      </w:r>
      <w:r>
        <w:rPr>
          <w:rFonts w:ascii="Segoe UI" w:hAnsi="Segoe UI" w:cs="Segoe UI"/>
          <w:sz w:val="22"/>
          <w:szCs w:val="22"/>
        </w:rPr>
        <w:t>F</w:t>
      </w:r>
      <w:r w:rsidRPr="00E4348E">
        <w:rPr>
          <w:rFonts w:ascii="Segoe UI" w:hAnsi="Segoe UI" w:cs="Segoe UI"/>
          <w:sz w:val="22"/>
          <w:szCs w:val="22"/>
        </w:rPr>
        <w:t>or example</w:t>
      </w:r>
      <w:r>
        <w:rPr>
          <w:rFonts w:ascii="Segoe UI" w:hAnsi="Segoe UI" w:cs="Segoe UI"/>
          <w:sz w:val="22"/>
          <w:szCs w:val="22"/>
        </w:rPr>
        <w:t>,</w:t>
      </w:r>
      <w:r w:rsidRPr="00E4348E">
        <w:rPr>
          <w:rFonts w:ascii="Segoe UI" w:hAnsi="Segoe UI" w:cs="Segoe UI"/>
          <w:sz w:val="22"/>
          <w:szCs w:val="22"/>
        </w:rPr>
        <w:t xml:space="preserve"> it is impossible to supervise the quality of training; the theoretical and clinical studies do not necessarily align with the standards of the Israeli healthcare system; and the probability of talented individuals emigrating from the country increases.</w:t>
      </w:r>
    </w:p>
    <w:p w14:paraId="71C931A9" w14:textId="439CEC51" w:rsidR="00236B6F" w:rsidRDefault="00E4348E" w:rsidP="00236B6F">
      <w:pPr>
        <w:spacing w:before="100" w:beforeAutospacing="1" w:after="100" w:afterAutospacing="1"/>
        <w:jc w:val="both"/>
        <w:rPr>
          <w:rFonts w:ascii="Segoe UI" w:hAnsi="Segoe UI" w:cs="Segoe UI"/>
          <w:sz w:val="22"/>
          <w:szCs w:val="22"/>
        </w:rPr>
      </w:pPr>
      <w:r w:rsidRPr="00E4348E">
        <w:rPr>
          <w:rFonts w:ascii="Segoe UI" w:hAnsi="Segoe UI" w:cs="Segoe UI"/>
          <w:sz w:val="22"/>
          <w:szCs w:val="22"/>
        </w:rPr>
        <w:t xml:space="preserve">The </w:t>
      </w:r>
      <w:r>
        <w:rPr>
          <w:rFonts w:ascii="Segoe UI" w:hAnsi="Segoe UI" w:cs="Segoe UI"/>
          <w:sz w:val="22"/>
          <w:szCs w:val="22"/>
        </w:rPr>
        <w:t xml:space="preserve">level of professional and academic training provided by </w:t>
      </w:r>
      <w:r w:rsidRPr="00E4348E">
        <w:rPr>
          <w:rFonts w:ascii="Segoe UI" w:hAnsi="Segoe UI" w:cs="Segoe UI"/>
          <w:sz w:val="22"/>
          <w:szCs w:val="22"/>
        </w:rPr>
        <w:t>institutions abroad where Israelis study var</w:t>
      </w:r>
      <w:r>
        <w:rPr>
          <w:rFonts w:ascii="Segoe UI" w:hAnsi="Segoe UI" w:cs="Segoe UI"/>
          <w:sz w:val="22"/>
          <w:szCs w:val="22"/>
        </w:rPr>
        <w:t>ies</w:t>
      </w:r>
      <w:r w:rsidRPr="00E4348E">
        <w:rPr>
          <w:rFonts w:ascii="Segoe UI" w:hAnsi="Segoe UI" w:cs="Segoe UI"/>
          <w:sz w:val="22"/>
          <w:szCs w:val="22"/>
        </w:rPr>
        <w:t>, which affects the professionalism of their graduates. In 2017–2018, the Ministry of Health received complaints about interns lacking clinical experience, who were trained at some of the institutions abroad.</w:t>
      </w:r>
      <w:r>
        <w:rPr>
          <w:rStyle w:val="a6"/>
          <w:rFonts w:ascii="Segoe UI" w:hAnsi="Segoe UI" w:cs="Segoe UI"/>
        </w:rPr>
        <w:footnoteReference w:id="1"/>
      </w:r>
      <w:r w:rsidRPr="00E4348E">
        <w:rPr>
          <w:rFonts w:ascii="Segoe UI" w:hAnsi="Segoe UI" w:cs="Segoe UI"/>
          <w:sz w:val="22"/>
          <w:szCs w:val="22"/>
        </w:rPr>
        <w:t xml:space="preserve"> </w:t>
      </w:r>
      <w:r w:rsidR="00236B6F">
        <w:rPr>
          <w:rFonts w:ascii="Segoe UI" w:hAnsi="Segoe UI" w:cs="Segoe UI"/>
          <w:sz w:val="22"/>
          <w:szCs w:val="22"/>
        </w:rPr>
        <w:t>In view of this</w:t>
      </w:r>
      <w:r w:rsidRPr="00E4348E">
        <w:rPr>
          <w:rFonts w:ascii="Segoe UI" w:hAnsi="Segoe UI" w:cs="Segoe UI"/>
          <w:sz w:val="22"/>
          <w:szCs w:val="22"/>
        </w:rPr>
        <w:t xml:space="preserve">, the Department of Medical Profession Licensing at the Ministry of Health examined the </w:t>
      </w:r>
      <w:r w:rsidR="00236B6F">
        <w:rPr>
          <w:rFonts w:ascii="Segoe UI" w:hAnsi="Segoe UI" w:cs="Segoe UI"/>
          <w:sz w:val="22"/>
          <w:szCs w:val="22"/>
        </w:rPr>
        <w:t xml:space="preserve">medical studies </w:t>
      </w:r>
      <w:r w:rsidRPr="00E4348E">
        <w:rPr>
          <w:rFonts w:ascii="Segoe UI" w:hAnsi="Segoe UI" w:cs="Segoe UI"/>
          <w:sz w:val="22"/>
          <w:szCs w:val="22"/>
        </w:rPr>
        <w:t xml:space="preserve">institutions abroad and defined the professional criteria required for their graduates to be able to work in Israel as </w:t>
      </w:r>
      <w:r w:rsidR="00236B6F">
        <w:rPr>
          <w:rFonts w:ascii="Segoe UI" w:hAnsi="Segoe UI" w:cs="Segoe UI"/>
          <w:sz w:val="22"/>
          <w:szCs w:val="22"/>
        </w:rPr>
        <w:t>physicians</w:t>
      </w:r>
      <w:r w:rsidRPr="00E4348E">
        <w:rPr>
          <w:rFonts w:ascii="Segoe UI" w:hAnsi="Segoe UI" w:cs="Segoe UI"/>
          <w:sz w:val="22"/>
          <w:szCs w:val="22"/>
        </w:rPr>
        <w:t xml:space="preserve"> (hereinafter "</w:t>
      </w:r>
      <w:proofErr w:type="spellStart"/>
      <w:r w:rsidRPr="00E4348E">
        <w:rPr>
          <w:rFonts w:ascii="Segoe UI" w:hAnsi="Segoe UI" w:cs="Segoe UI"/>
          <w:sz w:val="22"/>
          <w:szCs w:val="22"/>
        </w:rPr>
        <w:t>Yatziv</w:t>
      </w:r>
      <w:proofErr w:type="spellEnd"/>
      <w:r w:rsidRPr="00E4348E">
        <w:rPr>
          <w:rFonts w:ascii="Segoe UI" w:hAnsi="Segoe UI" w:cs="Segoe UI"/>
          <w:sz w:val="22"/>
          <w:szCs w:val="22"/>
        </w:rPr>
        <w:t xml:space="preserve"> Reform").</w:t>
      </w:r>
      <w:r w:rsidR="00236B6F">
        <w:rPr>
          <w:rStyle w:val="a6"/>
          <w:rFonts w:ascii="Segoe UI" w:hAnsi="Segoe UI" w:cs="Segoe UI"/>
        </w:rPr>
        <w:footnoteReference w:id="2"/>
      </w:r>
      <w:r w:rsidRPr="00E4348E">
        <w:rPr>
          <w:rFonts w:ascii="Segoe UI" w:hAnsi="Segoe UI" w:cs="Segoe UI"/>
          <w:sz w:val="22"/>
          <w:szCs w:val="22"/>
        </w:rPr>
        <w:t xml:space="preserve"> According to the criteria, all institutions located in </w:t>
      </w:r>
      <w:r w:rsidRPr="00E4348E">
        <w:rPr>
          <w:rFonts w:ascii="Segoe UI" w:hAnsi="Segoe UI" w:cs="Segoe UI"/>
          <w:sz w:val="22"/>
          <w:szCs w:val="22"/>
        </w:rPr>
        <w:lastRenderedPageBreak/>
        <w:t xml:space="preserve">OECD countries and certain institutions in non-OECD countries (for example, several institutions in Jordan and Romania) were approved, while the rest were disqualified. Accordingly, it was decided that Israelis who began their studies in 2019 and onwards at </w:t>
      </w:r>
      <w:proofErr w:type="spellStart"/>
      <w:r w:rsidRPr="00E4348E">
        <w:rPr>
          <w:rFonts w:ascii="Segoe UI" w:hAnsi="Segoe UI" w:cs="Segoe UI"/>
          <w:sz w:val="22"/>
          <w:szCs w:val="22"/>
        </w:rPr>
        <w:t>nonapproved</w:t>
      </w:r>
      <w:proofErr w:type="spellEnd"/>
      <w:r w:rsidRPr="00E4348E">
        <w:rPr>
          <w:rFonts w:ascii="Segoe UI" w:hAnsi="Segoe UI" w:cs="Segoe UI"/>
          <w:sz w:val="22"/>
          <w:szCs w:val="22"/>
        </w:rPr>
        <w:t xml:space="preserve"> institutions would not be able to take the licensing exams in Israel. The impact of the reform is therefore expected to be felt starting in 2025</w:t>
      </w:r>
      <w:r w:rsidR="00236B6F">
        <w:rPr>
          <w:rStyle w:val="a6"/>
          <w:rFonts w:ascii="Segoe UI" w:hAnsi="Segoe UI" w:cs="Segoe UI"/>
        </w:rPr>
        <w:footnoteReference w:id="3"/>
      </w:r>
      <w:r w:rsidRPr="00E4348E">
        <w:rPr>
          <w:rFonts w:ascii="Segoe UI" w:hAnsi="Segoe UI" w:cs="Segoe UI"/>
          <w:sz w:val="22"/>
          <w:szCs w:val="22"/>
        </w:rPr>
        <w:t>, in two main ways</w:t>
      </w:r>
      <w:r w:rsidR="00236B6F">
        <w:rPr>
          <w:rFonts w:ascii="Segoe UI" w:hAnsi="Segoe UI" w:cs="Segoe UI"/>
          <w:sz w:val="22"/>
          <w:szCs w:val="22"/>
        </w:rPr>
        <w:t>—</w:t>
      </w:r>
      <w:r w:rsidRPr="00E4348E">
        <w:rPr>
          <w:rFonts w:ascii="Segoe UI" w:hAnsi="Segoe UI" w:cs="Segoe UI"/>
          <w:sz w:val="22"/>
          <w:szCs w:val="22"/>
        </w:rPr>
        <w:t>a dec</w:t>
      </w:r>
      <w:r w:rsidR="00236B6F">
        <w:rPr>
          <w:rFonts w:ascii="Segoe UI" w:hAnsi="Segoe UI" w:cs="Segoe UI"/>
          <w:sz w:val="22"/>
          <w:szCs w:val="22"/>
        </w:rPr>
        <w:t>lin</w:t>
      </w:r>
      <w:r w:rsidRPr="00E4348E">
        <w:rPr>
          <w:rFonts w:ascii="Segoe UI" w:hAnsi="Segoe UI" w:cs="Segoe UI"/>
          <w:sz w:val="22"/>
          <w:szCs w:val="22"/>
        </w:rPr>
        <w:t xml:space="preserve">e in the number of new </w:t>
      </w:r>
      <w:r w:rsidR="00236B6F">
        <w:rPr>
          <w:rFonts w:ascii="Segoe UI" w:hAnsi="Segoe UI" w:cs="Segoe UI"/>
          <w:sz w:val="22"/>
          <w:szCs w:val="22"/>
        </w:rPr>
        <w:t>physician</w:t>
      </w:r>
      <w:r w:rsidRPr="00E4348E">
        <w:rPr>
          <w:rFonts w:ascii="Segoe UI" w:hAnsi="Segoe UI" w:cs="Segoe UI"/>
          <w:sz w:val="22"/>
          <w:szCs w:val="22"/>
        </w:rPr>
        <w:t xml:space="preserve">s and an improvement in the average quality of </w:t>
      </w:r>
      <w:r w:rsidR="00236B6F">
        <w:rPr>
          <w:rFonts w:ascii="Segoe UI" w:hAnsi="Segoe UI" w:cs="Segoe UI"/>
          <w:sz w:val="22"/>
          <w:szCs w:val="22"/>
        </w:rPr>
        <w:t>physician</w:t>
      </w:r>
      <w:r w:rsidRPr="00E4348E">
        <w:rPr>
          <w:rFonts w:ascii="Segoe UI" w:hAnsi="Segoe UI" w:cs="Segoe UI"/>
          <w:sz w:val="22"/>
          <w:szCs w:val="22"/>
        </w:rPr>
        <w:t xml:space="preserve"> training due to the disqualification of weaker institutions. </w:t>
      </w:r>
    </w:p>
    <w:p w14:paraId="58EE0A1B" w14:textId="3902CE58" w:rsidR="00E4348E" w:rsidRPr="00E4348E" w:rsidRDefault="00EE001D" w:rsidP="00EE001D">
      <w:pPr>
        <w:pStyle w:val="regpar"/>
        <w:ind w:firstLine="0"/>
        <w:jc w:val="both"/>
        <w:rPr>
          <w:rFonts w:ascii="Segoe UI" w:hAnsi="Segoe UI" w:cs="Segoe UI"/>
          <w:sz w:val="22"/>
          <w:szCs w:val="22"/>
        </w:rPr>
      </w:pPr>
      <w:r>
        <w:rPr>
          <w:rFonts w:ascii="Segoe UI" w:hAnsi="Segoe UI" w:cs="Segoe UI"/>
          <w:sz w:val="22"/>
          <w:szCs w:val="22"/>
        </w:rPr>
        <w:t xml:space="preserve">An analysis </w:t>
      </w:r>
      <w:r w:rsidR="00236B6F">
        <w:rPr>
          <w:rFonts w:ascii="Segoe UI" w:hAnsi="Segoe UI" w:cs="Segoe UI"/>
          <w:sz w:val="22"/>
          <w:szCs w:val="22"/>
        </w:rPr>
        <w:t xml:space="preserve">in the forthcoming Bank of Israel Annual Report </w:t>
      </w:r>
      <w:r w:rsidR="00E4348E" w:rsidRPr="00E4348E">
        <w:rPr>
          <w:rFonts w:ascii="Segoe UI" w:hAnsi="Segoe UI" w:cs="Segoe UI"/>
          <w:sz w:val="22"/>
          <w:szCs w:val="22"/>
        </w:rPr>
        <w:t xml:space="preserve">examines the expected </w:t>
      </w:r>
      <w:r>
        <w:rPr>
          <w:rFonts w:ascii="Segoe UI" w:hAnsi="Segoe UI" w:cs="Segoe UI"/>
          <w:sz w:val="22"/>
          <w:szCs w:val="22"/>
        </w:rPr>
        <w:t>effects</w:t>
      </w:r>
      <w:r w:rsidR="00E4348E" w:rsidRPr="00E4348E">
        <w:rPr>
          <w:rFonts w:ascii="Segoe UI" w:hAnsi="Segoe UI" w:cs="Segoe UI"/>
          <w:sz w:val="22"/>
          <w:szCs w:val="22"/>
        </w:rPr>
        <w:t xml:space="preserve"> of the reform and reviews the planned measures to address the anticipated dec</w:t>
      </w:r>
      <w:r w:rsidR="00236B6F">
        <w:rPr>
          <w:rFonts w:ascii="Segoe UI" w:hAnsi="Segoe UI" w:cs="Segoe UI"/>
          <w:sz w:val="22"/>
          <w:szCs w:val="22"/>
        </w:rPr>
        <w:t>lin</w:t>
      </w:r>
      <w:r w:rsidR="00E4348E" w:rsidRPr="00E4348E">
        <w:rPr>
          <w:rFonts w:ascii="Segoe UI" w:hAnsi="Segoe UI" w:cs="Segoe UI"/>
          <w:sz w:val="22"/>
          <w:szCs w:val="22"/>
        </w:rPr>
        <w:t xml:space="preserve">e in the number of new </w:t>
      </w:r>
      <w:r w:rsidR="00C732AE">
        <w:rPr>
          <w:rFonts w:ascii="Segoe UI" w:hAnsi="Segoe UI" w:cs="Segoe UI"/>
          <w:sz w:val="22"/>
          <w:szCs w:val="22"/>
        </w:rPr>
        <w:t>physicians</w:t>
      </w:r>
      <w:r w:rsidR="00E4348E" w:rsidRPr="00E4348E">
        <w:rPr>
          <w:rFonts w:ascii="Segoe UI" w:hAnsi="Segoe UI" w:cs="Segoe UI"/>
          <w:sz w:val="22"/>
          <w:szCs w:val="22"/>
        </w:rPr>
        <w:t>, particularly in the periphery.</w:t>
      </w:r>
    </w:p>
    <w:p w14:paraId="3F068DF1" w14:textId="3CD92B71" w:rsidR="00E4348E" w:rsidRPr="00E4348E" w:rsidRDefault="00E4348E" w:rsidP="00236B6F">
      <w:pPr>
        <w:spacing w:before="100" w:beforeAutospacing="1" w:after="100" w:afterAutospacing="1"/>
        <w:rPr>
          <w:rFonts w:ascii="Segoe UI" w:hAnsi="Segoe UI" w:cs="Segoe UI"/>
          <w:sz w:val="22"/>
          <w:szCs w:val="22"/>
        </w:rPr>
      </w:pPr>
      <w:r w:rsidRPr="00E4348E">
        <w:rPr>
          <w:rFonts w:ascii="Segoe UI" w:hAnsi="Segoe UI" w:cs="Segoe UI"/>
          <w:sz w:val="22"/>
          <w:szCs w:val="22"/>
        </w:rPr>
        <w:t xml:space="preserve"> </w:t>
      </w:r>
    </w:p>
    <w:p w14:paraId="08653F1C" w14:textId="6D377958" w:rsidR="00C17405" w:rsidRPr="00E4348E" w:rsidRDefault="00C17405" w:rsidP="00C17405">
      <w:pPr>
        <w:pStyle w:val="regpar"/>
        <w:ind w:firstLine="0"/>
        <w:jc w:val="both"/>
        <w:rPr>
          <w:rFonts w:ascii="Segoe UI" w:hAnsi="Segoe UI" w:cs="Segoe UI"/>
          <w:sz w:val="22"/>
          <w:szCs w:val="22"/>
        </w:rPr>
      </w:pPr>
    </w:p>
    <w:p w14:paraId="7AA3F6CD" w14:textId="6D7CFEE3" w:rsidR="00592585" w:rsidRPr="00443EB3" w:rsidRDefault="00592585" w:rsidP="00C17405">
      <w:pPr>
        <w:jc w:val="both"/>
        <w:rPr>
          <w:rFonts w:ascii="Segoe UI" w:hAnsi="Segoe UI" w:cs="Segoe UI"/>
          <w:b/>
          <w:bCs/>
          <w:sz w:val="22"/>
          <w:szCs w:val="22"/>
        </w:rPr>
      </w:pPr>
    </w:p>
    <w:sectPr w:rsidR="00592585" w:rsidRPr="00443EB3"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9DDC4" w14:textId="77777777" w:rsidR="00891937" w:rsidRDefault="00891937">
      <w:r>
        <w:separator/>
      </w:r>
    </w:p>
  </w:endnote>
  <w:endnote w:type="continuationSeparator" w:id="0">
    <w:p w14:paraId="1ED9F71A" w14:textId="77777777" w:rsidR="00891937" w:rsidRDefault="0089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9A233" w14:textId="77777777" w:rsidR="00891937" w:rsidRDefault="00891937">
      <w:pPr>
        <w:spacing w:line="160" w:lineRule="exact"/>
      </w:pPr>
    </w:p>
  </w:footnote>
  <w:footnote w:type="continuationSeparator" w:id="0">
    <w:p w14:paraId="2F1EC4C1" w14:textId="77777777" w:rsidR="00891937" w:rsidRDefault="00891937">
      <w:pPr>
        <w:pStyle w:val="rule"/>
      </w:pPr>
      <w:r>
        <w:t>–––––––––––––––––––––––––––</w:t>
      </w:r>
    </w:p>
    <w:p w14:paraId="4A6EDCF4" w14:textId="77777777" w:rsidR="00891937" w:rsidRDefault="00891937">
      <w:pPr>
        <w:pStyle w:val="noteseparator"/>
      </w:pPr>
    </w:p>
  </w:footnote>
  <w:footnote w:id="1">
    <w:p w14:paraId="54010770" w14:textId="615D8788" w:rsidR="00E4348E" w:rsidRPr="00C732AE" w:rsidRDefault="00E4348E" w:rsidP="00236B6F">
      <w:pPr>
        <w:pStyle w:val="a7"/>
        <w:rPr>
          <w:rFonts w:ascii="Segoe UI" w:hAnsi="Segoe UI" w:cs="Segoe UI"/>
        </w:rPr>
      </w:pPr>
      <w:r w:rsidRPr="00C732AE">
        <w:rPr>
          <w:rStyle w:val="a6"/>
          <w:rFonts w:ascii="Segoe UI" w:hAnsi="Segoe UI" w:cs="Segoe UI"/>
          <w:sz w:val="20"/>
          <w:szCs w:val="20"/>
        </w:rPr>
        <w:footnoteRef/>
      </w:r>
      <w:r w:rsidRPr="00C732AE">
        <w:rPr>
          <w:rFonts w:ascii="Segoe UI" w:hAnsi="Segoe UI" w:cs="Segoe UI"/>
        </w:rPr>
        <w:t xml:space="preserve"> </w:t>
      </w:r>
      <w:r w:rsidRPr="00E4348E">
        <w:rPr>
          <w:rFonts w:ascii="Segoe UI" w:hAnsi="Segoe UI" w:cs="Segoe UI"/>
        </w:rPr>
        <w:t xml:space="preserve">Currently, the medical licensing exams are purely theoretical, and it is possible that for this reason they do not pose an effective barrier to </w:t>
      </w:r>
      <w:r w:rsidR="00236B6F" w:rsidRPr="00C732AE">
        <w:rPr>
          <w:rFonts w:ascii="Segoe UI" w:hAnsi="Segoe UI" w:cs="Segoe UI"/>
        </w:rPr>
        <w:t>physicians</w:t>
      </w:r>
      <w:r w:rsidRPr="00E4348E">
        <w:rPr>
          <w:rFonts w:ascii="Segoe UI" w:hAnsi="Segoe UI" w:cs="Segoe UI"/>
        </w:rPr>
        <w:t xml:space="preserve"> who have not undergone quality clinical training. The Ministry of Health is considering including clinical components in these exams in the future.</w:t>
      </w:r>
    </w:p>
  </w:footnote>
  <w:footnote w:id="2">
    <w:p w14:paraId="169AB00D" w14:textId="3109DA06" w:rsidR="00236B6F" w:rsidRPr="00C732AE" w:rsidRDefault="00236B6F">
      <w:pPr>
        <w:pStyle w:val="a7"/>
        <w:rPr>
          <w:rFonts w:ascii="Segoe UI" w:hAnsi="Segoe UI" w:cs="Segoe UI"/>
        </w:rPr>
      </w:pPr>
      <w:r w:rsidRPr="00C732AE">
        <w:rPr>
          <w:rStyle w:val="a6"/>
          <w:rFonts w:ascii="Segoe UI" w:hAnsi="Segoe UI" w:cs="Segoe UI"/>
          <w:sz w:val="20"/>
          <w:szCs w:val="20"/>
        </w:rPr>
        <w:footnoteRef/>
      </w:r>
      <w:r w:rsidRPr="00C732AE">
        <w:rPr>
          <w:rFonts w:ascii="Segoe UI" w:hAnsi="Segoe UI" w:cs="Segoe UI"/>
        </w:rPr>
        <w:t xml:space="preserve"> </w:t>
      </w:r>
      <w:r w:rsidRPr="00E4348E">
        <w:rPr>
          <w:rFonts w:ascii="Segoe UI" w:hAnsi="Segoe UI" w:cs="Segoe UI"/>
        </w:rPr>
        <w:t xml:space="preserve">The examination found that in some universities, the level of studies is insufficient and the clinical training is limited in scope or does not exist at all. Accordingly, only a small percentage of students at these universities succeed in passing the licensing exam, and even within this group, the low level of training is evident in their subsequent careers (Brenner, </w:t>
      </w:r>
      <w:proofErr w:type="spellStart"/>
      <w:r w:rsidRPr="00E4348E">
        <w:rPr>
          <w:rFonts w:ascii="Segoe UI" w:hAnsi="Segoe UI" w:cs="Segoe UI"/>
        </w:rPr>
        <w:t>Shalem</w:t>
      </w:r>
      <w:proofErr w:type="spellEnd"/>
      <w:r w:rsidRPr="00E4348E">
        <w:rPr>
          <w:rFonts w:ascii="Segoe UI" w:hAnsi="Segoe UI" w:cs="Segoe UI"/>
        </w:rPr>
        <w:t>, et al., 2023).</w:t>
      </w:r>
    </w:p>
  </w:footnote>
  <w:footnote w:id="3">
    <w:p w14:paraId="05CDBC5E" w14:textId="5D4B68D0" w:rsidR="00236B6F" w:rsidRPr="00C732AE" w:rsidRDefault="00236B6F" w:rsidP="00236B6F">
      <w:pPr>
        <w:pStyle w:val="a7"/>
        <w:rPr>
          <w:rFonts w:ascii="Segoe UI" w:hAnsi="Segoe UI" w:cs="Segoe UI"/>
        </w:rPr>
      </w:pPr>
      <w:r w:rsidRPr="00C732AE">
        <w:rPr>
          <w:rStyle w:val="a6"/>
          <w:rFonts w:ascii="Segoe UI" w:hAnsi="Segoe UI" w:cs="Segoe UI"/>
          <w:sz w:val="20"/>
          <w:szCs w:val="20"/>
        </w:rPr>
        <w:footnoteRef/>
      </w:r>
      <w:r w:rsidRPr="00C732AE">
        <w:rPr>
          <w:rFonts w:ascii="Segoe UI" w:hAnsi="Segoe UI" w:cs="Segoe UI"/>
        </w:rPr>
        <w:t xml:space="preserve"> Based on</w:t>
      </w:r>
      <w:r w:rsidRPr="00E4348E">
        <w:rPr>
          <w:rFonts w:ascii="Segoe UI" w:hAnsi="Segoe UI" w:cs="Segoe UI"/>
        </w:rPr>
        <w:t xml:space="preserve"> the </w:t>
      </w:r>
      <w:r w:rsidRPr="00C732AE">
        <w:rPr>
          <w:rFonts w:ascii="Segoe UI" w:hAnsi="Segoe UI" w:cs="Segoe UI"/>
        </w:rPr>
        <w:t>track for physician training</w:t>
      </w:r>
      <w:r w:rsidRPr="00E4348E">
        <w:rPr>
          <w:rFonts w:ascii="Segoe UI" w:hAnsi="Segoe UI" w:cs="Segoe UI"/>
        </w:rPr>
        <w:t xml:space="preserve">, the number of interns is expected </w:t>
      </w:r>
      <w:r w:rsidRPr="00C732AE">
        <w:rPr>
          <w:rFonts w:ascii="Segoe UI" w:hAnsi="Segoe UI" w:cs="Segoe UI"/>
        </w:rPr>
        <w:t xml:space="preserve">to decline </w:t>
      </w:r>
      <w:r w:rsidRPr="00E4348E">
        <w:rPr>
          <w:rFonts w:ascii="Segoe UI" w:hAnsi="Segoe UI" w:cs="Segoe UI"/>
        </w:rPr>
        <w:t>in 2025, and</w:t>
      </w:r>
      <w:r w:rsidRPr="00C732AE">
        <w:rPr>
          <w:rFonts w:ascii="Segoe UI" w:hAnsi="Segoe UI" w:cs="Segoe UI"/>
        </w:rPr>
        <w:t xml:space="preserve"> </w:t>
      </w:r>
      <w:r w:rsidRPr="00E4348E">
        <w:rPr>
          <w:rFonts w:ascii="Segoe UI" w:hAnsi="Segoe UI" w:cs="Segoe UI"/>
        </w:rPr>
        <w:t>the number of potential</w:t>
      </w:r>
      <w:r w:rsidRPr="00C732AE">
        <w:rPr>
          <w:rFonts w:ascii="Segoe UI" w:hAnsi="Segoe UI" w:cs="Segoe UI"/>
        </w:rPr>
        <w:t xml:space="preserve"> medical</w:t>
      </w:r>
      <w:r w:rsidRPr="00E4348E">
        <w:rPr>
          <w:rFonts w:ascii="Segoe UI" w:hAnsi="Segoe UI" w:cs="Segoe UI"/>
        </w:rPr>
        <w:t xml:space="preserve"> </w:t>
      </w:r>
      <w:r w:rsidRPr="00C732AE">
        <w:rPr>
          <w:rFonts w:ascii="Segoe UI" w:hAnsi="Segoe UI" w:cs="Segoe UI"/>
        </w:rPr>
        <w:t>residents is expected to decline in 2026</w:t>
      </w:r>
      <w:r w:rsidRPr="00E4348E">
        <w:rPr>
          <w:rFonts w:ascii="Segoe UI" w:hAnsi="Segoe UI" w:cs="Segoe U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BC169D"/>
    <w:multiLevelType w:val="hybridMultilevel"/>
    <w:tmpl w:val="974C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3"/>
  </w:num>
  <w:num w:numId="4">
    <w:abstractNumId w:val="14"/>
  </w:num>
  <w:num w:numId="5">
    <w:abstractNumId w:val="1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6"/>
  </w:num>
  <w:num w:numId="11">
    <w:abstractNumId w:val="12"/>
  </w:num>
  <w:num w:numId="12">
    <w:abstractNumId w:val="9"/>
  </w:num>
  <w:num w:numId="13">
    <w:abstractNumId w:val="3"/>
  </w:num>
  <w:num w:numId="14">
    <w:abstractNumId w:val="2"/>
  </w:num>
  <w:num w:numId="15">
    <w:abstractNumId w:val="11"/>
  </w:num>
  <w:num w:numId="16">
    <w:abstractNumId w:val="1"/>
  </w:num>
  <w:num w:numId="17">
    <w:abstractNumId w:val="17"/>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13FB"/>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31B"/>
    <w:rsid w:val="00124970"/>
    <w:rsid w:val="00124AB5"/>
    <w:rsid w:val="00124ED8"/>
    <w:rsid w:val="00125AB8"/>
    <w:rsid w:val="00126370"/>
    <w:rsid w:val="00127549"/>
    <w:rsid w:val="00130460"/>
    <w:rsid w:val="00143F0D"/>
    <w:rsid w:val="0014603A"/>
    <w:rsid w:val="001550A7"/>
    <w:rsid w:val="00160123"/>
    <w:rsid w:val="00161743"/>
    <w:rsid w:val="00162F9E"/>
    <w:rsid w:val="0016621D"/>
    <w:rsid w:val="00166ECD"/>
    <w:rsid w:val="00181A09"/>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36B6F"/>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43EB3"/>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59CC"/>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1937"/>
    <w:rsid w:val="008920C9"/>
    <w:rsid w:val="008924D8"/>
    <w:rsid w:val="00892705"/>
    <w:rsid w:val="008965FF"/>
    <w:rsid w:val="00897D7D"/>
    <w:rsid w:val="008A0D61"/>
    <w:rsid w:val="008A117A"/>
    <w:rsid w:val="008A4E71"/>
    <w:rsid w:val="008B3910"/>
    <w:rsid w:val="008B564A"/>
    <w:rsid w:val="008C0767"/>
    <w:rsid w:val="008C2D26"/>
    <w:rsid w:val="008C671A"/>
    <w:rsid w:val="008D0CD2"/>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51190"/>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1813"/>
    <w:rsid w:val="00A326F3"/>
    <w:rsid w:val="00A339CF"/>
    <w:rsid w:val="00A362B4"/>
    <w:rsid w:val="00A41ECF"/>
    <w:rsid w:val="00A43D36"/>
    <w:rsid w:val="00A5711A"/>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4655"/>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82F8B"/>
    <w:rsid w:val="00B9723D"/>
    <w:rsid w:val="00BA3A63"/>
    <w:rsid w:val="00BA589A"/>
    <w:rsid w:val="00BA78B9"/>
    <w:rsid w:val="00BC05E1"/>
    <w:rsid w:val="00BC46DE"/>
    <w:rsid w:val="00BC6BBA"/>
    <w:rsid w:val="00BD570C"/>
    <w:rsid w:val="00BE50DA"/>
    <w:rsid w:val="00BF0276"/>
    <w:rsid w:val="00BF78A3"/>
    <w:rsid w:val="00C00CE9"/>
    <w:rsid w:val="00C042B1"/>
    <w:rsid w:val="00C17405"/>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32AE"/>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C36D7"/>
    <w:rsid w:val="00DD0AB5"/>
    <w:rsid w:val="00DD1273"/>
    <w:rsid w:val="00DD20B4"/>
    <w:rsid w:val="00DE121E"/>
    <w:rsid w:val="00DE76BB"/>
    <w:rsid w:val="00E03DAD"/>
    <w:rsid w:val="00E042D4"/>
    <w:rsid w:val="00E1087D"/>
    <w:rsid w:val="00E305A3"/>
    <w:rsid w:val="00E3258A"/>
    <w:rsid w:val="00E33F37"/>
    <w:rsid w:val="00E37EA3"/>
    <w:rsid w:val="00E40792"/>
    <w:rsid w:val="00E425FD"/>
    <w:rsid w:val="00E4348E"/>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001D"/>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unhideWhenUsed/>
    <w:rsid w:val="000C46E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67909489">
      <w:bodyDiv w:val="1"/>
      <w:marLeft w:val="0"/>
      <w:marRight w:val="0"/>
      <w:marTop w:val="0"/>
      <w:marBottom w:val="0"/>
      <w:divBdr>
        <w:top w:val="none" w:sz="0" w:space="0" w:color="auto"/>
        <w:left w:val="none" w:sz="0" w:space="0" w:color="auto"/>
        <w:bottom w:val="none" w:sz="0" w:space="0" w:color="auto"/>
        <w:right w:val="none" w:sz="0" w:space="0" w:color="auto"/>
      </w:divBdr>
    </w:div>
    <w:div w:id="946347497">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http://purl.org/dc/dcmitype/"/>
    <ds:schemaRef ds:uri="http://schemas.microsoft.com/sharepoint/v3"/>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23C74B-6E74-4F22-908C-4E46D9F2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2887</Characters>
  <Application>Microsoft Office Word</Application>
  <DocSecurity>4</DocSecurity>
  <Lines>24</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2025-03-23T12:42:00Z</dcterms:created>
  <dcterms:modified xsi:type="dcterms:W3CDTF">2025-03-23T12:42:00Z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