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7D" w:rsidRDefault="00C7587D" w:rsidP="00B65557">
      <w:pPr>
        <w:jc w:val="center"/>
        <w:rPr>
          <w:b/>
          <w:bCs/>
          <w:szCs w:val="26"/>
          <w:rtl/>
        </w:rPr>
      </w:pPr>
    </w:p>
    <w:tbl>
      <w:tblPr>
        <w:tblpPr w:leftFromText="180" w:rightFromText="180" w:vertAnchor="page" w:horzAnchor="margin" w:tblpXSpec="center" w:tblpY="1021"/>
        <w:bidiVisual/>
        <w:tblW w:w="8520" w:type="dxa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C7587D" w:rsidRPr="00097714" w:rsidTr="00F32A27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87D" w:rsidRPr="00097714" w:rsidRDefault="00C7587D" w:rsidP="00F32A27">
            <w:pPr>
              <w:jc w:val="center"/>
              <w:rPr>
                <w:rFonts w:ascii="David" w:hAnsi="David"/>
                <w:b/>
                <w:bCs/>
              </w:rPr>
            </w:pPr>
            <w:r w:rsidRPr="00097714">
              <w:rPr>
                <w:rFonts w:ascii="David" w:hAnsi="David"/>
                <w:b/>
                <w:bCs/>
                <w:rtl/>
              </w:rPr>
              <w:t>בנק ישראל</w:t>
            </w:r>
          </w:p>
          <w:p w:rsidR="00C7587D" w:rsidRPr="00097714" w:rsidRDefault="00C7587D" w:rsidP="00F32A27">
            <w:pPr>
              <w:ind w:right="-101"/>
              <w:jc w:val="center"/>
              <w:rPr>
                <w:rFonts w:ascii="David" w:hAnsi="David"/>
              </w:rPr>
            </w:pPr>
            <w:r w:rsidRPr="00097714">
              <w:rPr>
                <w:rFonts w:ascii="David" w:hAnsi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7587D" w:rsidRPr="00097714" w:rsidRDefault="00C7587D" w:rsidP="00F32A27">
            <w:pPr>
              <w:jc w:val="center"/>
              <w:rPr>
                <w:rFonts w:ascii="David" w:hAnsi="David"/>
              </w:rPr>
            </w:pPr>
            <w:r w:rsidRPr="00C7587D">
              <w:rPr>
                <w:rFonts w:ascii="David" w:hAnsi="David"/>
                <w:noProof/>
              </w:rPr>
              <w:drawing>
                <wp:inline distT="0" distB="0" distL="0" distR="0">
                  <wp:extent cx="882919" cy="882919"/>
                  <wp:effectExtent l="0" t="0" r="0" b="0"/>
                  <wp:docPr id="6" name="תמונה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תמונה 1" descr="לוגו בנק ישראל" title="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87D" w:rsidRPr="00097714" w:rsidRDefault="00C7587D" w:rsidP="00C7587D">
            <w:pPr>
              <w:spacing w:line="480" w:lineRule="auto"/>
              <w:jc w:val="right"/>
              <w:rPr>
                <w:rFonts w:ascii="David" w:hAnsi="David"/>
              </w:rPr>
            </w:pPr>
            <w:r>
              <w:rPr>
                <w:rFonts w:ascii="David" w:hAnsi="David"/>
                <w:rtl/>
              </w:rPr>
              <w:t xml:space="preserve">‏ירושלים, </w:t>
            </w:r>
            <w:r>
              <w:rPr>
                <w:rFonts w:ascii="David" w:hAnsi="David" w:hint="cs"/>
                <w:rtl/>
              </w:rPr>
              <w:t>ט"ו</w:t>
            </w:r>
            <w:r>
              <w:rPr>
                <w:rFonts w:ascii="David" w:hAnsi="David" w:hint="cs"/>
                <w:rtl/>
              </w:rPr>
              <w:t xml:space="preserve"> </w:t>
            </w:r>
            <w:r w:rsidRPr="00097714">
              <w:rPr>
                <w:rFonts w:ascii="David" w:hAnsi="David"/>
                <w:rtl/>
              </w:rPr>
              <w:t>ב</w:t>
            </w:r>
            <w:r>
              <w:rPr>
                <w:rFonts w:ascii="David" w:hAnsi="David" w:hint="cs"/>
                <w:rtl/>
              </w:rPr>
              <w:t>אייר</w:t>
            </w:r>
            <w:r w:rsidRPr="00097714">
              <w:rPr>
                <w:rFonts w:ascii="David" w:hAnsi="David"/>
                <w:rtl/>
              </w:rPr>
              <w:t>, תשע"ט</w:t>
            </w:r>
          </w:p>
          <w:p w:rsidR="00C7587D" w:rsidRPr="00097714" w:rsidRDefault="00C7587D" w:rsidP="00C7587D">
            <w:pPr>
              <w:spacing w:line="480" w:lineRule="auto"/>
              <w:jc w:val="right"/>
              <w:rPr>
                <w:rFonts w:ascii="David" w:hAnsi="David"/>
              </w:rPr>
            </w:pPr>
            <w:r w:rsidRPr="00097714">
              <w:rPr>
                <w:rFonts w:ascii="David" w:hAnsi="David"/>
                <w:rtl/>
              </w:rPr>
              <w:t>‏‏</w:t>
            </w:r>
            <w:r>
              <w:rPr>
                <w:rFonts w:ascii="David" w:hAnsi="David" w:hint="cs"/>
                <w:rtl/>
              </w:rPr>
              <w:t>20</w:t>
            </w:r>
            <w:r w:rsidRPr="00097714">
              <w:rPr>
                <w:rFonts w:ascii="David" w:hAnsi="David"/>
                <w:rtl/>
              </w:rPr>
              <w:t xml:space="preserve"> ב</w:t>
            </w:r>
            <w:r>
              <w:rPr>
                <w:rFonts w:ascii="David" w:hAnsi="David" w:hint="cs"/>
                <w:rtl/>
              </w:rPr>
              <w:t xml:space="preserve">מאי </w:t>
            </w:r>
            <w:r w:rsidRPr="00097714">
              <w:rPr>
                <w:rFonts w:ascii="David" w:hAnsi="David"/>
                <w:rtl/>
              </w:rPr>
              <w:t>2019</w:t>
            </w:r>
          </w:p>
        </w:tc>
      </w:tr>
    </w:tbl>
    <w:p w:rsidR="00C7587D" w:rsidRPr="00097714" w:rsidRDefault="00C7587D" w:rsidP="00C7587D">
      <w:pPr>
        <w:rPr>
          <w:rFonts w:ascii="David" w:hAnsi="David"/>
          <w:rtl/>
        </w:rPr>
      </w:pPr>
      <w:r w:rsidRPr="00097714">
        <w:rPr>
          <w:rFonts w:ascii="David" w:hAnsi="David"/>
          <w:rtl/>
        </w:rPr>
        <w:t>הודעה לעיתונות:</w:t>
      </w:r>
    </w:p>
    <w:p w:rsidR="00C7587D" w:rsidRDefault="00C7587D" w:rsidP="00C7587D">
      <w:pPr>
        <w:jc w:val="center"/>
        <w:rPr>
          <w:rFonts w:eastAsia="Calibri"/>
          <w:b/>
          <w:bCs/>
          <w:rtl/>
        </w:rPr>
      </w:pPr>
    </w:p>
    <w:p w:rsidR="00C7587D" w:rsidRDefault="00C7587D" w:rsidP="00C7587D">
      <w:pPr>
        <w:rPr>
          <w:rFonts w:ascii="David" w:hAnsi="David"/>
          <w:rtl/>
        </w:rPr>
      </w:pPr>
      <w:r w:rsidRPr="00487785">
        <w:rPr>
          <w:rFonts w:ascii="David" w:hAnsi="David"/>
          <w:rtl/>
        </w:rPr>
        <w:t xml:space="preserve">קטע מתוך הסקירה השנתית של מערכת הבנקאות </w:t>
      </w:r>
      <w:r>
        <w:rPr>
          <w:rFonts w:ascii="David" w:hAnsi="David" w:hint="cs"/>
          <w:rtl/>
        </w:rPr>
        <w:t xml:space="preserve">לשנת 2018 </w:t>
      </w:r>
      <w:r w:rsidRPr="00487785">
        <w:rPr>
          <w:rFonts w:ascii="David" w:hAnsi="David"/>
          <w:rtl/>
        </w:rPr>
        <w:t>שתפורסם בקרוב</w:t>
      </w:r>
      <w:r w:rsidRPr="00487785">
        <w:rPr>
          <w:rFonts w:ascii="David" w:hAnsi="David" w:hint="cs"/>
          <w:rtl/>
        </w:rPr>
        <w:t>:</w:t>
      </w:r>
    </w:p>
    <w:p w:rsidR="00C7587D" w:rsidRDefault="00C7587D" w:rsidP="00B65557">
      <w:pPr>
        <w:jc w:val="center"/>
        <w:rPr>
          <w:b/>
          <w:bCs/>
          <w:szCs w:val="26"/>
          <w:rtl/>
        </w:rPr>
      </w:pPr>
    </w:p>
    <w:p w:rsidR="00C529B5" w:rsidRPr="00C7587D" w:rsidRDefault="00762020" w:rsidP="00B65557">
      <w:pPr>
        <w:jc w:val="center"/>
        <w:rPr>
          <w:rFonts w:hint="cs"/>
          <w:b/>
          <w:bCs/>
          <w:sz w:val="28"/>
          <w:szCs w:val="28"/>
          <w:rtl/>
        </w:rPr>
      </w:pPr>
      <w:bookmarkStart w:id="0" w:name="_GoBack"/>
      <w:r w:rsidRPr="00C7587D">
        <w:rPr>
          <w:rFonts w:hint="cs"/>
          <w:b/>
          <w:bCs/>
          <w:sz w:val="28"/>
          <w:szCs w:val="28"/>
          <w:rtl/>
        </w:rPr>
        <w:t>ה</w:t>
      </w:r>
      <w:r w:rsidR="00694956" w:rsidRPr="00C7587D">
        <w:rPr>
          <w:rFonts w:hint="cs"/>
          <w:b/>
          <w:bCs/>
          <w:sz w:val="28"/>
          <w:szCs w:val="28"/>
          <w:rtl/>
        </w:rPr>
        <w:t xml:space="preserve">מתודולוגיה </w:t>
      </w:r>
      <w:r w:rsidRPr="00C7587D">
        <w:rPr>
          <w:rFonts w:hint="cs"/>
          <w:b/>
          <w:bCs/>
          <w:sz w:val="28"/>
          <w:szCs w:val="28"/>
          <w:rtl/>
        </w:rPr>
        <w:t>ה</w:t>
      </w:r>
      <w:r w:rsidR="00694956" w:rsidRPr="00C7587D">
        <w:rPr>
          <w:rFonts w:hint="cs"/>
          <w:b/>
          <w:bCs/>
          <w:sz w:val="28"/>
          <w:szCs w:val="28"/>
          <w:rtl/>
        </w:rPr>
        <w:t xml:space="preserve">פיקוחית להערכת </w:t>
      </w:r>
      <w:r w:rsidRPr="00C7587D">
        <w:rPr>
          <w:rFonts w:hint="cs"/>
          <w:b/>
          <w:bCs/>
          <w:sz w:val="28"/>
          <w:szCs w:val="28"/>
          <w:rtl/>
        </w:rPr>
        <w:t>ה</w:t>
      </w:r>
      <w:r w:rsidR="00694956" w:rsidRPr="00C7587D">
        <w:rPr>
          <w:rFonts w:hint="cs"/>
          <w:b/>
          <w:bCs/>
          <w:sz w:val="28"/>
          <w:szCs w:val="28"/>
          <w:rtl/>
        </w:rPr>
        <w:t xml:space="preserve">סיכונים </w:t>
      </w:r>
      <w:r w:rsidR="00B65557" w:rsidRPr="00C7587D">
        <w:rPr>
          <w:rFonts w:hint="cs"/>
          <w:b/>
          <w:bCs/>
          <w:sz w:val="28"/>
          <w:szCs w:val="28"/>
          <w:rtl/>
        </w:rPr>
        <w:t>בבנקים</w:t>
      </w:r>
    </w:p>
    <w:bookmarkEnd w:id="0"/>
    <w:p w:rsidR="00694956" w:rsidRPr="00F40B60" w:rsidRDefault="00694956" w:rsidP="00C529B5">
      <w:pPr>
        <w:rPr>
          <w:rFonts w:hint="cs"/>
          <w:rtl/>
        </w:rPr>
      </w:pPr>
    </w:p>
    <w:p w:rsidR="008532E8" w:rsidRPr="00F40B60" w:rsidRDefault="00A44FD7" w:rsidP="007D544E">
      <w:pPr>
        <w:numPr>
          <w:ilvl w:val="0"/>
          <w:numId w:val="8"/>
        </w:numPr>
        <w:tabs>
          <w:tab w:val="clear" w:pos="567"/>
          <w:tab w:val="left" w:pos="310"/>
        </w:tabs>
        <w:ind w:left="310" w:hanging="284"/>
        <w:rPr>
          <w:rtl/>
        </w:rPr>
      </w:pPr>
      <w:r w:rsidRPr="00F40B60">
        <w:rPr>
          <w:rFonts w:hint="cs"/>
          <w:rtl/>
        </w:rPr>
        <w:t>הפיקוח על הבנקים</w:t>
      </w:r>
      <w:r w:rsidR="00CD4325" w:rsidRPr="00F40B60">
        <w:rPr>
          <w:rFonts w:hint="cs"/>
          <w:rtl/>
        </w:rPr>
        <w:t xml:space="preserve"> </w:t>
      </w:r>
      <w:r w:rsidR="005C698D" w:rsidRPr="00F40B60">
        <w:rPr>
          <w:rFonts w:hint="cs"/>
          <w:rtl/>
        </w:rPr>
        <w:t xml:space="preserve">עורך </w:t>
      </w:r>
      <w:r w:rsidR="00B65557">
        <w:rPr>
          <w:rFonts w:hint="cs"/>
          <w:rtl/>
        </w:rPr>
        <w:t>בבנקים</w:t>
      </w:r>
      <w:r w:rsidR="005C698D" w:rsidRPr="00F40B60">
        <w:rPr>
          <w:rFonts w:hint="cs"/>
          <w:rtl/>
        </w:rPr>
        <w:t xml:space="preserve"> </w:t>
      </w:r>
      <w:r w:rsidR="00EE4CC0">
        <w:rPr>
          <w:rFonts w:hint="cs"/>
          <w:rtl/>
        </w:rPr>
        <w:t xml:space="preserve">באופן שוטף </w:t>
      </w:r>
      <w:r w:rsidR="00CD4325" w:rsidRPr="00F40B60">
        <w:rPr>
          <w:rFonts w:hint="cs"/>
          <w:rtl/>
        </w:rPr>
        <w:t>שורה ארוכה של פעולות ביקורת</w:t>
      </w:r>
      <w:r w:rsidR="00C37E43" w:rsidRPr="00F40B60">
        <w:rPr>
          <w:rFonts w:hint="cs"/>
          <w:rtl/>
        </w:rPr>
        <w:t>, בקרה, מעקב, והערכת סיכונים</w:t>
      </w:r>
      <w:r w:rsidR="00CD4325" w:rsidRPr="00F40B60">
        <w:rPr>
          <w:rFonts w:hint="cs"/>
          <w:rtl/>
        </w:rPr>
        <w:t xml:space="preserve">. </w:t>
      </w:r>
      <w:r w:rsidR="005C698D" w:rsidRPr="00F40B60">
        <w:rPr>
          <w:rFonts w:hint="cs"/>
          <w:rtl/>
        </w:rPr>
        <w:t xml:space="preserve">את </w:t>
      </w:r>
      <w:r w:rsidR="00CD4325" w:rsidRPr="00F40B60">
        <w:rPr>
          <w:rFonts w:hint="cs"/>
          <w:rtl/>
        </w:rPr>
        <w:t xml:space="preserve">הפעולות </w:t>
      </w:r>
      <w:r w:rsidR="005C698D" w:rsidRPr="00F40B60">
        <w:rPr>
          <w:rFonts w:hint="cs"/>
          <w:rtl/>
        </w:rPr>
        <w:t xml:space="preserve">מבצעים </w:t>
      </w:r>
      <w:r w:rsidR="00CD4325" w:rsidRPr="00F40B60">
        <w:rPr>
          <w:rFonts w:hint="cs"/>
          <w:rtl/>
        </w:rPr>
        <w:t>כ</w:t>
      </w:r>
      <w:r w:rsidR="0006475C" w:rsidRPr="00F40B60">
        <w:rPr>
          <w:rFonts w:hint="cs"/>
          <w:rtl/>
        </w:rPr>
        <w:t>ל</w:t>
      </w:r>
      <w:r w:rsidR="00CD4325" w:rsidRPr="00F40B60">
        <w:rPr>
          <w:rFonts w:hint="cs"/>
          <w:rtl/>
        </w:rPr>
        <w:t>ל אגפי הפיקוח</w:t>
      </w:r>
      <w:r w:rsidR="00B65557">
        <w:rPr>
          <w:rFonts w:hint="cs"/>
          <w:rtl/>
        </w:rPr>
        <w:t xml:space="preserve"> </w:t>
      </w:r>
      <w:r w:rsidR="00EE4CC0">
        <w:rPr>
          <w:rFonts w:hint="cs"/>
          <w:rtl/>
        </w:rPr>
        <w:t>במשך</w:t>
      </w:r>
      <w:r w:rsidR="00CD4325" w:rsidRPr="00F40B60">
        <w:rPr>
          <w:rFonts w:hint="cs"/>
          <w:rtl/>
        </w:rPr>
        <w:t xml:space="preserve"> כל השנה.</w:t>
      </w:r>
    </w:p>
    <w:p w:rsidR="008532E8" w:rsidRPr="00F40B60" w:rsidRDefault="00CD4325" w:rsidP="00762020">
      <w:pPr>
        <w:numPr>
          <w:ilvl w:val="0"/>
          <w:numId w:val="8"/>
        </w:numPr>
        <w:tabs>
          <w:tab w:val="clear" w:pos="567"/>
          <w:tab w:val="left" w:pos="310"/>
        </w:tabs>
        <w:ind w:left="310" w:hanging="284"/>
        <w:rPr>
          <w:rtl/>
        </w:rPr>
      </w:pPr>
      <w:r w:rsidRPr="00F40B60">
        <w:rPr>
          <w:rFonts w:hint="cs"/>
          <w:rtl/>
        </w:rPr>
        <w:t xml:space="preserve">נוסף </w:t>
      </w:r>
      <w:r w:rsidR="005C698D" w:rsidRPr="00F40B60">
        <w:rPr>
          <w:rFonts w:hint="cs"/>
          <w:rtl/>
        </w:rPr>
        <w:t xml:space="preserve">לכך </w:t>
      </w:r>
      <w:r w:rsidRPr="00F40B60">
        <w:rPr>
          <w:rFonts w:hint="cs"/>
          <w:rtl/>
        </w:rPr>
        <w:t xml:space="preserve">הפיקוח </w:t>
      </w:r>
      <w:r w:rsidR="00762020" w:rsidRPr="00F40B60">
        <w:rPr>
          <w:rFonts w:hint="cs"/>
          <w:rtl/>
        </w:rPr>
        <w:t xml:space="preserve">מקיים </w:t>
      </w:r>
      <w:r w:rsidRPr="00F40B60">
        <w:rPr>
          <w:rFonts w:hint="cs"/>
          <w:rtl/>
        </w:rPr>
        <w:t>תהליך</w:t>
      </w:r>
      <w:r w:rsidR="005C698D" w:rsidRPr="00F40B60">
        <w:rPr>
          <w:rFonts w:hint="cs"/>
          <w:rtl/>
        </w:rPr>
        <w:t xml:space="preserve"> </w:t>
      </w:r>
      <w:r w:rsidR="00762020" w:rsidRPr="00F40B60">
        <w:rPr>
          <w:rFonts w:hint="cs"/>
          <w:rtl/>
        </w:rPr>
        <w:t>הערכ</w:t>
      </w:r>
      <w:r w:rsidR="0027242B">
        <w:rPr>
          <w:rFonts w:hint="cs"/>
          <w:rtl/>
        </w:rPr>
        <w:t>ת סיכונים</w:t>
      </w:r>
      <w:r w:rsidR="00762020" w:rsidRPr="00F40B60">
        <w:rPr>
          <w:rFonts w:hint="cs"/>
          <w:rtl/>
        </w:rPr>
        <w:t xml:space="preserve"> </w:t>
      </w:r>
      <w:r w:rsidRPr="00F40B60">
        <w:rPr>
          <w:rFonts w:hint="cs"/>
          <w:rtl/>
        </w:rPr>
        <w:t>תקופתי מקיף ומובנה</w:t>
      </w:r>
      <w:r w:rsidR="005C698D" w:rsidRPr="00F40B60">
        <w:rPr>
          <w:rFonts w:hint="cs"/>
          <w:rtl/>
        </w:rPr>
        <w:t xml:space="preserve"> </w:t>
      </w:r>
      <w:r w:rsidR="005C698D" w:rsidRPr="00F40B60">
        <w:rPr>
          <w:rtl/>
        </w:rPr>
        <w:t>–</w:t>
      </w:r>
      <w:r w:rsidRPr="00F40B60">
        <w:rPr>
          <w:rFonts w:hint="cs"/>
          <w:rtl/>
        </w:rPr>
        <w:t xml:space="preserve"> </w:t>
      </w:r>
      <w:r w:rsidR="00B65557">
        <w:rPr>
          <w:rFonts w:hint="cs"/>
          <w:rtl/>
        </w:rPr>
        <w:t>ה-</w:t>
      </w:r>
      <w:r w:rsidRPr="00F40B60">
        <w:rPr>
          <w:szCs w:val="22"/>
        </w:rPr>
        <w:t>SREP</w:t>
      </w:r>
      <w:r w:rsidRPr="00F40B60">
        <w:rPr>
          <w:rFonts w:hint="cs"/>
          <w:rtl/>
        </w:rPr>
        <w:t xml:space="preserve"> (</w:t>
      </w:r>
      <w:r w:rsidRPr="00F40B60">
        <w:rPr>
          <w:szCs w:val="22"/>
        </w:rPr>
        <w:t>Supervisory Review and Evaluation Process</w:t>
      </w:r>
      <w:r w:rsidRPr="00F40B60">
        <w:rPr>
          <w:rFonts w:hint="cs"/>
          <w:rtl/>
        </w:rPr>
        <w:t xml:space="preserve">). </w:t>
      </w:r>
      <w:r w:rsidR="00762020" w:rsidRPr="00F40B60">
        <w:rPr>
          <w:rFonts w:hint="cs"/>
          <w:rtl/>
        </w:rPr>
        <w:t>ה-</w:t>
      </w:r>
      <w:r w:rsidR="00762020" w:rsidRPr="00F40B60">
        <w:t>SREP</w:t>
      </w:r>
      <w:r w:rsidRPr="00F40B60">
        <w:rPr>
          <w:rFonts w:hint="cs"/>
          <w:rtl/>
        </w:rPr>
        <w:t xml:space="preserve"> </w:t>
      </w:r>
      <w:r w:rsidR="005C698D" w:rsidRPr="00F40B60">
        <w:rPr>
          <w:rFonts w:hint="cs"/>
          <w:rtl/>
        </w:rPr>
        <w:t xml:space="preserve">מתקיים </w:t>
      </w:r>
      <w:r w:rsidRPr="00F40B60">
        <w:rPr>
          <w:rFonts w:hint="cs"/>
          <w:rtl/>
        </w:rPr>
        <w:t>על פי כללי ועדת באזל לפיקוח בנקאי (</w:t>
      </w:r>
      <w:r w:rsidRPr="00F40B60">
        <w:t>BCBS</w:t>
      </w:r>
      <w:r w:rsidRPr="00F40B60">
        <w:rPr>
          <w:rFonts w:hint="cs"/>
          <w:rtl/>
        </w:rPr>
        <w:t xml:space="preserve">), והוא מקביל לתהליכים דומים </w:t>
      </w:r>
      <w:r w:rsidR="005C698D" w:rsidRPr="00F40B60">
        <w:rPr>
          <w:rFonts w:hint="cs"/>
          <w:rtl/>
        </w:rPr>
        <w:t xml:space="preserve">שמקיימות </w:t>
      </w:r>
      <w:r w:rsidRPr="00F40B60">
        <w:rPr>
          <w:rFonts w:hint="cs"/>
          <w:rtl/>
        </w:rPr>
        <w:t xml:space="preserve">רשויות פיקוח מובילות בעולם. </w:t>
      </w:r>
    </w:p>
    <w:p w:rsidR="008532E8" w:rsidRPr="00F40B60" w:rsidRDefault="005C698D" w:rsidP="00F40B60">
      <w:pPr>
        <w:numPr>
          <w:ilvl w:val="0"/>
          <w:numId w:val="8"/>
        </w:numPr>
        <w:tabs>
          <w:tab w:val="clear" w:pos="567"/>
          <w:tab w:val="left" w:pos="310"/>
        </w:tabs>
        <w:ind w:left="310" w:hanging="284"/>
        <w:rPr>
          <w:rFonts w:hint="cs"/>
          <w:rtl/>
        </w:rPr>
      </w:pPr>
      <w:r w:rsidRPr="00F40B60">
        <w:rPr>
          <w:rFonts w:hint="cs"/>
          <w:rtl/>
        </w:rPr>
        <w:t>בתהליך</w:t>
      </w:r>
      <w:r w:rsidR="00CD4325" w:rsidRPr="00F40B60">
        <w:rPr>
          <w:rFonts w:hint="cs"/>
          <w:rtl/>
        </w:rPr>
        <w:t xml:space="preserve"> ה-</w:t>
      </w:r>
      <w:r w:rsidR="00CD4325" w:rsidRPr="00F40B60">
        <w:rPr>
          <w:szCs w:val="22"/>
        </w:rPr>
        <w:t>SREP</w:t>
      </w:r>
      <w:r w:rsidR="00CD4325" w:rsidRPr="00F40B60">
        <w:rPr>
          <w:rFonts w:hint="cs"/>
          <w:rtl/>
        </w:rPr>
        <w:t xml:space="preserve"> כ</w:t>
      </w:r>
      <w:r w:rsidR="001C66FF" w:rsidRPr="00F40B60">
        <w:rPr>
          <w:rFonts w:hint="cs"/>
          <w:rtl/>
        </w:rPr>
        <w:t xml:space="preserve">לכלני הפיקוח </w:t>
      </w:r>
      <w:r w:rsidRPr="00F40B60">
        <w:rPr>
          <w:rFonts w:hint="cs"/>
          <w:rtl/>
        </w:rPr>
        <w:t xml:space="preserve">מעריכים </w:t>
      </w:r>
      <w:r w:rsidR="001C66FF" w:rsidRPr="00F40B60">
        <w:rPr>
          <w:rFonts w:hint="cs"/>
          <w:rtl/>
        </w:rPr>
        <w:t>את הסיכונים המובנים</w:t>
      </w:r>
      <w:r w:rsidR="00CD4325" w:rsidRPr="00F40B60">
        <w:rPr>
          <w:rFonts w:hint="cs"/>
          <w:rtl/>
        </w:rPr>
        <w:t xml:space="preserve"> בפעילויות הבנק ואת איכות ניהול</w:t>
      </w:r>
      <w:r w:rsidRPr="00F40B60">
        <w:rPr>
          <w:rFonts w:hint="cs"/>
          <w:rtl/>
        </w:rPr>
        <w:t>ם</w:t>
      </w:r>
      <w:r w:rsidR="007631EE" w:rsidRPr="00F40B60">
        <w:rPr>
          <w:rFonts w:hint="cs"/>
          <w:rtl/>
        </w:rPr>
        <w:t>; את ה</w:t>
      </w:r>
      <w:r w:rsidR="00CD4325" w:rsidRPr="00F40B60">
        <w:rPr>
          <w:rFonts w:hint="cs"/>
          <w:rtl/>
        </w:rPr>
        <w:t>פונקציות</w:t>
      </w:r>
      <w:r w:rsidR="005C3161" w:rsidRPr="00F40B60">
        <w:rPr>
          <w:rFonts w:hint="cs"/>
          <w:rtl/>
        </w:rPr>
        <w:t xml:space="preserve"> </w:t>
      </w:r>
      <w:r w:rsidR="007631EE" w:rsidRPr="00F40B60">
        <w:rPr>
          <w:rFonts w:hint="cs"/>
          <w:rtl/>
        </w:rPr>
        <w:t>ה</w:t>
      </w:r>
      <w:r w:rsidR="005C3161" w:rsidRPr="00F40B60">
        <w:rPr>
          <w:rFonts w:hint="cs"/>
          <w:rtl/>
        </w:rPr>
        <w:t>מרכזיות ב</w:t>
      </w:r>
      <w:r w:rsidR="00CD4325" w:rsidRPr="00F40B60">
        <w:rPr>
          <w:rFonts w:hint="cs"/>
          <w:rtl/>
        </w:rPr>
        <w:t>ממשל התאגידי</w:t>
      </w:r>
      <w:r w:rsidR="007631EE" w:rsidRPr="00F40B60">
        <w:rPr>
          <w:rFonts w:hint="cs"/>
          <w:rtl/>
        </w:rPr>
        <w:t>; ו</w:t>
      </w:r>
      <w:r w:rsidRPr="00F40B60">
        <w:rPr>
          <w:rFonts w:hint="cs"/>
          <w:rtl/>
        </w:rPr>
        <w:t xml:space="preserve">את </w:t>
      </w:r>
      <w:r w:rsidR="00CD4325" w:rsidRPr="00F40B60">
        <w:rPr>
          <w:rFonts w:hint="cs"/>
          <w:rtl/>
        </w:rPr>
        <w:t>נאותות</w:t>
      </w:r>
      <w:r w:rsidRPr="00F40B60">
        <w:rPr>
          <w:rFonts w:hint="cs"/>
          <w:rtl/>
        </w:rPr>
        <w:t xml:space="preserve"> </w:t>
      </w:r>
      <w:r w:rsidR="00CD4325" w:rsidRPr="00F40B60">
        <w:rPr>
          <w:rFonts w:hint="cs"/>
          <w:rtl/>
        </w:rPr>
        <w:t>ההון העצמי</w:t>
      </w:r>
      <w:r w:rsidRPr="00F40B60">
        <w:rPr>
          <w:rFonts w:hint="cs"/>
          <w:rtl/>
        </w:rPr>
        <w:t xml:space="preserve"> ואיכותו</w:t>
      </w:r>
      <w:r w:rsidR="00CD4325" w:rsidRPr="00F40B60">
        <w:rPr>
          <w:rFonts w:hint="cs"/>
          <w:rtl/>
        </w:rPr>
        <w:t xml:space="preserve">. </w:t>
      </w:r>
      <w:r w:rsidR="007631EE" w:rsidRPr="00F40B60">
        <w:rPr>
          <w:rFonts w:hint="cs"/>
          <w:rtl/>
        </w:rPr>
        <w:t>הדבר נעשה</w:t>
      </w:r>
      <w:r w:rsidR="00CD4325" w:rsidRPr="00F40B60">
        <w:rPr>
          <w:rFonts w:hint="cs"/>
          <w:rtl/>
        </w:rPr>
        <w:t xml:space="preserve"> </w:t>
      </w:r>
      <w:r w:rsidR="007631EE" w:rsidRPr="00F40B60">
        <w:rPr>
          <w:rFonts w:hint="cs"/>
          <w:rtl/>
        </w:rPr>
        <w:t>ל</w:t>
      </w:r>
      <w:r w:rsidR="005C3161" w:rsidRPr="00F40B60">
        <w:rPr>
          <w:rFonts w:hint="cs"/>
          <w:rtl/>
        </w:rPr>
        <w:t>פי</w:t>
      </w:r>
      <w:r w:rsidR="00CD4325" w:rsidRPr="00F40B60">
        <w:rPr>
          <w:rFonts w:hint="cs"/>
          <w:rtl/>
        </w:rPr>
        <w:t xml:space="preserve"> מתודולוגיה סדורה </w:t>
      </w:r>
      <w:r w:rsidR="007631EE" w:rsidRPr="00F40B60">
        <w:rPr>
          <w:rFonts w:hint="cs"/>
          <w:rtl/>
        </w:rPr>
        <w:t>ש</w:t>
      </w:r>
      <w:r w:rsidR="00CD4325" w:rsidRPr="00F40B60">
        <w:rPr>
          <w:rFonts w:hint="cs"/>
          <w:rtl/>
        </w:rPr>
        <w:t>מבוססת על כרטיסי סיכון</w:t>
      </w:r>
      <w:r w:rsidR="007631EE" w:rsidRPr="00F40B60">
        <w:rPr>
          <w:rFonts w:hint="cs"/>
          <w:rtl/>
        </w:rPr>
        <w:t>/ הערכה</w:t>
      </w:r>
      <w:r w:rsidR="00CD4325" w:rsidRPr="00F40B60">
        <w:rPr>
          <w:rFonts w:hint="cs"/>
          <w:rtl/>
        </w:rPr>
        <w:t xml:space="preserve"> ייעודיי</w:t>
      </w:r>
      <w:r w:rsidR="00CD4325" w:rsidRPr="00F40B60">
        <w:rPr>
          <w:rFonts w:hint="eastAsia"/>
          <w:rtl/>
        </w:rPr>
        <w:t>ם</w:t>
      </w:r>
      <w:r w:rsidR="00CD4325" w:rsidRPr="00F40B60">
        <w:rPr>
          <w:rFonts w:hint="cs"/>
          <w:rtl/>
        </w:rPr>
        <w:t xml:space="preserve"> (</w:t>
      </w:r>
      <w:r w:rsidR="00CD4325" w:rsidRPr="00F40B60">
        <w:rPr>
          <w:szCs w:val="22"/>
        </w:rPr>
        <w:t>Risk</w:t>
      </w:r>
      <w:r w:rsidR="007631EE" w:rsidRPr="00F40B60">
        <w:rPr>
          <w:szCs w:val="22"/>
        </w:rPr>
        <w:t>/ Score</w:t>
      </w:r>
      <w:r w:rsidR="00CD4325" w:rsidRPr="00F40B60">
        <w:rPr>
          <w:szCs w:val="22"/>
        </w:rPr>
        <w:t xml:space="preserve"> Cards</w:t>
      </w:r>
      <w:r w:rsidR="00CD4325" w:rsidRPr="00F40B60">
        <w:rPr>
          <w:rFonts w:hint="cs"/>
          <w:rtl/>
        </w:rPr>
        <w:t>).</w:t>
      </w:r>
    </w:p>
    <w:p w:rsidR="008532E8" w:rsidRDefault="001B6C34" w:rsidP="00106E34">
      <w:pPr>
        <w:numPr>
          <w:ilvl w:val="0"/>
          <w:numId w:val="8"/>
        </w:numPr>
        <w:tabs>
          <w:tab w:val="clear" w:pos="567"/>
          <w:tab w:val="left" w:pos="310"/>
        </w:tabs>
        <w:ind w:left="310" w:hanging="284"/>
      </w:pPr>
      <w:r w:rsidRPr="00F40B60">
        <w:rPr>
          <w:rFonts w:hint="cs"/>
          <w:rtl/>
        </w:rPr>
        <w:t>ל</w:t>
      </w:r>
      <w:r w:rsidR="00CD4325" w:rsidRPr="00F40B60">
        <w:rPr>
          <w:rFonts w:hint="cs"/>
          <w:rtl/>
        </w:rPr>
        <w:t>-</w:t>
      </w:r>
      <w:r w:rsidR="00CD4325" w:rsidRPr="00F40B60">
        <w:rPr>
          <w:szCs w:val="22"/>
        </w:rPr>
        <w:t>SREP</w:t>
      </w:r>
      <w:r w:rsidR="00CD4325" w:rsidRPr="00F40B60">
        <w:rPr>
          <w:rFonts w:hint="cs"/>
          <w:rtl/>
        </w:rPr>
        <w:t xml:space="preserve"> </w:t>
      </w:r>
      <w:r w:rsidRPr="00F40B60">
        <w:rPr>
          <w:rFonts w:hint="cs"/>
          <w:rtl/>
        </w:rPr>
        <w:t>כמה</w:t>
      </w:r>
      <w:r w:rsidR="00CD4325" w:rsidRPr="00F40B60">
        <w:rPr>
          <w:rFonts w:hint="cs"/>
          <w:rtl/>
        </w:rPr>
        <w:t xml:space="preserve"> מטרות מרכזיות: (1) </w:t>
      </w:r>
      <w:r w:rsidR="00EE4CC0">
        <w:rPr>
          <w:rFonts w:hint="cs"/>
          <w:rtl/>
        </w:rPr>
        <w:t xml:space="preserve">במידת הצורך </w:t>
      </w:r>
      <w:r w:rsidRPr="00F40B60">
        <w:rPr>
          <w:rFonts w:hint="cs"/>
          <w:rtl/>
        </w:rPr>
        <w:t xml:space="preserve">לקבוע לבנק </w:t>
      </w:r>
      <w:r w:rsidR="00CD4325" w:rsidRPr="00F40B60">
        <w:rPr>
          <w:rFonts w:hint="cs"/>
          <w:rtl/>
        </w:rPr>
        <w:t xml:space="preserve">דרישת הון מעודכנת </w:t>
      </w:r>
      <w:r w:rsidRPr="00F40B60">
        <w:rPr>
          <w:rtl/>
        </w:rPr>
        <w:t>–</w:t>
      </w:r>
      <w:r w:rsidR="00CD4325" w:rsidRPr="00F40B60">
        <w:rPr>
          <w:rFonts w:hint="cs"/>
          <w:rtl/>
        </w:rPr>
        <w:t xml:space="preserve"> </w:t>
      </w:r>
      <w:r w:rsidRPr="00F40B60">
        <w:rPr>
          <w:rFonts w:hint="cs"/>
          <w:rtl/>
        </w:rPr>
        <w:t>כלומר</w:t>
      </w:r>
      <w:r w:rsidR="00601DD7" w:rsidRPr="00F40B60">
        <w:rPr>
          <w:rFonts w:hint="cs"/>
          <w:rtl/>
        </w:rPr>
        <w:t xml:space="preserve"> </w:t>
      </w:r>
      <w:r w:rsidR="00CD4325" w:rsidRPr="00F40B60">
        <w:rPr>
          <w:rFonts w:hint="cs"/>
          <w:rtl/>
        </w:rPr>
        <w:t>תוספות</w:t>
      </w:r>
      <w:r w:rsidR="00106E34">
        <w:rPr>
          <w:rFonts w:hint="cs"/>
          <w:rtl/>
        </w:rPr>
        <w:t xml:space="preserve"> לדרישות ההון הרגולטוריות הכלליות,</w:t>
      </w:r>
      <w:r w:rsidR="00CD4325" w:rsidRPr="00F40B60">
        <w:rPr>
          <w:rFonts w:hint="cs"/>
          <w:rtl/>
        </w:rPr>
        <w:t xml:space="preserve"> שישמשו כרית לספיגת הפסדים </w:t>
      </w:r>
      <w:r w:rsidRPr="00F40B60">
        <w:rPr>
          <w:rFonts w:hint="cs"/>
          <w:rtl/>
        </w:rPr>
        <w:t>בלתי</w:t>
      </w:r>
      <w:r w:rsidR="00CD4325" w:rsidRPr="00F40B60">
        <w:rPr>
          <w:rFonts w:hint="cs"/>
          <w:rtl/>
        </w:rPr>
        <w:t xml:space="preserve"> צפויים וישפרו את יציבות הבנק; (2) </w:t>
      </w:r>
      <w:r w:rsidR="00EE4CC0">
        <w:rPr>
          <w:rFonts w:hint="cs"/>
          <w:rtl/>
        </w:rPr>
        <w:t>לגבש</w:t>
      </w:r>
      <w:r w:rsidRPr="00F40B60">
        <w:rPr>
          <w:rFonts w:hint="cs"/>
          <w:rtl/>
        </w:rPr>
        <w:t xml:space="preserve"> </w:t>
      </w:r>
      <w:r w:rsidR="00EE4CC0">
        <w:rPr>
          <w:rFonts w:hint="cs"/>
          <w:rtl/>
        </w:rPr>
        <w:t>ל</w:t>
      </w:r>
      <w:r w:rsidR="00CD4325" w:rsidRPr="00F40B60">
        <w:rPr>
          <w:rFonts w:hint="cs"/>
          <w:rtl/>
        </w:rPr>
        <w:t xml:space="preserve">בנק </w:t>
      </w:r>
      <w:r w:rsidR="00EE4CC0">
        <w:rPr>
          <w:rFonts w:hint="cs"/>
          <w:rtl/>
        </w:rPr>
        <w:t>דרישות לגבי</w:t>
      </w:r>
      <w:r w:rsidR="00CD4325" w:rsidRPr="00F40B60">
        <w:rPr>
          <w:rFonts w:hint="cs"/>
          <w:rtl/>
        </w:rPr>
        <w:t xml:space="preserve"> צעדים </w:t>
      </w:r>
      <w:r w:rsidR="00A64733">
        <w:rPr>
          <w:rFonts w:hint="cs"/>
          <w:rtl/>
        </w:rPr>
        <w:t xml:space="preserve">שעליו לבצע </w:t>
      </w:r>
      <w:r w:rsidR="000E0CD4">
        <w:rPr>
          <w:rFonts w:hint="cs"/>
          <w:rtl/>
        </w:rPr>
        <w:t xml:space="preserve">כדי </w:t>
      </w:r>
      <w:r w:rsidR="00CD4325" w:rsidRPr="00F40B60">
        <w:rPr>
          <w:rFonts w:hint="cs"/>
          <w:rtl/>
        </w:rPr>
        <w:t>להפח</w:t>
      </w:r>
      <w:r w:rsidR="000E0CD4">
        <w:rPr>
          <w:rFonts w:hint="cs"/>
          <w:rtl/>
        </w:rPr>
        <w:t>י</w:t>
      </w:r>
      <w:r w:rsidR="00CD4325" w:rsidRPr="00F40B60">
        <w:rPr>
          <w:rFonts w:hint="cs"/>
          <w:rtl/>
        </w:rPr>
        <w:t xml:space="preserve">ת סיכונים ולתקן תהליכים; (3) </w:t>
      </w:r>
      <w:r w:rsidRPr="00F40B60">
        <w:rPr>
          <w:rFonts w:hint="cs"/>
          <w:rtl/>
        </w:rPr>
        <w:t xml:space="preserve">לעדכן את </w:t>
      </w:r>
      <w:r w:rsidR="00CD4325" w:rsidRPr="00F40B60">
        <w:rPr>
          <w:rFonts w:hint="cs"/>
          <w:rtl/>
        </w:rPr>
        <w:t>תוכנית העבודה הפיקוחית מבוססת</w:t>
      </w:r>
      <w:r w:rsidRPr="00F40B60">
        <w:rPr>
          <w:rFonts w:hint="cs"/>
          <w:rtl/>
        </w:rPr>
        <w:t xml:space="preserve"> ה</w:t>
      </w:r>
      <w:r w:rsidR="00CD4325" w:rsidRPr="00F40B60">
        <w:rPr>
          <w:rFonts w:hint="cs"/>
          <w:rtl/>
        </w:rPr>
        <w:t>סיכון.</w:t>
      </w:r>
    </w:p>
    <w:p w:rsidR="001A2B3D" w:rsidRPr="00F40B60" w:rsidRDefault="00CF0323" w:rsidP="00AD4876">
      <w:pPr>
        <w:numPr>
          <w:ilvl w:val="0"/>
          <w:numId w:val="8"/>
        </w:numPr>
        <w:tabs>
          <w:tab w:val="clear" w:pos="567"/>
          <w:tab w:val="left" w:pos="310"/>
        </w:tabs>
        <w:ind w:left="310" w:hanging="284"/>
        <w:rPr>
          <w:rFonts w:hint="cs"/>
        </w:rPr>
      </w:pPr>
      <w:r>
        <w:rPr>
          <w:rFonts w:hint="cs"/>
          <w:rtl/>
        </w:rPr>
        <w:t xml:space="preserve">בזכות </w:t>
      </w:r>
      <w:r w:rsidR="00320FA1">
        <w:rPr>
          <w:rFonts w:hint="cs"/>
          <w:rtl/>
        </w:rPr>
        <w:t>שלל תהליכי המעקב והפיקוח, לרבות תהליך ה-</w:t>
      </w:r>
      <w:r w:rsidR="00320FA1">
        <w:rPr>
          <w:rFonts w:hint="cs"/>
        </w:rPr>
        <w:t>SREP</w:t>
      </w:r>
      <w:r w:rsidR="00320FA1">
        <w:rPr>
          <w:rFonts w:hint="cs"/>
          <w:rtl/>
        </w:rPr>
        <w:t xml:space="preserve"> והפעולות האחרות המפורטות בתיבה זו, </w:t>
      </w:r>
      <w:r w:rsidR="00320FA1" w:rsidRPr="00F40B60">
        <w:rPr>
          <w:rFonts w:hint="cs"/>
          <w:rtl/>
        </w:rPr>
        <w:t xml:space="preserve">הבנקים </w:t>
      </w:r>
      <w:r>
        <w:rPr>
          <w:rFonts w:hint="cs"/>
          <w:rtl/>
        </w:rPr>
        <w:t>משפרים</w:t>
      </w:r>
      <w:r w:rsidR="00320FA1" w:rsidRPr="00F40B60">
        <w:rPr>
          <w:rFonts w:hint="cs"/>
          <w:rtl/>
        </w:rPr>
        <w:t xml:space="preserve"> את ניהול הסיכונים</w:t>
      </w:r>
      <w:r w:rsidR="00320FA1">
        <w:rPr>
          <w:rFonts w:hint="cs"/>
          <w:rtl/>
        </w:rPr>
        <w:t xml:space="preserve">, </w:t>
      </w:r>
      <w:r>
        <w:rPr>
          <w:rFonts w:hint="cs"/>
          <w:rtl/>
        </w:rPr>
        <w:t>מחזקים</w:t>
      </w:r>
      <w:r w:rsidR="00320FA1">
        <w:rPr>
          <w:rFonts w:hint="cs"/>
          <w:rtl/>
        </w:rPr>
        <w:t xml:space="preserve"> את הממשל התאגידי,</w:t>
      </w:r>
      <w:r w:rsidR="00320FA1" w:rsidRPr="00F40B60">
        <w:rPr>
          <w:rFonts w:hint="cs"/>
          <w:rtl/>
        </w:rPr>
        <w:t xml:space="preserve"> </w:t>
      </w:r>
      <w:r>
        <w:rPr>
          <w:rFonts w:hint="cs"/>
          <w:rtl/>
        </w:rPr>
        <w:t xml:space="preserve">ונערכים טוב יותר </w:t>
      </w:r>
      <w:r w:rsidR="00320FA1">
        <w:rPr>
          <w:rFonts w:hint="cs"/>
          <w:rtl/>
        </w:rPr>
        <w:t xml:space="preserve">לאירועי </w:t>
      </w:r>
      <w:r w:rsidR="00320FA1" w:rsidRPr="001C276F">
        <w:rPr>
          <w:rFonts w:hint="cs"/>
          <w:rtl/>
        </w:rPr>
        <w:t xml:space="preserve">הפסד </w:t>
      </w:r>
      <w:r w:rsidR="00234220" w:rsidRPr="001C276F">
        <w:rPr>
          <w:rFonts w:hint="cs"/>
          <w:rtl/>
        </w:rPr>
        <w:t>ו</w:t>
      </w:r>
      <w:r w:rsidR="00320FA1" w:rsidRPr="001C276F">
        <w:rPr>
          <w:rFonts w:hint="cs"/>
          <w:rtl/>
        </w:rPr>
        <w:t>לתקופות</w:t>
      </w:r>
      <w:r w:rsidR="00320FA1">
        <w:rPr>
          <w:rFonts w:hint="cs"/>
          <w:rtl/>
        </w:rPr>
        <w:t xml:space="preserve"> משבר. </w:t>
      </w:r>
      <w:r w:rsidR="00234220">
        <w:rPr>
          <w:rFonts w:hint="cs"/>
          <w:rtl/>
        </w:rPr>
        <w:t xml:space="preserve"> זאת</w:t>
      </w:r>
      <w:r w:rsidR="00320FA1">
        <w:rPr>
          <w:rFonts w:hint="cs"/>
          <w:rtl/>
        </w:rPr>
        <w:t xml:space="preserve">, בין היתר, על רקע דרישות והתערבות מוקדמת של הפיקוח במקומות </w:t>
      </w:r>
      <w:r>
        <w:rPr>
          <w:rFonts w:hint="cs"/>
          <w:rtl/>
        </w:rPr>
        <w:t>ש</w:t>
      </w:r>
      <w:r w:rsidR="00320FA1">
        <w:rPr>
          <w:rFonts w:hint="cs"/>
          <w:rtl/>
        </w:rPr>
        <w:t xml:space="preserve">בהם פעולות המעקב והבקרה </w:t>
      </w:r>
      <w:r w:rsidR="00234220">
        <w:rPr>
          <w:rFonts w:hint="cs"/>
          <w:rtl/>
        </w:rPr>
        <w:t xml:space="preserve">שלו </w:t>
      </w:r>
      <w:r w:rsidR="00320FA1">
        <w:rPr>
          <w:rFonts w:hint="cs"/>
          <w:rtl/>
        </w:rPr>
        <w:t>זיהו צורך בכך.</w:t>
      </w:r>
    </w:p>
    <w:p w:rsidR="008532E8" w:rsidRPr="00F40B60" w:rsidRDefault="008532E8" w:rsidP="008532E8">
      <w:pPr>
        <w:rPr>
          <w:rFonts w:hint="cs"/>
          <w:rtl/>
        </w:rPr>
      </w:pPr>
    </w:p>
    <w:p w:rsidR="00A17E41" w:rsidRPr="00F40B60" w:rsidRDefault="00CD4325" w:rsidP="00C529B5">
      <w:pPr>
        <w:rPr>
          <w:rFonts w:hint="cs"/>
          <w:b/>
          <w:bCs/>
          <w:u w:val="single"/>
          <w:rtl/>
        </w:rPr>
      </w:pPr>
      <w:r w:rsidRPr="00F40B60">
        <w:rPr>
          <w:rFonts w:hint="cs"/>
          <w:b/>
          <w:bCs/>
          <w:u w:val="single"/>
          <w:rtl/>
        </w:rPr>
        <w:t>רקע</w:t>
      </w:r>
    </w:p>
    <w:p w:rsidR="00694956" w:rsidRPr="00F40B60" w:rsidRDefault="00CD4325" w:rsidP="00D615CE">
      <w:pPr>
        <w:rPr>
          <w:rFonts w:hint="cs"/>
          <w:rtl/>
        </w:rPr>
      </w:pPr>
      <w:r w:rsidRPr="001C276F">
        <w:rPr>
          <w:rFonts w:hint="cs"/>
          <w:rtl/>
        </w:rPr>
        <w:t xml:space="preserve">הפיקוח על הבנקים </w:t>
      </w:r>
      <w:r w:rsidR="00601DD7" w:rsidRPr="001C276F">
        <w:rPr>
          <w:rFonts w:hint="cs"/>
          <w:rtl/>
        </w:rPr>
        <w:t xml:space="preserve">חותר בראש ובראשונה </w:t>
      </w:r>
      <w:r w:rsidRPr="001C276F">
        <w:rPr>
          <w:rFonts w:hint="cs"/>
          <w:rtl/>
        </w:rPr>
        <w:t>להגן על כספי המפקידים</w:t>
      </w:r>
      <w:r w:rsidR="00652594" w:rsidRPr="001C276F">
        <w:rPr>
          <w:rFonts w:hint="cs"/>
          <w:rtl/>
        </w:rPr>
        <w:t xml:space="preserve"> בבנקים</w:t>
      </w:r>
      <w:r w:rsidR="00CA5A72" w:rsidRPr="001C276F">
        <w:rPr>
          <w:rFonts w:hint="cs"/>
          <w:rtl/>
        </w:rPr>
        <w:t xml:space="preserve">, ולהבטיח </w:t>
      </w:r>
      <w:r w:rsidR="00601DD7" w:rsidRPr="001C276F">
        <w:rPr>
          <w:rFonts w:hint="cs"/>
          <w:rtl/>
        </w:rPr>
        <w:t>ש</w:t>
      </w:r>
      <w:r w:rsidR="00CA5A72" w:rsidRPr="001C276F">
        <w:rPr>
          <w:rFonts w:hint="cs"/>
          <w:rtl/>
        </w:rPr>
        <w:t xml:space="preserve">המערכת הבנקאית </w:t>
      </w:r>
      <w:r w:rsidR="00601DD7" w:rsidRPr="001C276F">
        <w:rPr>
          <w:rFonts w:hint="cs"/>
          <w:rtl/>
        </w:rPr>
        <w:t xml:space="preserve">תתפקד כיאות ותעניק לציבור ולמשק </w:t>
      </w:r>
      <w:r w:rsidR="00CA5A72" w:rsidRPr="001C276F">
        <w:rPr>
          <w:rFonts w:hint="cs"/>
          <w:rtl/>
        </w:rPr>
        <w:t xml:space="preserve">שירותים בנקאיים סדירים. </w:t>
      </w:r>
      <w:r w:rsidR="00601DD7" w:rsidRPr="001C276F">
        <w:rPr>
          <w:rFonts w:hint="cs"/>
          <w:rtl/>
        </w:rPr>
        <w:t>לשם כך הוא קובע ואוכף</w:t>
      </w:r>
      <w:r w:rsidRPr="001C276F">
        <w:rPr>
          <w:rFonts w:hint="cs"/>
          <w:rtl/>
        </w:rPr>
        <w:t xml:space="preserve"> </w:t>
      </w:r>
      <w:r w:rsidR="000401B0" w:rsidRPr="001C276F">
        <w:rPr>
          <w:rFonts w:hint="cs"/>
          <w:rtl/>
        </w:rPr>
        <w:t xml:space="preserve">פרקטיקות </w:t>
      </w:r>
      <w:r w:rsidR="00C00AF2" w:rsidRPr="001C276F">
        <w:rPr>
          <w:rFonts w:hint="cs"/>
          <w:rtl/>
        </w:rPr>
        <w:t xml:space="preserve">ותקנים </w:t>
      </w:r>
      <w:r w:rsidRPr="001C276F">
        <w:rPr>
          <w:rFonts w:hint="cs"/>
          <w:rtl/>
        </w:rPr>
        <w:t xml:space="preserve">שמטרתם לשמור על יציבות </w:t>
      </w:r>
      <w:r w:rsidR="00652594" w:rsidRPr="001C276F">
        <w:rPr>
          <w:rFonts w:hint="cs"/>
          <w:rtl/>
        </w:rPr>
        <w:t>הבנק</w:t>
      </w:r>
      <w:r w:rsidRPr="001C276F">
        <w:rPr>
          <w:rFonts w:hint="cs"/>
          <w:rtl/>
        </w:rPr>
        <w:t xml:space="preserve">ים </w:t>
      </w:r>
      <w:r w:rsidR="007E1CC5" w:rsidRPr="001C276F">
        <w:rPr>
          <w:rFonts w:hint="cs"/>
          <w:rtl/>
        </w:rPr>
        <w:t>ולקדם</w:t>
      </w:r>
      <w:r w:rsidR="0071244D" w:rsidRPr="001C276F">
        <w:rPr>
          <w:rFonts w:hint="cs"/>
          <w:rtl/>
        </w:rPr>
        <w:t xml:space="preserve"> </w:t>
      </w:r>
      <w:r w:rsidR="00C00AF2" w:rsidRPr="001C276F">
        <w:rPr>
          <w:rFonts w:hint="cs"/>
          <w:rtl/>
        </w:rPr>
        <w:t xml:space="preserve">בהם </w:t>
      </w:r>
      <w:r w:rsidRPr="001C276F">
        <w:rPr>
          <w:rFonts w:hint="cs"/>
          <w:rtl/>
        </w:rPr>
        <w:t>התנהלות זהירה.</w:t>
      </w:r>
    </w:p>
    <w:p w:rsidR="00694956" w:rsidRPr="00F40B60" w:rsidRDefault="003E62E0" w:rsidP="007D544E">
      <w:pPr>
        <w:rPr>
          <w:rFonts w:hint="cs"/>
          <w:rtl/>
        </w:rPr>
      </w:pPr>
      <w:r w:rsidRPr="00F40B60">
        <w:rPr>
          <w:rFonts w:hint="cs"/>
          <w:rtl/>
        </w:rPr>
        <w:t>בנק</w:t>
      </w:r>
      <w:r w:rsidR="001A5EB2" w:rsidRPr="00F40B60">
        <w:rPr>
          <w:rFonts w:hint="cs"/>
          <w:rtl/>
        </w:rPr>
        <w:t xml:space="preserve">, </w:t>
      </w:r>
      <w:r w:rsidR="00CA5A72" w:rsidRPr="00F40B60">
        <w:rPr>
          <w:rFonts w:hint="cs"/>
          <w:rtl/>
        </w:rPr>
        <w:t>מעצם טב</w:t>
      </w:r>
      <w:r w:rsidR="00601DD7" w:rsidRPr="00F40B60">
        <w:rPr>
          <w:rFonts w:hint="cs"/>
          <w:rtl/>
        </w:rPr>
        <w:t>עו</w:t>
      </w:r>
      <w:r w:rsidR="00CA5A72" w:rsidRPr="00F40B60">
        <w:rPr>
          <w:rFonts w:hint="cs"/>
          <w:rtl/>
        </w:rPr>
        <w:t>, נוטל</w:t>
      </w:r>
      <w:r w:rsidRPr="00F40B60">
        <w:rPr>
          <w:rFonts w:hint="cs"/>
          <w:rtl/>
        </w:rPr>
        <w:t xml:space="preserve"> סיכונים במהלך העסקים השוטף. </w:t>
      </w:r>
      <w:r w:rsidR="00601DD7" w:rsidRPr="00F40B60">
        <w:rPr>
          <w:rFonts w:hint="cs"/>
          <w:rtl/>
        </w:rPr>
        <w:t>עבודת הפיקוח מושתתת על ה</w:t>
      </w:r>
      <w:r w:rsidRPr="00F40B60">
        <w:rPr>
          <w:rFonts w:hint="cs"/>
          <w:rtl/>
        </w:rPr>
        <w:t>הנח</w:t>
      </w:r>
      <w:r w:rsidR="00601DD7" w:rsidRPr="00F40B60">
        <w:rPr>
          <w:rFonts w:hint="cs"/>
          <w:rtl/>
        </w:rPr>
        <w:t>ה</w:t>
      </w:r>
      <w:r w:rsidRPr="00F40B60">
        <w:rPr>
          <w:rFonts w:hint="cs"/>
          <w:rtl/>
        </w:rPr>
        <w:t xml:space="preserve"> שהאחריות ליציבות </w:t>
      </w:r>
      <w:r w:rsidR="00CA5A72" w:rsidRPr="00F40B60">
        <w:rPr>
          <w:rFonts w:hint="cs"/>
          <w:rtl/>
        </w:rPr>
        <w:t>הבנק</w:t>
      </w:r>
      <w:r w:rsidRPr="00F40B60">
        <w:rPr>
          <w:rFonts w:hint="cs"/>
          <w:rtl/>
        </w:rPr>
        <w:t>, לניהול סיכוניו,</w:t>
      </w:r>
      <w:r w:rsidR="00A62FD0" w:rsidRPr="00F40B60">
        <w:rPr>
          <w:rFonts w:hint="cs"/>
          <w:rtl/>
        </w:rPr>
        <w:t xml:space="preserve"> להתנהלותו ההוגנת </w:t>
      </w:r>
      <w:r w:rsidR="003A0F0C" w:rsidRPr="00F40B60">
        <w:rPr>
          <w:rFonts w:hint="cs"/>
          <w:rtl/>
        </w:rPr>
        <w:t>כלפי</w:t>
      </w:r>
      <w:r w:rsidR="00A62FD0" w:rsidRPr="00F40B60">
        <w:rPr>
          <w:rFonts w:hint="cs"/>
          <w:rtl/>
        </w:rPr>
        <w:t xml:space="preserve"> לקוחותיו,</w:t>
      </w:r>
      <w:r w:rsidRPr="00F40B60">
        <w:rPr>
          <w:rFonts w:hint="cs"/>
          <w:rtl/>
        </w:rPr>
        <w:t xml:space="preserve"> ולציות לחוקים ולהוראות, </w:t>
      </w:r>
      <w:r w:rsidR="00601DD7" w:rsidRPr="00F40B60">
        <w:rPr>
          <w:rFonts w:hint="cs"/>
          <w:rtl/>
        </w:rPr>
        <w:t>מוטלת</w:t>
      </w:r>
      <w:r w:rsidRPr="00F40B60">
        <w:rPr>
          <w:rFonts w:hint="cs"/>
          <w:rtl/>
        </w:rPr>
        <w:t xml:space="preserve"> בראש ובראשונה </w:t>
      </w:r>
      <w:r w:rsidR="00601DD7" w:rsidRPr="00F40B60">
        <w:rPr>
          <w:rFonts w:hint="cs"/>
          <w:rtl/>
        </w:rPr>
        <w:t>ע</w:t>
      </w:r>
      <w:r w:rsidRPr="00F40B60">
        <w:rPr>
          <w:rFonts w:hint="cs"/>
          <w:rtl/>
        </w:rPr>
        <w:t>ל הדירקטוריון וההנהלה הבכירה.</w:t>
      </w:r>
      <w:r w:rsidR="00CD4325" w:rsidRPr="00F40B60">
        <w:rPr>
          <w:rFonts w:hint="cs"/>
          <w:rtl/>
        </w:rPr>
        <w:t xml:space="preserve"> תפקיד הפיקוח הוא לקדם </w:t>
      </w:r>
      <w:r w:rsidR="00E404CE" w:rsidRPr="00F40B60">
        <w:rPr>
          <w:rFonts w:hint="cs"/>
          <w:rtl/>
        </w:rPr>
        <w:t xml:space="preserve">בבנקים </w:t>
      </w:r>
      <w:r w:rsidR="00CD4325" w:rsidRPr="00F40B60">
        <w:rPr>
          <w:rFonts w:hint="cs"/>
          <w:rtl/>
        </w:rPr>
        <w:t>התנהלות זהירה</w:t>
      </w:r>
      <w:r w:rsidR="00F82090" w:rsidRPr="00F40B60">
        <w:rPr>
          <w:rFonts w:hint="cs"/>
          <w:rtl/>
        </w:rPr>
        <w:t>,</w:t>
      </w:r>
      <w:r w:rsidR="00CD4325" w:rsidRPr="00F40B60">
        <w:rPr>
          <w:rFonts w:hint="cs"/>
          <w:rtl/>
        </w:rPr>
        <w:t xml:space="preserve"> </w:t>
      </w:r>
      <w:r w:rsidR="00652594" w:rsidRPr="00F40B60">
        <w:rPr>
          <w:rFonts w:hint="cs"/>
          <w:rtl/>
        </w:rPr>
        <w:t>ו</w:t>
      </w:r>
      <w:r w:rsidR="0042636E" w:rsidRPr="00F40B60">
        <w:rPr>
          <w:rFonts w:hint="cs"/>
          <w:rtl/>
        </w:rPr>
        <w:t xml:space="preserve">להגביל </w:t>
      </w:r>
      <w:r w:rsidR="0042636E" w:rsidRPr="00F40B60">
        <w:rPr>
          <w:rFonts w:hint="cs"/>
          <w:rtl/>
        </w:rPr>
        <w:lastRenderedPageBreak/>
        <w:t>ו</w:t>
      </w:r>
      <w:r w:rsidR="00652594" w:rsidRPr="00F40B60">
        <w:rPr>
          <w:rFonts w:hint="cs"/>
          <w:rtl/>
        </w:rPr>
        <w:t xml:space="preserve">לצמצם ככל </w:t>
      </w:r>
      <w:r w:rsidR="00E404CE" w:rsidRPr="00F40B60">
        <w:rPr>
          <w:rFonts w:hint="cs"/>
          <w:rtl/>
        </w:rPr>
        <w:t>האפשר</w:t>
      </w:r>
      <w:r w:rsidR="00CD4325" w:rsidRPr="00F40B60">
        <w:rPr>
          <w:rFonts w:hint="cs"/>
          <w:rtl/>
        </w:rPr>
        <w:t xml:space="preserve"> </w:t>
      </w:r>
      <w:r w:rsidR="00E404CE" w:rsidRPr="00F40B60">
        <w:rPr>
          <w:rFonts w:hint="cs"/>
          <w:rtl/>
        </w:rPr>
        <w:t>נטילת</w:t>
      </w:r>
      <w:r w:rsidR="00CD4325" w:rsidRPr="00F40B60">
        <w:rPr>
          <w:rFonts w:hint="cs"/>
          <w:rtl/>
        </w:rPr>
        <w:t xml:space="preserve"> סיכונים מופרזים, באמצעות </w:t>
      </w:r>
      <w:r w:rsidR="00916E06">
        <w:rPr>
          <w:rFonts w:hint="cs"/>
          <w:rtl/>
        </w:rPr>
        <w:t>ארגז</w:t>
      </w:r>
      <w:r w:rsidR="00CD4325" w:rsidRPr="00F40B60">
        <w:rPr>
          <w:rFonts w:hint="cs"/>
          <w:rtl/>
        </w:rPr>
        <w:t xml:space="preserve"> כלים רגולטוריים</w:t>
      </w:r>
      <w:r w:rsidR="0071244D" w:rsidRPr="00F40B60">
        <w:rPr>
          <w:rFonts w:hint="cs"/>
          <w:rtl/>
        </w:rPr>
        <w:t>.</w:t>
      </w:r>
      <w:r w:rsidR="00CD4325" w:rsidRPr="00F40B60">
        <w:rPr>
          <w:rFonts w:hint="cs"/>
          <w:rtl/>
        </w:rPr>
        <w:t xml:space="preserve"> </w:t>
      </w:r>
      <w:r w:rsidR="0076368D" w:rsidRPr="00F40B60">
        <w:rPr>
          <w:rFonts w:hint="cs"/>
          <w:rtl/>
        </w:rPr>
        <w:t>אל</w:t>
      </w:r>
      <w:r w:rsidR="00916E06">
        <w:rPr>
          <w:rFonts w:hint="cs"/>
          <w:rtl/>
        </w:rPr>
        <w:t>ה</w:t>
      </w:r>
      <w:r w:rsidR="0071244D" w:rsidRPr="00F40B60">
        <w:rPr>
          <w:rFonts w:hint="cs"/>
          <w:rtl/>
        </w:rPr>
        <w:t xml:space="preserve"> כוללים בין היתר חקיקה</w:t>
      </w:r>
      <w:r w:rsidR="00916E06">
        <w:rPr>
          <w:rFonts w:hint="cs"/>
          <w:rtl/>
        </w:rPr>
        <w:t>;</w:t>
      </w:r>
      <w:r w:rsidR="00CD4325" w:rsidRPr="00F40B60">
        <w:rPr>
          <w:rFonts w:hint="cs"/>
          <w:rtl/>
        </w:rPr>
        <w:t xml:space="preserve"> הוראות ניהול בנקאי תקין</w:t>
      </w:r>
      <w:r w:rsidR="00652594" w:rsidRPr="00F40B60">
        <w:rPr>
          <w:rFonts w:hint="cs"/>
          <w:rtl/>
        </w:rPr>
        <w:t xml:space="preserve"> </w:t>
      </w:r>
      <w:r w:rsidR="00E404CE" w:rsidRPr="00F40B60">
        <w:rPr>
          <w:rFonts w:hint="cs"/>
          <w:rtl/>
        </w:rPr>
        <w:t>ש</w:t>
      </w:r>
      <w:r w:rsidR="00652594" w:rsidRPr="00F40B60">
        <w:rPr>
          <w:rFonts w:hint="cs"/>
          <w:rtl/>
        </w:rPr>
        <w:t xml:space="preserve">הפיקוח </w:t>
      </w:r>
      <w:r w:rsidR="00E404CE" w:rsidRPr="00F40B60">
        <w:rPr>
          <w:rFonts w:hint="cs"/>
          <w:rtl/>
        </w:rPr>
        <w:t xml:space="preserve">מפרסם </w:t>
      </w:r>
      <w:r w:rsidR="00F82090" w:rsidRPr="00042F68">
        <w:rPr>
          <w:rFonts w:hint="cs"/>
          <w:rtl/>
        </w:rPr>
        <w:t>ו</w:t>
      </w:r>
      <w:r w:rsidR="00652594" w:rsidRPr="00D615CE">
        <w:rPr>
          <w:rFonts w:hint="cs"/>
          <w:rtl/>
        </w:rPr>
        <w:t>הבנקים</w:t>
      </w:r>
      <w:r w:rsidR="00F82090" w:rsidRPr="00042F68">
        <w:rPr>
          <w:rFonts w:hint="cs"/>
          <w:rtl/>
        </w:rPr>
        <w:t xml:space="preserve"> חייבים לציית להן</w:t>
      </w:r>
      <w:r w:rsidR="00916E06">
        <w:rPr>
          <w:rFonts w:hint="cs"/>
          <w:rtl/>
        </w:rPr>
        <w:t>;</w:t>
      </w:r>
      <w:r w:rsidR="00CD4325" w:rsidRPr="00F40B60">
        <w:rPr>
          <w:rFonts w:hint="cs"/>
          <w:rtl/>
        </w:rPr>
        <w:t xml:space="preserve"> </w:t>
      </w:r>
      <w:r w:rsidR="00652594" w:rsidRPr="00F40B60">
        <w:rPr>
          <w:rFonts w:hint="cs"/>
          <w:rtl/>
        </w:rPr>
        <w:t>תהליכי בדיקה וביקורת</w:t>
      </w:r>
      <w:r w:rsidR="00A64733">
        <w:rPr>
          <w:rFonts w:hint="cs"/>
          <w:rtl/>
        </w:rPr>
        <w:t xml:space="preserve"> ודרישה לתיקון ליקויים</w:t>
      </w:r>
      <w:r w:rsidR="00916E06">
        <w:rPr>
          <w:rFonts w:hint="cs"/>
          <w:rtl/>
        </w:rPr>
        <w:t>;</w:t>
      </w:r>
      <w:r w:rsidR="00652594" w:rsidRPr="00F40B60">
        <w:rPr>
          <w:rFonts w:hint="cs"/>
          <w:rtl/>
        </w:rPr>
        <w:t xml:space="preserve"> </w:t>
      </w:r>
      <w:r w:rsidR="00CD4325" w:rsidRPr="00F40B60">
        <w:rPr>
          <w:rFonts w:hint="cs"/>
          <w:rtl/>
        </w:rPr>
        <w:t>מתן רישיונות והיתרים</w:t>
      </w:r>
      <w:r w:rsidR="00F82090" w:rsidRPr="00F40B60">
        <w:rPr>
          <w:rFonts w:hint="cs"/>
          <w:rtl/>
        </w:rPr>
        <w:t xml:space="preserve"> לאחר בדיקה מעמיקה</w:t>
      </w:r>
      <w:r w:rsidR="00652594" w:rsidRPr="00F40B60">
        <w:rPr>
          <w:rFonts w:hint="cs"/>
          <w:rtl/>
        </w:rPr>
        <w:t xml:space="preserve"> (למשל היתרי שליטה ו</w:t>
      </w:r>
      <w:r w:rsidR="00E404CE" w:rsidRPr="00F40B60">
        <w:rPr>
          <w:rFonts w:hint="cs"/>
          <w:rtl/>
        </w:rPr>
        <w:t>ה</w:t>
      </w:r>
      <w:r w:rsidR="00652594" w:rsidRPr="00F40B60">
        <w:rPr>
          <w:rFonts w:hint="cs"/>
          <w:rtl/>
        </w:rPr>
        <w:t>חזקה או היתרים לכהונה של נושאי משרה)</w:t>
      </w:r>
      <w:r w:rsidR="00916E06">
        <w:rPr>
          <w:rFonts w:hint="cs"/>
          <w:rtl/>
        </w:rPr>
        <w:t>;</w:t>
      </w:r>
      <w:r w:rsidR="00CD4325" w:rsidRPr="00F40B60">
        <w:rPr>
          <w:rFonts w:hint="cs"/>
          <w:rtl/>
        </w:rPr>
        <w:t xml:space="preserve"> קביעת דרישות הון</w:t>
      </w:r>
      <w:r w:rsidR="00652594" w:rsidRPr="00F40B60">
        <w:rPr>
          <w:rFonts w:hint="cs"/>
          <w:rtl/>
        </w:rPr>
        <w:t xml:space="preserve"> שישמש כרית לספיגת הפסדים </w:t>
      </w:r>
      <w:r w:rsidR="00F82090" w:rsidRPr="00F40B60">
        <w:rPr>
          <w:rFonts w:hint="cs"/>
          <w:rtl/>
        </w:rPr>
        <w:t>בלתי</w:t>
      </w:r>
      <w:r w:rsidR="00652594" w:rsidRPr="00F40B60">
        <w:rPr>
          <w:rFonts w:hint="cs"/>
          <w:rtl/>
        </w:rPr>
        <w:t xml:space="preserve"> צפויים</w:t>
      </w:r>
      <w:r w:rsidR="00916E06">
        <w:rPr>
          <w:rFonts w:hint="cs"/>
          <w:rtl/>
        </w:rPr>
        <w:t>;</w:t>
      </w:r>
      <w:r w:rsidR="00CD4325" w:rsidRPr="00F40B60">
        <w:rPr>
          <w:rFonts w:hint="cs"/>
          <w:rtl/>
        </w:rPr>
        <w:t xml:space="preserve"> הערכת סיכונים בלתי תלויה</w:t>
      </w:r>
      <w:r w:rsidR="00916E06">
        <w:rPr>
          <w:rFonts w:hint="cs"/>
          <w:rtl/>
        </w:rPr>
        <w:t>;</w:t>
      </w:r>
      <w:r w:rsidR="00CD4325" w:rsidRPr="00F40B60">
        <w:rPr>
          <w:rFonts w:hint="cs"/>
          <w:rtl/>
        </w:rPr>
        <w:t xml:space="preserve"> </w:t>
      </w:r>
      <w:r w:rsidR="000F5546" w:rsidRPr="00F40B60">
        <w:rPr>
          <w:rFonts w:hint="cs"/>
          <w:rtl/>
        </w:rPr>
        <w:t>עריכת</w:t>
      </w:r>
      <w:r w:rsidR="00C20AF1" w:rsidRPr="00F40B60">
        <w:rPr>
          <w:rFonts w:hint="cs"/>
          <w:rtl/>
        </w:rPr>
        <w:t xml:space="preserve"> תרחישי קיצון</w:t>
      </w:r>
      <w:r w:rsidR="00652594" w:rsidRPr="00F40B60">
        <w:rPr>
          <w:rFonts w:hint="cs"/>
          <w:rtl/>
        </w:rPr>
        <w:t xml:space="preserve"> והערכת </w:t>
      </w:r>
      <w:r w:rsidR="00F82090" w:rsidRPr="00F40B60">
        <w:rPr>
          <w:rFonts w:hint="cs"/>
          <w:rtl/>
        </w:rPr>
        <w:t>ה</w:t>
      </w:r>
      <w:r w:rsidR="00652594" w:rsidRPr="00F40B60">
        <w:rPr>
          <w:rFonts w:hint="cs"/>
          <w:rtl/>
        </w:rPr>
        <w:t xml:space="preserve">יכולת </w:t>
      </w:r>
      <w:r w:rsidR="00F82090" w:rsidRPr="00F40B60">
        <w:rPr>
          <w:rFonts w:hint="cs"/>
          <w:rtl/>
        </w:rPr>
        <w:t>של הבנקים לעמוד</w:t>
      </w:r>
      <w:r w:rsidR="00A45502" w:rsidRPr="00F40B60">
        <w:rPr>
          <w:rFonts w:hint="cs"/>
          <w:rtl/>
        </w:rPr>
        <w:t xml:space="preserve"> בהם</w:t>
      </w:r>
      <w:r w:rsidR="00916E06">
        <w:rPr>
          <w:rFonts w:hint="cs"/>
          <w:rtl/>
        </w:rPr>
        <w:t>;</w:t>
      </w:r>
      <w:r w:rsidR="00C20AF1" w:rsidRPr="00F40B60">
        <w:rPr>
          <w:rFonts w:hint="cs"/>
          <w:rtl/>
        </w:rPr>
        <w:t xml:space="preserve"> </w:t>
      </w:r>
      <w:r w:rsidR="00652594" w:rsidRPr="00F40B60">
        <w:rPr>
          <w:rFonts w:hint="cs"/>
          <w:rtl/>
        </w:rPr>
        <w:t>מפגשים</w:t>
      </w:r>
      <w:r w:rsidR="00CD4325" w:rsidRPr="00F40B60">
        <w:rPr>
          <w:rFonts w:hint="cs"/>
          <w:rtl/>
        </w:rPr>
        <w:t xml:space="preserve"> עם </w:t>
      </w:r>
      <w:r w:rsidR="0071244D" w:rsidRPr="00F40B60">
        <w:rPr>
          <w:rFonts w:hint="cs"/>
          <w:rtl/>
        </w:rPr>
        <w:t>הדירקטוריון וההנהלה הבכירה</w:t>
      </w:r>
      <w:r w:rsidR="00916E06">
        <w:rPr>
          <w:rFonts w:hint="cs"/>
          <w:rtl/>
        </w:rPr>
        <w:t>;</w:t>
      </w:r>
      <w:r w:rsidR="00652594" w:rsidRPr="00F40B60">
        <w:rPr>
          <w:rFonts w:hint="cs"/>
          <w:rtl/>
        </w:rPr>
        <w:t xml:space="preserve"> והטלת עיצומים כספיים</w:t>
      </w:r>
      <w:r w:rsidR="00CD4325" w:rsidRPr="00F40B60">
        <w:rPr>
          <w:rFonts w:hint="cs"/>
          <w:rtl/>
        </w:rPr>
        <w:t>.</w:t>
      </w:r>
      <w:r w:rsidR="009F5453">
        <w:rPr>
          <w:rFonts w:hint="cs"/>
          <w:rtl/>
        </w:rPr>
        <w:t xml:space="preserve"> </w:t>
      </w:r>
    </w:p>
    <w:p w:rsidR="00A44BAC" w:rsidRPr="00F40B60" w:rsidRDefault="00A44BAC" w:rsidP="006E299F">
      <w:pPr>
        <w:rPr>
          <w:rFonts w:hint="cs"/>
          <w:rtl/>
        </w:rPr>
      </w:pPr>
    </w:p>
    <w:p w:rsidR="00694956" w:rsidRPr="00F40B60" w:rsidRDefault="006E299F" w:rsidP="007D544E">
      <w:pPr>
        <w:rPr>
          <w:rFonts w:hint="cs"/>
          <w:rtl/>
        </w:rPr>
      </w:pPr>
      <w:r w:rsidRPr="00F40B60">
        <w:rPr>
          <w:rFonts w:hint="cs"/>
          <w:rtl/>
        </w:rPr>
        <w:t xml:space="preserve">תיבה זו </w:t>
      </w:r>
      <w:r w:rsidR="00652594" w:rsidRPr="00F40B60">
        <w:rPr>
          <w:rFonts w:hint="cs"/>
          <w:rtl/>
        </w:rPr>
        <w:t>מתמקדת</w:t>
      </w:r>
      <w:r w:rsidRPr="00F40B60">
        <w:rPr>
          <w:rFonts w:hint="cs"/>
          <w:rtl/>
        </w:rPr>
        <w:t xml:space="preserve"> </w:t>
      </w:r>
      <w:r w:rsidR="00A44BAC" w:rsidRPr="00F40B60">
        <w:rPr>
          <w:rFonts w:hint="cs"/>
          <w:rtl/>
        </w:rPr>
        <w:t xml:space="preserve">בתהליכי </w:t>
      </w:r>
      <w:r w:rsidR="00CD4325" w:rsidRPr="00F40B60">
        <w:rPr>
          <w:rFonts w:hint="cs"/>
          <w:rtl/>
        </w:rPr>
        <w:t>המעקב</w:t>
      </w:r>
      <w:r w:rsidR="00B7674B" w:rsidRPr="00F40B60">
        <w:rPr>
          <w:rFonts w:hint="cs"/>
          <w:rtl/>
        </w:rPr>
        <w:t xml:space="preserve"> השוטפים</w:t>
      </w:r>
      <w:r w:rsidR="00F82090" w:rsidRPr="00F40B60">
        <w:rPr>
          <w:rFonts w:hint="cs"/>
          <w:rtl/>
        </w:rPr>
        <w:t xml:space="preserve"> </w:t>
      </w:r>
      <w:r w:rsidR="007D544E">
        <w:rPr>
          <w:rFonts w:hint="cs"/>
          <w:rtl/>
        </w:rPr>
        <w:t>וביתר פירוט ב-</w:t>
      </w:r>
      <w:r w:rsidR="007D544E">
        <w:t>SREP</w:t>
      </w:r>
      <w:r w:rsidR="007D544E">
        <w:rPr>
          <w:rFonts w:hint="cs"/>
          <w:rtl/>
        </w:rPr>
        <w:t xml:space="preserve"> </w:t>
      </w:r>
      <w:r w:rsidR="007D544E">
        <w:rPr>
          <w:rtl/>
        </w:rPr>
        <w:t>–</w:t>
      </w:r>
      <w:r w:rsidR="007D544E">
        <w:rPr>
          <w:rFonts w:hint="cs"/>
          <w:rtl/>
        </w:rPr>
        <w:t xml:space="preserve"> ה</w:t>
      </w:r>
      <w:r w:rsidR="00B7674B" w:rsidRPr="00F40B60">
        <w:rPr>
          <w:rFonts w:hint="cs"/>
          <w:rtl/>
        </w:rPr>
        <w:t xml:space="preserve">תהליך </w:t>
      </w:r>
      <w:r w:rsidR="007D544E">
        <w:rPr>
          <w:rFonts w:hint="cs"/>
          <w:rtl/>
        </w:rPr>
        <w:t xml:space="preserve">התקופתי </w:t>
      </w:r>
      <w:r w:rsidR="00B7674B" w:rsidRPr="00F40B60">
        <w:rPr>
          <w:rFonts w:hint="cs"/>
          <w:rtl/>
        </w:rPr>
        <w:t xml:space="preserve">המובנה </w:t>
      </w:r>
      <w:r w:rsidR="007D544E">
        <w:rPr>
          <w:rFonts w:hint="cs"/>
          <w:rtl/>
        </w:rPr>
        <w:t>שהפיקוח</w:t>
      </w:r>
      <w:r w:rsidR="00916E06">
        <w:rPr>
          <w:rFonts w:hint="cs"/>
          <w:rtl/>
        </w:rPr>
        <w:t xml:space="preserve"> מקיים לשם </w:t>
      </w:r>
      <w:r w:rsidR="00CD4325" w:rsidRPr="00F40B60">
        <w:rPr>
          <w:rFonts w:hint="cs"/>
          <w:rtl/>
        </w:rPr>
        <w:t xml:space="preserve">הערכת </w:t>
      </w:r>
      <w:r w:rsidR="0071244D" w:rsidRPr="00F40B60">
        <w:rPr>
          <w:rFonts w:hint="cs"/>
          <w:rtl/>
        </w:rPr>
        <w:t xml:space="preserve">פרופיל הסיכון של </w:t>
      </w:r>
      <w:r w:rsidR="00B65557">
        <w:rPr>
          <w:rFonts w:hint="cs"/>
          <w:rtl/>
        </w:rPr>
        <w:t>הבנקים</w:t>
      </w:r>
      <w:r w:rsidR="0071244D" w:rsidRPr="00F40B60">
        <w:rPr>
          <w:rFonts w:hint="cs"/>
          <w:rtl/>
        </w:rPr>
        <w:t xml:space="preserve"> וה</w:t>
      </w:r>
      <w:r w:rsidR="00CD4325" w:rsidRPr="00F40B60">
        <w:rPr>
          <w:rFonts w:hint="cs"/>
          <w:rtl/>
        </w:rPr>
        <w:t>מערכת הבנקאית</w:t>
      </w:r>
      <w:r w:rsidR="00B7674B" w:rsidRPr="00F40B60">
        <w:rPr>
          <w:rFonts w:hint="cs"/>
          <w:rtl/>
        </w:rPr>
        <w:t xml:space="preserve"> בכללותה</w:t>
      </w:r>
      <w:r w:rsidR="00CD4325" w:rsidRPr="00F40B60">
        <w:rPr>
          <w:rFonts w:hint="cs"/>
          <w:rtl/>
        </w:rPr>
        <w:t>.</w:t>
      </w:r>
    </w:p>
    <w:p w:rsidR="00694956" w:rsidRPr="00F40B60" w:rsidRDefault="00694956" w:rsidP="00C529B5">
      <w:pPr>
        <w:rPr>
          <w:rFonts w:hint="cs"/>
          <w:rtl/>
        </w:rPr>
      </w:pPr>
    </w:p>
    <w:p w:rsidR="00A17E41" w:rsidRPr="00F40B60" w:rsidRDefault="00630B8B" w:rsidP="007D544E">
      <w:pPr>
        <w:rPr>
          <w:rFonts w:hint="cs"/>
          <w:b/>
          <w:bCs/>
          <w:u w:val="single"/>
          <w:rtl/>
        </w:rPr>
      </w:pPr>
      <w:r w:rsidRPr="00F40B60">
        <w:rPr>
          <w:rFonts w:hint="cs"/>
          <w:b/>
          <w:bCs/>
          <w:u w:val="single"/>
          <w:rtl/>
        </w:rPr>
        <w:t xml:space="preserve">הערכת </w:t>
      </w:r>
      <w:r w:rsidR="00916E06">
        <w:rPr>
          <w:rFonts w:hint="cs"/>
          <w:b/>
          <w:bCs/>
          <w:u w:val="single"/>
          <w:rtl/>
        </w:rPr>
        <w:t>ה</w:t>
      </w:r>
      <w:r w:rsidRPr="00F40B60">
        <w:rPr>
          <w:rFonts w:hint="cs"/>
          <w:b/>
          <w:bCs/>
          <w:u w:val="single"/>
          <w:rtl/>
        </w:rPr>
        <w:t xml:space="preserve">סיכונים </w:t>
      </w:r>
      <w:r w:rsidR="007D544E">
        <w:rPr>
          <w:rFonts w:hint="cs"/>
          <w:b/>
          <w:bCs/>
          <w:u w:val="single"/>
          <w:rtl/>
        </w:rPr>
        <w:t>והמעקב השוטפים</w:t>
      </w:r>
    </w:p>
    <w:p w:rsidR="006E299F" w:rsidRPr="00F40B60" w:rsidRDefault="00694956" w:rsidP="0027242B">
      <w:pPr>
        <w:rPr>
          <w:rFonts w:hint="cs"/>
          <w:rtl/>
        </w:rPr>
      </w:pPr>
      <w:r w:rsidRPr="00F40B60">
        <w:rPr>
          <w:rFonts w:hint="cs"/>
          <w:rtl/>
        </w:rPr>
        <w:t xml:space="preserve">הפיקוח על הבנקים </w:t>
      </w:r>
      <w:r w:rsidR="00F82090" w:rsidRPr="00F40B60">
        <w:rPr>
          <w:rFonts w:hint="cs"/>
          <w:rtl/>
        </w:rPr>
        <w:t xml:space="preserve">עוקב באופן </w:t>
      </w:r>
      <w:r w:rsidRPr="00F40B60">
        <w:rPr>
          <w:rFonts w:hint="cs"/>
          <w:rtl/>
        </w:rPr>
        <w:t xml:space="preserve">שוטף אחר </w:t>
      </w:r>
      <w:r w:rsidR="00290A81" w:rsidRPr="00F40B60">
        <w:rPr>
          <w:rFonts w:hint="cs"/>
          <w:rtl/>
        </w:rPr>
        <w:t xml:space="preserve">הסיכונים הטמונים בפעילות </w:t>
      </w:r>
      <w:r w:rsidR="00652594" w:rsidRPr="00F40B60">
        <w:rPr>
          <w:rFonts w:hint="cs"/>
          <w:rtl/>
        </w:rPr>
        <w:t>הבנקים וחברות כרטיסי האשראי</w:t>
      </w:r>
      <w:r w:rsidR="00F82090" w:rsidRPr="00F40B60">
        <w:rPr>
          <w:rFonts w:hint="cs"/>
          <w:rtl/>
        </w:rPr>
        <w:t xml:space="preserve"> ואחר</w:t>
      </w:r>
      <w:r w:rsidR="00B7674B" w:rsidRPr="00F40B60">
        <w:rPr>
          <w:rFonts w:hint="cs"/>
          <w:rtl/>
        </w:rPr>
        <w:t xml:space="preserve"> התפתחות</w:t>
      </w:r>
      <w:r w:rsidR="00290A81" w:rsidRPr="00F40B60">
        <w:rPr>
          <w:rFonts w:hint="cs"/>
          <w:rtl/>
        </w:rPr>
        <w:t>ם</w:t>
      </w:r>
      <w:r w:rsidRPr="00F40B60">
        <w:rPr>
          <w:rFonts w:hint="cs"/>
          <w:rtl/>
        </w:rPr>
        <w:t xml:space="preserve">. </w:t>
      </w:r>
    </w:p>
    <w:p w:rsidR="00CB5044" w:rsidRPr="00F40B60" w:rsidRDefault="00CB5044" w:rsidP="00AE5714">
      <w:pPr>
        <w:rPr>
          <w:rFonts w:hint="cs"/>
          <w:rtl/>
        </w:rPr>
      </w:pPr>
    </w:p>
    <w:p w:rsidR="004406D4" w:rsidRPr="00F40B60" w:rsidRDefault="006D4E9B" w:rsidP="00106E34">
      <w:pPr>
        <w:rPr>
          <w:rFonts w:hint="cs"/>
          <w:rtl/>
        </w:rPr>
      </w:pPr>
      <w:r w:rsidRPr="00F40B60">
        <w:rPr>
          <w:rFonts w:hint="cs"/>
          <w:rtl/>
        </w:rPr>
        <w:t xml:space="preserve">היות שמשאבי </w:t>
      </w:r>
      <w:r w:rsidR="004A3143" w:rsidRPr="00F40B60">
        <w:rPr>
          <w:rFonts w:hint="cs"/>
          <w:rtl/>
        </w:rPr>
        <w:t xml:space="preserve">הפיקוח </w:t>
      </w:r>
      <w:r w:rsidRPr="00F40B60">
        <w:rPr>
          <w:rFonts w:hint="cs"/>
          <w:rtl/>
        </w:rPr>
        <w:t xml:space="preserve">מוגבלים יחסית לגודל המערכת הבנקאית, הוא </w:t>
      </w:r>
      <w:r w:rsidR="004A3143" w:rsidRPr="00F40B60">
        <w:rPr>
          <w:rFonts w:hint="cs"/>
          <w:rtl/>
        </w:rPr>
        <w:t xml:space="preserve">פועל </w:t>
      </w:r>
      <w:r w:rsidRPr="00F40B60">
        <w:rPr>
          <w:rFonts w:hint="cs"/>
          <w:rtl/>
        </w:rPr>
        <w:t xml:space="preserve">בגישה </w:t>
      </w:r>
      <w:r w:rsidR="00FE4AFA" w:rsidRPr="00F40B60">
        <w:rPr>
          <w:rFonts w:hint="cs"/>
          <w:rtl/>
        </w:rPr>
        <w:t>ממוקד</w:t>
      </w:r>
      <w:r w:rsidRPr="00F40B60">
        <w:rPr>
          <w:rFonts w:hint="cs"/>
          <w:rtl/>
        </w:rPr>
        <w:t>ת</w:t>
      </w:r>
      <w:r w:rsidR="00FE4AFA" w:rsidRPr="00F40B60">
        <w:rPr>
          <w:rFonts w:hint="cs"/>
          <w:rtl/>
        </w:rPr>
        <w:t xml:space="preserve"> סיכון</w:t>
      </w:r>
      <w:r w:rsidR="00CD4325">
        <w:rPr>
          <w:rFonts w:hint="cs"/>
          <w:rtl/>
        </w:rPr>
        <w:t>. בפירוט,</w:t>
      </w:r>
      <w:r w:rsidR="00FE4AFA" w:rsidRPr="00F40B60">
        <w:rPr>
          <w:rFonts w:hint="cs"/>
          <w:rtl/>
        </w:rPr>
        <w:t xml:space="preserve"> כלל הגופים המפוקחים</w:t>
      </w:r>
      <w:r w:rsidR="00CD4325">
        <w:rPr>
          <w:rStyle w:val="aa"/>
          <w:rtl/>
        </w:rPr>
        <w:footnoteReference w:id="1"/>
      </w:r>
      <w:r w:rsidR="00FE4AFA" w:rsidRPr="00F40B60">
        <w:rPr>
          <w:rFonts w:hint="cs"/>
          <w:rtl/>
        </w:rPr>
        <w:t xml:space="preserve"> </w:t>
      </w:r>
      <w:r w:rsidR="00CD4325">
        <w:rPr>
          <w:rFonts w:hint="cs"/>
          <w:rtl/>
        </w:rPr>
        <w:t xml:space="preserve">סוּוגו </w:t>
      </w:r>
      <w:r w:rsidR="00FE4AFA" w:rsidRPr="00F40B60">
        <w:rPr>
          <w:rFonts w:hint="cs"/>
          <w:rtl/>
        </w:rPr>
        <w:t>ל</w:t>
      </w:r>
      <w:r w:rsidR="0027242B">
        <w:rPr>
          <w:rFonts w:hint="cs"/>
          <w:rtl/>
        </w:rPr>
        <w:t>"</w:t>
      </w:r>
      <w:r w:rsidR="00FE4AFA" w:rsidRPr="00F40B60">
        <w:rPr>
          <w:rFonts w:hint="cs"/>
          <w:rtl/>
        </w:rPr>
        <w:t>קבוצות פיקוח</w:t>
      </w:r>
      <w:r w:rsidR="0027242B">
        <w:rPr>
          <w:rFonts w:hint="cs"/>
          <w:rtl/>
        </w:rPr>
        <w:t>",</w:t>
      </w:r>
      <w:r w:rsidR="00CD4325">
        <w:rPr>
          <w:rFonts w:hint="cs"/>
          <w:rtl/>
        </w:rPr>
        <w:t xml:space="preserve"> </w:t>
      </w:r>
      <w:r w:rsidR="00490A9A" w:rsidRPr="00F40B60">
        <w:rPr>
          <w:rFonts w:hint="cs"/>
          <w:rtl/>
        </w:rPr>
        <w:t xml:space="preserve">בעיקר </w:t>
      </w:r>
      <w:r w:rsidR="00CD4325">
        <w:rPr>
          <w:rFonts w:hint="cs"/>
          <w:rtl/>
        </w:rPr>
        <w:t>לפי</w:t>
      </w:r>
      <w:r w:rsidRPr="00F40B60">
        <w:rPr>
          <w:rFonts w:hint="cs"/>
          <w:rtl/>
        </w:rPr>
        <w:t xml:space="preserve"> </w:t>
      </w:r>
      <w:r w:rsidR="00490A9A" w:rsidRPr="00F40B60">
        <w:rPr>
          <w:rFonts w:hint="cs"/>
          <w:rtl/>
        </w:rPr>
        <w:t>שיקולי</w:t>
      </w:r>
      <w:r w:rsidR="00997EE9" w:rsidRPr="00F40B60">
        <w:rPr>
          <w:rFonts w:hint="cs"/>
          <w:rtl/>
        </w:rPr>
        <w:t>ם שנוגעים</w:t>
      </w:r>
      <w:r w:rsidR="00490A9A" w:rsidRPr="00F40B60">
        <w:rPr>
          <w:rFonts w:hint="cs"/>
          <w:rtl/>
        </w:rPr>
        <w:t xml:space="preserve"> </w:t>
      </w:r>
      <w:r w:rsidR="00997EE9" w:rsidRPr="00F40B60">
        <w:rPr>
          <w:rFonts w:hint="cs"/>
          <w:rtl/>
        </w:rPr>
        <w:t>ל</w:t>
      </w:r>
      <w:r w:rsidR="00490A9A" w:rsidRPr="007D544E">
        <w:rPr>
          <w:rFonts w:hint="cs"/>
          <w:rtl/>
        </w:rPr>
        <w:t>מהותיות</w:t>
      </w:r>
      <w:r w:rsidR="00490A9A" w:rsidRPr="00F40B60">
        <w:rPr>
          <w:rFonts w:hint="cs"/>
          <w:rtl/>
        </w:rPr>
        <w:t xml:space="preserve"> </w:t>
      </w:r>
      <w:r w:rsidR="00CD4325">
        <w:rPr>
          <w:rFonts w:hint="cs"/>
          <w:rtl/>
        </w:rPr>
        <w:t>הגוף</w:t>
      </w:r>
      <w:r w:rsidR="00997EE9" w:rsidRPr="00F40B60">
        <w:rPr>
          <w:rFonts w:hint="cs"/>
          <w:rtl/>
        </w:rPr>
        <w:t xml:space="preserve"> </w:t>
      </w:r>
      <w:r w:rsidR="00490A9A" w:rsidRPr="00F40B60">
        <w:rPr>
          <w:rFonts w:hint="cs"/>
          <w:rtl/>
        </w:rPr>
        <w:t>(היקף הנכסים וה</w:t>
      </w:r>
      <w:r w:rsidR="005D62A0" w:rsidRPr="00F40B60">
        <w:rPr>
          <w:rFonts w:hint="cs"/>
          <w:rtl/>
        </w:rPr>
        <w:t xml:space="preserve">פיקדונות </w:t>
      </w:r>
      <w:r w:rsidR="00997EE9" w:rsidRPr="00F40B60">
        <w:rPr>
          <w:rFonts w:hint="cs"/>
          <w:rtl/>
        </w:rPr>
        <w:t>ו</w:t>
      </w:r>
      <w:r w:rsidR="005D62A0" w:rsidRPr="00F40B60">
        <w:rPr>
          <w:rFonts w:hint="cs"/>
          <w:rtl/>
        </w:rPr>
        <w:t xml:space="preserve">נתח </w:t>
      </w:r>
      <w:r w:rsidRPr="00F40B60">
        <w:rPr>
          <w:rFonts w:hint="cs"/>
          <w:rtl/>
        </w:rPr>
        <w:t>ה</w:t>
      </w:r>
      <w:r w:rsidR="005D62A0" w:rsidRPr="00F40B60">
        <w:rPr>
          <w:rFonts w:hint="cs"/>
          <w:rtl/>
        </w:rPr>
        <w:t>שוק), מורכבות פעי</w:t>
      </w:r>
      <w:r w:rsidR="00490A9A" w:rsidRPr="00F40B60">
        <w:rPr>
          <w:rFonts w:hint="cs"/>
          <w:rtl/>
        </w:rPr>
        <w:t>לות</w:t>
      </w:r>
      <w:r w:rsidR="00997EE9" w:rsidRPr="00F40B60">
        <w:rPr>
          <w:rFonts w:hint="cs"/>
          <w:rtl/>
        </w:rPr>
        <w:t>ו</w:t>
      </w:r>
      <w:r w:rsidR="00490A9A" w:rsidRPr="00F40B60">
        <w:rPr>
          <w:rFonts w:hint="cs"/>
          <w:rtl/>
        </w:rPr>
        <w:t>, וה</w:t>
      </w:r>
      <w:r w:rsidR="0076368D" w:rsidRPr="00F40B60">
        <w:rPr>
          <w:rFonts w:hint="cs"/>
          <w:rtl/>
        </w:rPr>
        <w:t>מבנה התאגידי</w:t>
      </w:r>
      <w:r w:rsidR="005D62A0" w:rsidRPr="00F40B60">
        <w:rPr>
          <w:rFonts w:hint="cs"/>
          <w:rtl/>
        </w:rPr>
        <w:t xml:space="preserve"> שלו</w:t>
      </w:r>
      <w:r w:rsidR="0076368D" w:rsidRPr="00F40B60">
        <w:rPr>
          <w:rFonts w:hint="cs"/>
          <w:rtl/>
        </w:rPr>
        <w:t xml:space="preserve"> (תאגיד עצמאי או </w:t>
      </w:r>
      <w:r w:rsidR="00490A9A" w:rsidRPr="00F40B60">
        <w:rPr>
          <w:rFonts w:hint="cs"/>
          <w:rtl/>
        </w:rPr>
        <w:t>חברה בת שהיא חלק מקבוצה בנקאית</w:t>
      </w:r>
      <w:r w:rsidR="0076368D" w:rsidRPr="00F40B60">
        <w:rPr>
          <w:rFonts w:hint="cs"/>
          <w:rtl/>
        </w:rPr>
        <w:t>)</w:t>
      </w:r>
      <w:r w:rsidR="00490A9A" w:rsidRPr="00F40B60">
        <w:rPr>
          <w:rFonts w:hint="cs"/>
          <w:rtl/>
        </w:rPr>
        <w:t xml:space="preserve">. </w:t>
      </w:r>
      <w:r w:rsidR="00CD4325">
        <w:rPr>
          <w:rFonts w:hint="cs"/>
          <w:rtl/>
        </w:rPr>
        <w:t xml:space="preserve">מסיווג זה נגזרות תדירות המעקב והבקרות ועוצמתן. לשם המחשה, </w:t>
      </w:r>
      <w:r w:rsidR="00D84668">
        <w:rPr>
          <w:rFonts w:hint="cs"/>
          <w:rtl/>
        </w:rPr>
        <w:t>כשמדובר ב</w:t>
      </w:r>
      <w:r w:rsidR="00CD4325" w:rsidRPr="00F40B60">
        <w:rPr>
          <w:rFonts w:hint="cs"/>
          <w:rtl/>
        </w:rPr>
        <w:t>בנק עצמאי בעל היקף פעילות משמעותי</w:t>
      </w:r>
      <w:r w:rsidR="00D84668">
        <w:rPr>
          <w:rFonts w:hint="cs"/>
          <w:rtl/>
        </w:rPr>
        <w:t>, הוא</w:t>
      </w:r>
      <w:r w:rsidR="00CD4325" w:rsidRPr="00F40B60">
        <w:rPr>
          <w:rFonts w:hint="cs"/>
          <w:rtl/>
        </w:rPr>
        <w:t xml:space="preserve"> זוכ</w:t>
      </w:r>
      <w:r w:rsidR="00CD4325">
        <w:rPr>
          <w:rFonts w:hint="cs"/>
          <w:rtl/>
        </w:rPr>
        <w:t>ה</w:t>
      </w:r>
      <w:r w:rsidR="00CD4325" w:rsidRPr="00F40B60">
        <w:rPr>
          <w:rFonts w:hint="cs"/>
          <w:rtl/>
        </w:rPr>
        <w:t xml:space="preserve"> למעקב פיקוחי שעוצמתו ותדירותו גבוהות</w:t>
      </w:r>
      <w:r w:rsidR="00CD4325">
        <w:rPr>
          <w:rFonts w:hint="cs"/>
          <w:rtl/>
        </w:rPr>
        <w:t xml:space="preserve">; </w:t>
      </w:r>
      <w:r w:rsidR="00D84668">
        <w:rPr>
          <w:rFonts w:hint="cs"/>
          <w:rtl/>
        </w:rPr>
        <w:t>וכשמדובר ב</w:t>
      </w:r>
      <w:r w:rsidR="00CD4325" w:rsidRPr="00F40B60">
        <w:rPr>
          <w:rFonts w:hint="cs"/>
          <w:rtl/>
        </w:rPr>
        <w:t xml:space="preserve">בנק קטן שפעילותו פשוטה והוא חלק מקבוצה בנקאית, </w:t>
      </w:r>
      <w:r w:rsidR="00D84668">
        <w:rPr>
          <w:rFonts w:hint="cs"/>
          <w:rtl/>
        </w:rPr>
        <w:t>הפיקוח בוחן אותו</w:t>
      </w:r>
      <w:r w:rsidR="00CD4325" w:rsidRPr="00F40B60">
        <w:rPr>
          <w:rFonts w:hint="cs"/>
          <w:rtl/>
        </w:rPr>
        <w:t xml:space="preserve"> בתדירות ובעוצמה נמוכות יותר (כמובן שבנק האם נדרש לפקח עליו באופן שוטף). </w:t>
      </w:r>
      <w:r w:rsidR="00CB798D" w:rsidRPr="00F40B60">
        <w:rPr>
          <w:rFonts w:hint="cs"/>
          <w:rtl/>
        </w:rPr>
        <w:t xml:space="preserve">הסיווג </w:t>
      </w:r>
      <w:r w:rsidR="00CD4325">
        <w:rPr>
          <w:rFonts w:hint="cs"/>
          <w:rtl/>
        </w:rPr>
        <w:t>נערך</w:t>
      </w:r>
      <w:r w:rsidR="00CB798D" w:rsidRPr="00F40B60">
        <w:rPr>
          <w:rFonts w:hint="cs"/>
          <w:rtl/>
        </w:rPr>
        <w:t xml:space="preserve"> מחדש מעת לעת, </w:t>
      </w:r>
      <w:r w:rsidR="00997EE9" w:rsidRPr="00F40B60">
        <w:rPr>
          <w:rFonts w:hint="cs"/>
          <w:rtl/>
        </w:rPr>
        <w:t>בהתאם</w:t>
      </w:r>
      <w:r w:rsidR="00CB798D" w:rsidRPr="00F40B60">
        <w:rPr>
          <w:rFonts w:hint="cs"/>
          <w:rtl/>
        </w:rPr>
        <w:t xml:space="preserve"> </w:t>
      </w:r>
      <w:r w:rsidR="0076368D" w:rsidRPr="00F40B60">
        <w:rPr>
          <w:rFonts w:hint="cs"/>
          <w:rtl/>
        </w:rPr>
        <w:t>ל</w:t>
      </w:r>
      <w:r w:rsidR="00CB798D" w:rsidRPr="00F40B60">
        <w:rPr>
          <w:rFonts w:hint="cs"/>
          <w:rtl/>
        </w:rPr>
        <w:t xml:space="preserve">שינויים </w:t>
      </w:r>
      <w:r w:rsidR="0076368D" w:rsidRPr="00F40B60">
        <w:rPr>
          <w:rFonts w:hint="cs"/>
          <w:rtl/>
        </w:rPr>
        <w:t>בתמהיל הפעילות</w:t>
      </w:r>
      <w:r w:rsidR="00CB798D" w:rsidRPr="00F40B60">
        <w:rPr>
          <w:rFonts w:hint="cs"/>
          <w:rtl/>
        </w:rPr>
        <w:t xml:space="preserve"> של התאגידים השונים</w:t>
      </w:r>
      <w:r w:rsidR="00997EE9" w:rsidRPr="00F40B60">
        <w:rPr>
          <w:rFonts w:hint="cs"/>
          <w:rtl/>
        </w:rPr>
        <w:t xml:space="preserve"> ובהיקפה</w:t>
      </w:r>
      <w:r w:rsidR="00CB798D" w:rsidRPr="00F40B60">
        <w:rPr>
          <w:rFonts w:hint="cs"/>
          <w:rtl/>
        </w:rPr>
        <w:t>.</w:t>
      </w:r>
      <w:r w:rsidR="00CD4325">
        <w:rPr>
          <w:rFonts w:hint="cs"/>
          <w:rtl/>
        </w:rPr>
        <w:t xml:space="preserve"> בהקשר זה </w:t>
      </w:r>
      <w:r w:rsidR="00630B8B" w:rsidRPr="00F40B60">
        <w:rPr>
          <w:rFonts w:hint="cs"/>
          <w:rtl/>
        </w:rPr>
        <w:t xml:space="preserve">חשוב </w:t>
      </w:r>
      <w:r w:rsidR="004F7168" w:rsidRPr="00F40B60">
        <w:rPr>
          <w:rFonts w:hint="cs"/>
          <w:rtl/>
        </w:rPr>
        <w:t>להבהיר</w:t>
      </w:r>
      <w:r w:rsidR="00630B8B" w:rsidRPr="00F40B60">
        <w:rPr>
          <w:rFonts w:hint="cs"/>
          <w:rtl/>
        </w:rPr>
        <w:t xml:space="preserve"> כי החלוקה לקבוצות פיקוח אינה חזות הכ</w:t>
      </w:r>
      <w:r w:rsidR="00997EE9" w:rsidRPr="00F40B60">
        <w:rPr>
          <w:rFonts w:hint="cs"/>
          <w:rtl/>
        </w:rPr>
        <w:t>ו</w:t>
      </w:r>
      <w:r w:rsidR="00630B8B" w:rsidRPr="00F40B60">
        <w:rPr>
          <w:rFonts w:hint="cs"/>
          <w:rtl/>
        </w:rPr>
        <w:t>ל, ו</w:t>
      </w:r>
      <w:r w:rsidR="00997EE9" w:rsidRPr="00F40B60">
        <w:rPr>
          <w:rFonts w:hint="cs"/>
          <w:rtl/>
        </w:rPr>
        <w:t xml:space="preserve">כאשר </w:t>
      </w:r>
      <w:r w:rsidR="00630B8B" w:rsidRPr="00F40B60">
        <w:rPr>
          <w:rFonts w:hint="cs"/>
          <w:rtl/>
        </w:rPr>
        <w:t xml:space="preserve">הפיקוח </w:t>
      </w:r>
      <w:r w:rsidR="00997EE9" w:rsidRPr="00F40B60">
        <w:rPr>
          <w:rFonts w:hint="cs"/>
          <w:rtl/>
        </w:rPr>
        <w:t xml:space="preserve">מזהה </w:t>
      </w:r>
      <w:r w:rsidR="00630B8B" w:rsidRPr="00F40B60">
        <w:rPr>
          <w:rFonts w:hint="cs"/>
          <w:rtl/>
        </w:rPr>
        <w:t>סיכונים משמעותיים</w:t>
      </w:r>
      <w:r w:rsidR="00997EE9" w:rsidRPr="00F40B60">
        <w:rPr>
          <w:rFonts w:hint="cs"/>
          <w:rtl/>
        </w:rPr>
        <w:t xml:space="preserve"> </w:t>
      </w:r>
      <w:r w:rsidR="00630B8B" w:rsidRPr="00F40B60">
        <w:rPr>
          <w:rFonts w:hint="cs"/>
          <w:rtl/>
        </w:rPr>
        <w:t>בגופים שאינם</w:t>
      </w:r>
      <w:r w:rsidR="004F7168" w:rsidRPr="00F40B60">
        <w:rPr>
          <w:rFonts w:hint="cs"/>
          <w:rtl/>
        </w:rPr>
        <w:t xml:space="preserve"> דווקא</w:t>
      </w:r>
      <w:r w:rsidR="00630B8B" w:rsidRPr="00F40B60">
        <w:rPr>
          <w:rFonts w:hint="cs"/>
          <w:rtl/>
        </w:rPr>
        <w:t xml:space="preserve"> גדולים או עצמאיים</w:t>
      </w:r>
      <w:r w:rsidR="00997EE9" w:rsidRPr="00F40B60">
        <w:rPr>
          <w:rFonts w:hint="cs"/>
          <w:rtl/>
        </w:rPr>
        <w:t>, הוא מטפל גם בהם</w:t>
      </w:r>
      <w:r w:rsidR="00630B8B" w:rsidRPr="00F40B60">
        <w:rPr>
          <w:rFonts w:hint="cs"/>
          <w:rtl/>
        </w:rPr>
        <w:t>.</w:t>
      </w:r>
      <w:r w:rsidR="00CD4325">
        <w:rPr>
          <w:rFonts w:hint="cs"/>
          <w:rtl/>
        </w:rPr>
        <w:t xml:space="preserve"> </w:t>
      </w:r>
      <w:r w:rsidR="00CD4325" w:rsidRPr="00F40B60">
        <w:rPr>
          <w:rFonts w:hint="cs"/>
          <w:rtl/>
        </w:rPr>
        <w:t>גישה מבוססת סיכון זו</w:t>
      </w:r>
      <w:r w:rsidR="00106E34">
        <w:rPr>
          <w:rFonts w:hint="cs"/>
          <w:rtl/>
        </w:rPr>
        <w:t xml:space="preserve"> (</w:t>
      </w:r>
      <w:r w:rsidR="00106E34">
        <w:t>risk based approach</w:t>
      </w:r>
      <w:r w:rsidR="00106E34">
        <w:rPr>
          <w:rFonts w:hint="cs"/>
          <w:rtl/>
        </w:rPr>
        <w:t>)</w:t>
      </w:r>
      <w:r w:rsidR="00CD4325" w:rsidRPr="00F40B60">
        <w:rPr>
          <w:rFonts w:hint="cs"/>
          <w:rtl/>
        </w:rPr>
        <w:t xml:space="preserve"> מאפשרת </w:t>
      </w:r>
      <w:r w:rsidR="00CD4325">
        <w:rPr>
          <w:rFonts w:hint="cs"/>
          <w:rtl/>
        </w:rPr>
        <w:t xml:space="preserve">לפיקוח </w:t>
      </w:r>
      <w:r w:rsidR="00CD4325" w:rsidRPr="00F40B60">
        <w:rPr>
          <w:rFonts w:hint="cs"/>
          <w:rtl/>
        </w:rPr>
        <w:t>לנצל ביעילות את משאבי</w:t>
      </w:r>
      <w:r w:rsidR="00CD4325">
        <w:rPr>
          <w:rFonts w:hint="cs"/>
          <w:rtl/>
        </w:rPr>
        <w:t>ו שכן הוא מתאים אותם</w:t>
      </w:r>
      <w:r w:rsidR="00CD4325" w:rsidRPr="00042F68">
        <w:rPr>
          <w:rFonts w:hint="cs"/>
          <w:rtl/>
        </w:rPr>
        <w:t xml:space="preserve"> לרמת הסיכון</w:t>
      </w:r>
      <w:r w:rsidR="00CD4325" w:rsidRPr="00F40B60">
        <w:rPr>
          <w:rFonts w:hint="cs"/>
          <w:rtl/>
        </w:rPr>
        <w:t>.</w:t>
      </w:r>
      <w:r w:rsidR="00A64733">
        <w:rPr>
          <w:rFonts w:hint="cs"/>
          <w:rtl/>
        </w:rPr>
        <w:t xml:space="preserve"> גישה זו גם נגזרת </w:t>
      </w:r>
      <w:r w:rsidR="00A64733">
        <w:rPr>
          <w:rFonts w:hint="cs"/>
          <w:rtl/>
        </w:rPr>
        <w:lastRenderedPageBreak/>
        <w:t>מציפיות</w:t>
      </w:r>
      <w:r w:rsidR="00106E34">
        <w:rPr>
          <w:rFonts w:hint="cs"/>
          <w:rtl/>
        </w:rPr>
        <w:t>יהם</w:t>
      </w:r>
      <w:r w:rsidR="00A64733">
        <w:rPr>
          <w:rFonts w:hint="cs"/>
          <w:rtl/>
        </w:rPr>
        <w:t xml:space="preserve"> של גופי </w:t>
      </w:r>
      <w:r w:rsidR="00106E34">
        <w:rPr>
          <w:rFonts w:hint="cs"/>
          <w:rtl/>
        </w:rPr>
        <w:t>ה</w:t>
      </w:r>
      <w:r w:rsidR="00A64733">
        <w:rPr>
          <w:rFonts w:hint="cs"/>
          <w:rtl/>
        </w:rPr>
        <w:t xml:space="preserve">פיקוח </w:t>
      </w:r>
      <w:r w:rsidR="00106E34">
        <w:rPr>
          <w:rFonts w:hint="cs"/>
          <w:rtl/>
        </w:rPr>
        <w:t>הבין-לאומיים</w:t>
      </w:r>
      <w:r w:rsidR="00A64733">
        <w:rPr>
          <w:rFonts w:hint="cs"/>
          <w:rtl/>
        </w:rPr>
        <w:t xml:space="preserve"> המעריכים את פעילות הפיקוח על הבנקים, כגון קרן המטבע </w:t>
      </w:r>
      <w:r w:rsidR="00106E34">
        <w:rPr>
          <w:rFonts w:hint="cs"/>
          <w:rtl/>
        </w:rPr>
        <w:t>הבין-לאומית</w:t>
      </w:r>
      <w:r w:rsidR="00A64733">
        <w:rPr>
          <w:rFonts w:hint="cs"/>
          <w:rtl/>
        </w:rPr>
        <w:t xml:space="preserve"> וארגון ה</w:t>
      </w:r>
      <w:r w:rsidR="00106E34">
        <w:rPr>
          <w:rFonts w:hint="cs"/>
          <w:rtl/>
        </w:rPr>
        <w:t>-</w:t>
      </w:r>
      <w:r w:rsidR="00A64733">
        <w:rPr>
          <w:rFonts w:hint="cs"/>
        </w:rPr>
        <w:t>FATF</w:t>
      </w:r>
      <w:r w:rsidR="00A64733">
        <w:rPr>
          <w:rFonts w:hint="cs"/>
          <w:rtl/>
        </w:rPr>
        <w:t>.</w:t>
      </w:r>
    </w:p>
    <w:p w:rsidR="00CB5044" w:rsidRPr="00F40B60" w:rsidRDefault="00CB5044" w:rsidP="002E64F3">
      <w:pPr>
        <w:rPr>
          <w:rFonts w:hint="cs"/>
          <w:rtl/>
        </w:rPr>
      </w:pPr>
    </w:p>
    <w:p w:rsidR="00694956" w:rsidRPr="00F40B60" w:rsidRDefault="00CD4325" w:rsidP="007D544E">
      <w:pPr>
        <w:rPr>
          <w:rFonts w:hint="cs"/>
          <w:rtl/>
        </w:rPr>
      </w:pPr>
      <w:r w:rsidRPr="00F40B60">
        <w:rPr>
          <w:rFonts w:hint="cs"/>
          <w:rtl/>
        </w:rPr>
        <w:t xml:space="preserve">המעקב </w:t>
      </w:r>
      <w:r w:rsidR="004A4DDD" w:rsidRPr="00F40B60">
        <w:rPr>
          <w:rFonts w:hint="cs"/>
          <w:rtl/>
        </w:rPr>
        <w:t>והפיקוח השוטפים</w:t>
      </w:r>
      <w:r w:rsidRPr="00F40B60">
        <w:rPr>
          <w:rFonts w:hint="cs"/>
          <w:rtl/>
        </w:rPr>
        <w:t xml:space="preserve"> </w:t>
      </w:r>
      <w:r w:rsidR="00997EE9" w:rsidRPr="00F40B60">
        <w:rPr>
          <w:rFonts w:hint="cs"/>
          <w:rtl/>
        </w:rPr>
        <w:t>נערכים במשך</w:t>
      </w:r>
      <w:r w:rsidR="002E64F3" w:rsidRPr="00F40B60">
        <w:rPr>
          <w:rFonts w:hint="cs"/>
          <w:rtl/>
        </w:rPr>
        <w:t xml:space="preserve"> כל</w:t>
      </w:r>
      <w:r w:rsidRPr="00F40B60">
        <w:rPr>
          <w:rFonts w:hint="cs"/>
          <w:rtl/>
        </w:rPr>
        <w:t xml:space="preserve"> השנה, </w:t>
      </w:r>
      <w:r w:rsidR="00997EE9" w:rsidRPr="00F40B60">
        <w:rPr>
          <w:rFonts w:hint="cs"/>
          <w:rtl/>
        </w:rPr>
        <w:t xml:space="preserve">והם </w:t>
      </w:r>
      <w:r w:rsidRPr="00F40B60">
        <w:rPr>
          <w:rFonts w:hint="cs"/>
          <w:rtl/>
        </w:rPr>
        <w:t>כולל</w:t>
      </w:r>
      <w:r w:rsidR="004A4DDD" w:rsidRPr="00F40B60">
        <w:rPr>
          <w:rFonts w:hint="cs"/>
          <w:rtl/>
        </w:rPr>
        <w:t>ים</w:t>
      </w:r>
      <w:r w:rsidRPr="00F40B60">
        <w:rPr>
          <w:rFonts w:hint="cs"/>
          <w:rtl/>
        </w:rPr>
        <w:t xml:space="preserve"> שור</w:t>
      </w:r>
      <w:r w:rsidR="00997EE9" w:rsidRPr="00F40B60">
        <w:rPr>
          <w:rFonts w:hint="cs"/>
          <w:rtl/>
        </w:rPr>
        <w:t>ת פעולות</w:t>
      </w:r>
      <w:r w:rsidRPr="00F40B60">
        <w:rPr>
          <w:rFonts w:hint="cs"/>
          <w:rtl/>
        </w:rPr>
        <w:t xml:space="preserve"> ארוכה</w:t>
      </w:r>
      <w:r w:rsidR="00CB5044" w:rsidRPr="00F40B60">
        <w:rPr>
          <w:rFonts w:hint="cs"/>
          <w:rtl/>
        </w:rPr>
        <w:t>. להלן העיקריות שבהן</w:t>
      </w:r>
      <w:r w:rsidRPr="00F40B60">
        <w:rPr>
          <w:rFonts w:hint="cs"/>
          <w:rtl/>
        </w:rPr>
        <w:t>:</w:t>
      </w:r>
    </w:p>
    <w:p w:rsidR="006E299F" w:rsidRPr="00F40B60" w:rsidRDefault="004801ED" w:rsidP="007D544E">
      <w:pPr>
        <w:pStyle w:val="1"/>
        <w:rPr>
          <w:rFonts w:hint="cs"/>
          <w:sz w:val="24"/>
        </w:rPr>
      </w:pPr>
      <w:r w:rsidRPr="00F40B60">
        <w:rPr>
          <w:rFonts w:hint="cs"/>
          <w:sz w:val="24"/>
          <w:rtl/>
        </w:rPr>
        <w:t xml:space="preserve">עריכת </w:t>
      </w:r>
      <w:r w:rsidR="00CD4325" w:rsidRPr="00F40B60">
        <w:rPr>
          <w:rFonts w:hint="cs"/>
          <w:sz w:val="24"/>
          <w:rtl/>
        </w:rPr>
        <w:t>ביקורות</w:t>
      </w:r>
      <w:r w:rsidR="00A64733">
        <w:rPr>
          <w:rFonts w:hint="cs"/>
          <w:sz w:val="24"/>
          <w:rtl/>
        </w:rPr>
        <w:t xml:space="preserve"> ב"שטח"</w:t>
      </w:r>
      <w:r w:rsidR="00CD4325" w:rsidRPr="00F40B60">
        <w:rPr>
          <w:rFonts w:hint="cs"/>
          <w:sz w:val="24"/>
          <w:rtl/>
        </w:rPr>
        <w:t>, ב</w:t>
      </w:r>
      <w:r w:rsidR="00893A47" w:rsidRPr="00F40B60">
        <w:rPr>
          <w:rFonts w:hint="cs"/>
          <w:sz w:val="24"/>
          <w:rtl/>
        </w:rPr>
        <w:t>דיקות וסקירות רוחב</w:t>
      </w:r>
      <w:r w:rsidR="00CD4325" w:rsidRPr="00F40B60">
        <w:rPr>
          <w:rFonts w:hint="cs"/>
          <w:sz w:val="24"/>
          <w:rtl/>
        </w:rPr>
        <w:t xml:space="preserve"> </w:t>
      </w:r>
      <w:r w:rsidR="00B65557">
        <w:rPr>
          <w:rFonts w:hint="cs"/>
          <w:sz w:val="24"/>
          <w:rtl/>
        </w:rPr>
        <w:t>בבנקים</w:t>
      </w:r>
      <w:r w:rsidRPr="00F40B60">
        <w:rPr>
          <w:rFonts w:hint="cs"/>
          <w:sz w:val="24"/>
          <w:rtl/>
        </w:rPr>
        <w:t>;</w:t>
      </w:r>
    </w:p>
    <w:p w:rsidR="00593476" w:rsidRPr="00F40B60" w:rsidRDefault="00CD4325" w:rsidP="00F54311">
      <w:pPr>
        <w:pStyle w:val="1"/>
        <w:rPr>
          <w:rFonts w:hint="cs"/>
          <w:sz w:val="24"/>
        </w:rPr>
      </w:pPr>
      <w:r w:rsidRPr="00F40B60">
        <w:rPr>
          <w:rFonts w:hint="cs"/>
          <w:sz w:val="24"/>
          <w:rtl/>
        </w:rPr>
        <w:t>עריכת תרחישי קיצון פיקוחיים אחידים</w:t>
      </w:r>
      <w:r w:rsidRPr="00042F68">
        <w:rPr>
          <w:rFonts w:hint="cs"/>
          <w:sz w:val="24"/>
          <w:rtl/>
        </w:rPr>
        <w:t xml:space="preserve">, במבט צופה </w:t>
      </w:r>
      <w:r w:rsidRPr="00F54311">
        <w:rPr>
          <w:rFonts w:hint="cs"/>
          <w:sz w:val="24"/>
          <w:rtl/>
        </w:rPr>
        <w:t>פני עתיד</w:t>
      </w:r>
      <w:r w:rsidR="00DF31E7" w:rsidRPr="00F54311">
        <w:rPr>
          <w:rFonts w:hint="cs"/>
          <w:sz w:val="24"/>
          <w:rtl/>
        </w:rPr>
        <w:t xml:space="preserve"> (</w:t>
      </w:r>
      <w:r w:rsidR="00F54311" w:rsidRPr="00F54311">
        <w:rPr>
          <w:rFonts w:hint="cs"/>
          <w:sz w:val="24"/>
          <w:rtl/>
        </w:rPr>
        <w:t>להרחבה ראו תיבה "</w:t>
      </w:r>
      <w:r w:rsidR="00F54311" w:rsidRPr="00F54311">
        <w:rPr>
          <w:sz w:val="24"/>
          <w:rtl/>
        </w:rPr>
        <w:t>מבחן קיצון מקרו-כלכלי למערכת הבנקאית, 2018</w:t>
      </w:r>
      <w:r w:rsidR="00F54311" w:rsidRPr="00F54311">
        <w:rPr>
          <w:rFonts w:hint="cs"/>
          <w:sz w:val="24"/>
          <w:rtl/>
        </w:rPr>
        <w:t>" אשר פורסמה לציבור.</w:t>
      </w:r>
      <w:r w:rsidR="00DF31E7" w:rsidRPr="00F54311">
        <w:rPr>
          <w:rFonts w:hint="cs"/>
          <w:sz w:val="24"/>
          <w:rtl/>
        </w:rPr>
        <w:t>)</w:t>
      </w:r>
      <w:r w:rsidR="004801ED" w:rsidRPr="00F54311">
        <w:rPr>
          <w:rFonts w:hint="cs"/>
          <w:sz w:val="24"/>
          <w:rtl/>
        </w:rPr>
        <w:t>;</w:t>
      </w:r>
    </w:p>
    <w:p w:rsidR="00694956" w:rsidRPr="00F40B60" w:rsidRDefault="004801ED" w:rsidP="00A64733">
      <w:pPr>
        <w:pStyle w:val="1"/>
        <w:rPr>
          <w:rFonts w:hint="cs"/>
          <w:sz w:val="24"/>
        </w:rPr>
      </w:pPr>
      <w:r w:rsidRPr="00F40B60">
        <w:rPr>
          <w:rFonts w:hint="cs"/>
          <w:sz w:val="24"/>
          <w:rtl/>
        </w:rPr>
        <w:t xml:space="preserve">קיום </w:t>
      </w:r>
      <w:r w:rsidR="00CD4325" w:rsidRPr="00F40B60">
        <w:rPr>
          <w:rFonts w:hint="cs"/>
          <w:sz w:val="24"/>
          <w:rtl/>
        </w:rPr>
        <w:t>פגישות שוטפות</w:t>
      </w:r>
      <w:r w:rsidR="00A17E41" w:rsidRPr="00F40B60">
        <w:rPr>
          <w:rFonts w:hint="cs"/>
          <w:sz w:val="24"/>
          <w:rtl/>
        </w:rPr>
        <w:t xml:space="preserve"> עם </w:t>
      </w:r>
      <w:r w:rsidR="00CD4325" w:rsidRPr="00F40B60">
        <w:rPr>
          <w:rFonts w:hint="cs"/>
          <w:sz w:val="24"/>
          <w:rtl/>
        </w:rPr>
        <w:t>דירקטוריון</w:t>
      </w:r>
      <w:r w:rsidR="00A17E41" w:rsidRPr="00F40B60">
        <w:rPr>
          <w:rFonts w:hint="cs"/>
          <w:sz w:val="24"/>
          <w:rtl/>
        </w:rPr>
        <w:t xml:space="preserve"> </w:t>
      </w:r>
      <w:r w:rsidR="005D62A0" w:rsidRPr="00F40B60">
        <w:rPr>
          <w:rFonts w:hint="cs"/>
          <w:sz w:val="24"/>
          <w:rtl/>
        </w:rPr>
        <w:t>הבנק</w:t>
      </w:r>
      <w:r w:rsidR="00997EE9" w:rsidRPr="00F40B60">
        <w:rPr>
          <w:rFonts w:hint="cs"/>
          <w:sz w:val="24"/>
          <w:rtl/>
        </w:rPr>
        <w:t>,</w:t>
      </w:r>
      <w:r w:rsidR="00A17E41" w:rsidRPr="00F40B60">
        <w:rPr>
          <w:rFonts w:hint="cs"/>
          <w:sz w:val="24"/>
          <w:rtl/>
        </w:rPr>
        <w:t xml:space="preserve"> </w:t>
      </w:r>
      <w:r w:rsidR="00A64733">
        <w:rPr>
          <w:rFonts w:hint="cs"/>
          <w:sz w:val="24"/>
          <w:rtl/>
        </w:rPr>
        <w:t xml:space="preserve">דירקטורים בודדים, ועדות הדירקטוריון, </w:t>
      </w:r>
      <w:r w:rsidR="00CD4325" w:rsidRPr="00F40B60">
        <w:rPr>
          <w:rFonts w:hint="cs"/>
          <w:sz w:val="24"/>
          <w:rtl/>
        </w:rPr>
        <w:t>ההנהלה הבכירה</w:t>
      </w:r>
      <w:r w:rsidR="00A64733">
        <w:rPr>
          <w:rFonts w:hint="cs"/>
          <w:sz w:val="24"/>
          <w:rtl/>
        </w:rPr>
        <w:t xml:space="preserve"> </w:t>
      </w:r>
      <w:r w:rsidR="00997EE9" w:rsidRPr="00F40B60">
        <w:rPr>
          <w:rFonts w:hint="cs"/>
          <w:sz w:val="24"/>
          <w:rtl/>
        </w:rPr>
        <w:t>ו</w:t>
      </w:r>
      <w:r w:rsidR="0026456B" w:rsidRPr="00F40B60">
        <w:rPr>
          <w:rFonts w:hint="cs"/>
          <w:sz w:val="24"/>
          <w:rtl/>
        </w:rPr>
        <w:t xml:space="preserve">שומרי הסף הפנימיים (כגון מבקר </w:t>
      </w:r>
      <w:r w:rsidR="00204A9E">
        <w:rPr>
          <w:rFonts w:hint="cs"/>
          <w:sz w:val="24"/>
          <w:rtl/>
        </w:rPr>
        <w:t>ה</w:t>
      </w:r>
      <w:r w:rsidR="0026456B" w:rsidRPr="00F40B60">
        <w:rPr>
          <w:rFonts w:hint="cs"/>
          <w:sz w:val="24"/>
          <w:rtl/>
        </w:rPr>
        <w:t>פני</w:t>
      </w:r>
      <w:r w:rsidR="00997EE9" w:rsidRPr="00F40B60">
        <w:rPr>
          <w:rFonts w:hint="cs"/>
          <w:sz w:val="24"/>
          <w:rtl/>
        </w:rPr>
        <w:t>ם</w:t>
      </w:r>
      <w:r w:rsidR="0026456B" w:rsidRPr="00F40B60">
        <w:rPr>
          <w:rFonts w:hint="cs"/>
          <w:sz w:val="24"/>
          <w:rtl/>
        </w:rPr>
        <w:t xml:space="preserve">, מנהל </w:t>
      </w:r>
      <w:r w:rsidR="00204A9E">
        <w:rPr>
          <w:rFonts w:hint="cs"/>
          <w:sz w:val="24"/>
          <w:rtl/>
        </w:rPr>
        <w:t>ה</w:t>
      </w:r>
      <w:r w:rsidR="0026456B" w:rsidRPr="00F40B60">
        <w:rPr>
          <w:rFonts w:hint="cs"/>
          <w:sz w:val="24"/>
          <w:rtl/>
        </w:rPr>
        <w:t xml:space="preserve">סיכונים וקצין </w:t>
      </w:r>
      <w:r w:rsidR="00204A9E">
        <w:rPr>
          <w:rFonts w:hint="cs"/>
          <w:sz w:val="24"/>
          <w:rtl/>
        </w:rPr>
        <w:t>ה</w:t>
      </w:r>
      <w:r w:rsidR="0026456B" w:rsidRPr="00F40B60">
        <w:rPr>
          <w:rFonts w:hint="cs"/>
          <w:sz w:val="24"/>
          <w:rtl/>
        </w:rPr>
        <w:t>ציות)</w:t>
      </w:r>
      <w:r w:rsidRPr="00F40B60">
        <w:rPr>
          <w:rFonts w:hint="cs"/>
          <w:sz w:val="24"/>
          <w:rtl/>
        </w:rPr>
        <w:t>;</w:t>
      </w:r>
    </w:p>
    <w:p w:rsidR="00694956" w:rsidRPr="00F40B60" w:rsidRDefault="006E299F" w:rsidP="007D544E">
      <w:pPr>
        <w:pStyle w:val="1"/>
        <w:rPr>
          <w:rFonts w:hint="cs"/>
          <w:sz w:val="24"/>
        </w:rPr>
      </w:pPr>
      <w:r w:rsidRPr="00F40B60">
        <w:rPr>
          <w:rFonts w:hint="cs"/>
          <w:sz w:val="24"/>
          <w:rtl/>
        </w:rPr>
        <w:t>ניתוח</w:t>
      </w:r>
      <w:r w:rsidR="00CD4325" w:rsidRPr="00F40B60">
        <w:rPr>
          <w:rFonts w:hint="cs"/>
          <w:sz w:val="24"/>
          <w:rtl/>
        </w:rPr>
        <w:t xml:space="preserve"> האסטרטגיה העסקית</w:t>
      </w:r>
      <w:r w:rsidR="0026456B" w:rsidRPr="00F40B60">
        <w:rPr>
          <w:rFonts w:hint="cs"/>
          <w:sz w:val="24"/>
          <w:rtl/>
        </w:rPr>
        <w:t xml:space="preserve"> ותוכניות העבודה השנתיות</w:t>
      </w:r>
      <w:r w:rsidR="00CD4325" w:rsidRPr="00F40B60">
        <w:rPr>
          <w:rFonts w:hint="cs"/>
          <w:sz w:val="24"/>
          <w:rtl/>
        </w:rPr>
        <w:t xml:space="preserve"> של </w:t>
      </w:r>
      <w:r w:rsidR="00B65557">
        <w:rPr>
          <w:rFonts w:hint="cs"/>
          <w:sz w:val="24"/>
          <w:rtl/>
        </w:rPr>
        <w:t>הבנק</w:t>
      </w:r>
      <w:r w:rsidR="004801ED" w:rsidRPr="00F40B60">
        <w:rPr>
          <w:rFonts w:hint="cs"/>
          <w:sz w:val="24"/>
          <w:rtl/>
        </w:rPr>
        <w:t>;</w:t>
      </w:r>
    </w:p>
    <w:p w:rsidR="003A0F0C" w:rsidRPr="00F40B60" w:rsidRDefault="00CD4325" w:rsidP="004801ED">
      <w:pPr>
        <w:pStyle w:val="1"/>
        <w:rPr>
          <w:sz w:val="24"/>
        </w:rPr>
      </w:pPr>
      <w:r w:rsidRPr="00F40B60">
        <w:rPr>
          <w:rFonts w:hint="cs"/>
          <w:sz w:val="24"/>
          <w:rtl/>
        </w:rPr>
        <w:t>בחינת התנהלות הבנקים מול לקוחותיהם</w:t>
      </w:r>
      <w:r w:rsidR="00A97136" w:rsidRPr="00F40B60">
        <w:rPr>
          <w:rFonts w:hint="cs"/>
          <w:sz w:val="24"/>
          <w:rtl/>
        </w:rPr>
        <w:t xml:space="preserve"> לפי</w:t>
      </w:r>
      <w:r w:rsidRPr="00F40B60">
        <w:rPr>
          <w:rFonts w:hint="cs"/>
          <w:sz w:val="24"/>
          <w:rtl/>
        </w:rPr>
        <w:t xml:space="preserve"> הטיפול בתלונות הציבור והבקרות בתחום הצרכני</w:t>
      </w:r>
      <w:r w:rsidR="004801ED" w:rsidRPr="00F40B60">
        <w:rPr>
          <w:rFonts w:hint="cs"/>
          <w:sz w:val="24"/>
          <w:rtl/>
        </w:rPr>
        <w:t>;</w:t>
      </w:r>
    </w:p>
    <w:p w:rsidR="00694956" w:rsidRPr="00F40B60" w:rsidRDefault="00CD4325" w:rsidP="00C7587D">
      <w:pPr>
        <w:pStyle w:val="1"/>
        <w:rPr>
          <w:rFonts w:hint="cs"/>
          <w:sz w:val="24"/>
        </w:rPr>
      </w:pPr>
      <w:r w:rsidRPr="00F40B60">
        <w:rPr>
          <w:rFonts w:hint="cs"/>
          <w:sz w:val="24"/>
          <w:rtl/>
        </w:rPr>
        <w:t>בחינה</w:t>
      </w:r>
      <w:r w:rsidR="00C7587D">
        <w:rPr>
          <w:rFonts w:hint="cs"/>
          <w:sz w:val="24"/>
          <w:rtl/>
        </w:rPr>
        <w:t xml:space="preserve"> שוטפת של הסיכון המובנה בפעילות </w:t>
      </w:r>
      <w:r w:rsidR="005D62A0" w:rsidRPr="00F40B60">
        <w:rPr>
          <w:rFonts w:hint="cs"/>
          <w:sz w:val="24"/>
          <w:rtl/>
        </w:rPr>
        <w:t>הבנק</w:t>
      </w:r>
      <w:r w:rsidR="00A17E41" w:rsidRPr="00F40B60">
        <w:rPr>
          <w:rFonts w:hint="cs"/>
          <w:sz w:val="24"/>
          <w:rtl/>
        </w:rPr>
        <w:t xml:space="preserve"> והתפתחותו</w:t>
      </w:r>
      <w:r w:rsidRPr="00F40B60">
        <w:rPr>
          <w:rFonts w:hint="cs"/>
          <w:sz w:val="24"/>
          <w:rtl/>
        </w:rPr>
        <w:t>, לרבות בחינה של מדדים כמותיים</w:t>
      </w:r>
      <w:r w:rsidR="0026456B" w:rsidRPr="00F40B60">
        <w:rPr>
          <w:rFonts w:hint="cs"/>
          <w:sz w:val="24"/>
          <w:rtl/>
        </w:rPr>
        <w:t xml:space="preserve"> מקובלים</w:t>
      </w:r>
      <w:r w:rsidRPr="00F40B60">
        <w:rPr>
          <w:rFonts w:hint="cs"/>
          <w:sz w:val="24"/>
          <w:rtl/>
        </w:rPr>
        <w:t xml:space="preserve"> ו</w:t>
      </w:r>
      <w:r w:rsidR="0026456B" w:rsidRPr="00F40B60">
        <w:rPr>
          <w:rFonts w:hint="cs"/>
          <w:sz w:val="24"/>
          <w:rtl/>
        </w:rPr>
        <w:t>עמידה ב</w:t>
      </w:r>
      <w:r w:rsidRPr="00F40B60">
        <w:rPr>
          <w:rFonts w:hint="cs"/>
          <w:sz w:val="24"/>
          <w:rtl/>
        </w:rPr>
        <w:t xml:space="preserve">מגבלות פיקוחיות (בין היתר </w:t>
      </w:r>
      <w:r w:rsidR="0026456B" w:rsidRPr="00F40B60">
        <w:rPr>
          <w:rFonts w:hint="cs"/>
          <w:sz w:val="24"/>
          <w:rtl/>
        </w:rPr>
        <w:t xml:space="preserve">יחסי </w:t>
      </w:r>
      <w:r w:rsidRPr="00F40B60">
        <w:rPr>
          <w:rFonts w:hint="cs"/>
          <w:sz w:val="24"/>
          <w:rtl/>
        </w:rPr>
        <w:t xml:space="preserve">הלימות </w:t>
      </w:r>
      <w:r w:rsidR="004801ED" w:rsidRPr="00F40B60">
        <w:rPr>
          <w:rFonts w:hint="cs"/>
          <w:sz w:val="24"/>
          <w:rtl/>
        </w:rPr>
        <w:t>ה</w:t>
      </w:r>
      <w:r w:rsidRPr="00F40B60">
        <w:rPr>
          <w:rFonts w:hint="cs"/>
          <w:sz w:val="24"/>
          <w:rtl/>
        </w:rPr>
        <w:t xml:space="preserve">הון, יחסי </w:t>
      </w:r>
      <w:r w:rsidR="004801ED" w:rsidRPr="00F40B60">
        <w:rPr>
          <w:rFonts w:hint="cs"/>
          <w:sz w:val="24"/>
          <w:rtl/>
        </w:rPr>
        <w:t>ה</w:t>
      </w:r>
      <w:r w:rsidRPr="00F40B60">
        <w:rPr>
          <w:rFonts w:hint="cs"/>
          <w:sz w:val="24"/>
          <w:rtl/>
        </w:rPr>
        <w:t xml:space="preserve">נזילות, יחסי </w:t>
      </w:r>
      <w:r w:rsidR="004801ED" w:rsidRPr="00F40B60">
        <w:rPr>
          <w:rFonts w:hint="cs"/>
          <w:sz w:val="24"/>
          <w:rtl/>
        </w:rPr>
        <w:t>ה</w:t>
      </w:r>
      <w:r w:rsidRPr="00F40B60">
        <w:rPr>
          <w:rFonts w:hint="cs"/>
          <w:sz w:val="24"/>
          <w:rtl/>
        </w:rPr>
        <w:t>יעילות</w:t>
      </w:r>
      <w:r w:rsidR="0026456B" w:rsidRPr="00F40B60">
        <w:rPr>
          <w:rFonts w:hint="cs"/>
          <w:sz w:val="24"/>
          <w:rtl/>
        </w:rPr>
        <w:t xml:space="preserve"> ו</w:t>
      </w:r>
      <w:r w:rsidR="004801ED" w:rsidRPr="00F40B60">
        <w:rPr>
          <w:rFonts w:hint="cs"/>
          <w:sz w:val="24"/>
          <w:rtl/>
        </w:rPr>
        <w:t>ה</w:t>
      </w:r>
      <w:r w:rsidR="0026456B" w:rsidRPr="00F40B60">
        <w:rPr>
          <w:rFonts w:hint="cs"/>
          <w:sz w:val="24"/>
          <w:rtl/>
        </w:rPr>
        <w:t>רווחיות</w:t>
      </w:r>
      <w:r w:rsidRPr="00F40B60">
        <w:rPr>
          <w:rFonts w:hint="cs"/>
          <w:sz w:val="24"/>
          <w:rtl/>
        </w:rPr>
        <w:t>,</w:t>
      </w:r>
      <w:r w:rsidR="009B3860" w:rsidRPr="00F40B60">
        <w:rPr>
          <w:rFonts w:hint="cs"/>
          <w:sz w:val="24"/>
          <w:rtl/>
        </w:rPr>
        <w:t xml:space="preserve"> נתחי </w:t>
      </w:r>
      <w:r w:rsidR="004801ED" w:rsidRPr="00F40B60">
        <w:rPr>
          <w:rFonts w:hint="cs"/>
          <w:sz w:val="24"/>
          <w:rtl/>
        </w:rPr>
        <w:t>ה</w:t>
      </w:r>
      <w:r w:rsidR="009B3860" w:rsidRPr="00F40B60">
        <w:rPr>
          <w:rFonts w:hint="cs"/>
          <w:sz w:val="24"/>
          <w:rtl/>
        </w:rPr>
        <w:t>שוק,</w:t>
      </w:r>
      <w:r w:rsidRPr="00F40B60">
        <w:rPr>
          <w:rFonts w:hint="cs"/>
          <w:sz w:val="24"/>
          <w:rtl/>
        </w:rPr>
        <w:t xml:space="preserve"> </w:t>
      </w:r>
      <w:r w:rsidR="004801ED" w:rsidRPr="00F40B60">
        <w:rPr>
          <w:rFonts w:hint="cs"/>
          <w:sz w:val="24"/>
          <w:rtl/>
        </w:rPr>
        <w:t>ה</w:t>
      </w:r>
      <w:r w:rsidR="006E299F" w:rsidRPr="00F40B60">
        <w:rPr>
          <w:rFonts w:hint="cs"/>
          <w:sz w:val="24"/>
          <w:rtl/>
        </w:rPr>
        <w:t>מדדי</w:t>
      </w:r>
      <w:r w:rsidR="00A97136" w:rsidRPr="00F40B60">
        <w:rPr>
          <w:rFonts w:hint="cs"/>
          <w:sz w:val="24"/>
          <w:rtl/>
        </w:rPr>
        <w:t>ם</w:t>
      </w:r>
      <w:r w:rsidR="006E299F" w:rsidRPr="00F40B60">
        <w:rPr>
          <w:rFonts w:hint="cs"/>
          <w:sz w:val="24"/>
          <w:rtl/>
        </w:rPr>
        <w:t xml:space="preserve"> </w:t>
      </w:r>
      <w:r w:rsidR="00A97136" w:rsidRPr="00F40B60">
        <w:rPr>
          <w:rFonts w:hint="cs"/>
          <w:sz w:val="24"/>
          <w:rtl/>
        </w:rPr>
        <w:t>ל</w:t>
      </w:r>
      <w:r w:rsidR="0026456B" w:rsidRPr="00F40B60">
        <w:rPr>
          <w:rFonts w:hint="cs"/>
          <w:sz w:val="24"/>
          <w:rtl/>
        </w:rPr>
        <w:t xml:space="preserve">איכות </w:t>
      </w:r>
      <w:r w:rsidR="00A97136" w:rsidRPr="00F40B60">
        <w:rPr>
          <w:rFonts w:hint="cs"/>
          <w:sz w:val="24"/>
          <w:rtl/>
        </w:rPr>
        <w:t>ה</w:t>
      </w:r>
      <w:r w:rsidR="0026456B" w:rsidRPr="00F40B60">
        <w:rPr>
          <w:rFonts w:hint="cs"/>
          <w:sz w:val="24"/>
          <w:rtl/>
        </w:rPr>
        <w:t>אשראי</w:t>
      </w:r>
      <w:r w:rsidR="006E299F" w:rsidRPr="00F40B60">
        <w:rPr>
          <w:rFonts w:hint="cs"/>
          <w:sz w:val="24"/>
          <w:rtl/>
        </w:rPr>
        <w:t>,</w:t>
      </w:r>
      <w:r w:rsidR="0026456B" w:rsidRPr="00F40B60">
        <w:rPr>
          <w:rFonts w:hint="cs"/>
          <w:sz w:val="24"/>
          <w:rtl/>
        </w:rPr>
        <w:t xml:space="preserve"> </w:t>
      </w:r>
      <w:r w:rsidR="004801ED" w:rsidRPr="00F40B60">
        <w:rPr>
          <w:rFonts w:hint="cs"/>
          <w:sz w:val="24"/>
          <w:rtl/>
        </w:rPr>
        <w:t>ה</w:t>
      </w:r>
      <w:r w:rsidR="0026456B" w:rsidRPr="00F40B60">
        <w:rPr>
          <w:rFonts w:hint="cs"/>
          <w:sz w:val="24"/>
          <w:rtl/>
        </w:rPr>
        <w:t>מדדי</w:t>
      </w:r>
      <w:r w:rsidR="00A97136" w:rsidRPr="00F40B60">
        <w:rPr>
          <w:rFonts w:hint="cs"/>
          <w:sz w:val="24"/>
          <w:rtl/>
        </w:rPr>
        <w:t>ם</w:t>
      </w:r>
      <w:r w:rsidR="0026456B" w:rsidRPr="00F40B60">
        <w:rPr>
          <w:rFonts w:hint="cs"/>
          <w:sz w:val="24"/>
          <w:rtl/>
        </w:rPr>
        <w:t xml:space="preserve"> </w:t>
      </w:r>
      <w:r w:rsidR="00A97136" w:rsidRPr="00F40B60">
        <w:rPr>
          <w:rFonts w:hint="cs"/>
          <w:sz w:val="24"/>
          <w:rtl/>
        </w:rPr>
        <w:t>ל</w:t>
      </w:r>
      <w:r w:rsidR="0026456B" w:rsidRPr="00F40B60">
        <w:rPr>
          <w:rFonts w:hint="cs"/>
          <w:sz w:val="24"/>
          <w:rtl/>
        </w:rPr>
        <w:t xml:space="preserve">ריכוזיות </w:t>
      </w:r>
      <w:r w:rsidR="00A97136" w:rsidRPr="00F40B60">
        <w:rPr>
          <w:rFonts w:hint="cs"/>
          <w:sz w:val="24"/>
          <w:rtl/>
        </w:rPr>
        <w:t>ה</w:t>
      </w:r>
      <w:r w:rsidR="0026456B" w:rsidRPr="00F40B60">
        <w:rPr>
          <w:rFonts w:hint="cs"/>
          <w:sz w:val="24"/>
          <w:rtl/>
        </w:rPr>
        <w:t>אשראי ו</w:t>
      </w:r>
      <w:r w:rsidR="00A97136" w:rsidRPr="00F40B60">
        <w:rPr>
          <w:rFonts w:hint="cs"/>
          <w:sz w:val="24"/>
          <w:rtl/>
        </w:rPr>
        <w:t>ה</w:t>
      </w:r>
      <w:r w:rsidR="0026456B" w:rsidRPr="00F40B60">
        <w:rPr>
          <w:rFonts w:hint="cs"/>
          <w:sz w:val="24"/>
          <w:rtl/>
        </w:rPr>
        <w:t>פיקדונות,</w:t>
      </w:r>
      <w:r w:rsidR="006E299F" w:rsidRPr="00F40B60">
        <w:rPr>
          <w:rFonts w:hint="cs"/>
          <w:sz w:val="24"/>
          <w:rtl/>
        </w:rPr>
        <w:t xml:space="preserve"> </w:t>
      </w:r>
      <w:r w:rsidR="004801ED" w:rsidRPr="00F40B60">
        <w:rPr>
          <w:rFonts w:hint="cs"/>
          <w:sz w:val="24"/>
          <w:rtl/>
        </w:rPr>
        <w:t>ה</w:t>
      </w:r>
      <w:r w:rsidR="006E299F" w:rsidRPr="00F40B60">
        <w:rPr>
          <w:rFonts w:hint="cs"/>
          <w:sz w:val="24"/>
          <w:rtl/>
        </w:rPr>
        <w:t xml:space="preserve">מדדים לסיכוני </w:t>
      </w:r>
      <w:r w:rsidR="00A97136" w:rsidRPr="00F40B60">
        <w:rPr>
          <w:rFonts w:hint="cs"/>
          <w:sz w:val="24"/>
          <w:rtl/>
        </w:rPr>
        <w:t>ה</w:t>
      </w:r>
      <w:r w:rsidR="006E299F" w:rsidRPr="00F40B60">
        <w:rPr>
          <w:rFonts w:hint="cs"/>
          <w:sz w:val="24"/>
          <w:rtl/>
        </w:rPr>
        <w:t>שוק ו</w:t>
      </w:r>
      <w:r w:rsidR="00A97136" w:rsidRPr="00F40B60">
        <w:rPr>
          <w:rFonts w:hint="cs"/>
          <w:sz w:val="24"/>
          <w:rtl/>
        </w:rPr>
        <w:t>ה</w:t>
      </w:r>
      <w:r w:rsidR="006E299F" w:rsidRPr="00F40B60">
        <w:rPr>
          <w:rFonts w:hint="cs"/>
          <w:sz w:val="24"/>
          <w:rtl/>
        </w:rPr>
        <w:t>ריבית, ועוד)</w:t>
      </w:r>
      <w:r w:rsidR="004801ED" w:rsidRPr="00F40B60">
        <w:rPr>
          <w:rFonts w:hint="cs"/>
          <w:sz w:val="24"/>
          <w:rtl/>
        </w:rPr>
        <w:t xml:space="preserve">; </w:t>
      </w:r>
    </w:p>
    <w:p w:rsidR="006E299F" w:rsidRPr="00F40B60" w:rsidRDefault="00CD4325" w:rsidP="007D544E">
      <w:pPr>
        <w:pStyle w:val="1"/>
        <w:rPr>
          <w:rFonts w:hint="cs"/>
          <w:sz w:val="24"/>
        </w:rPr>
      </w:pPr>
      <w:r w:rsidRPr="00F40B60">
        <w:rPr>
          <w:rFonts w:hint="cs"/>
          <w:sz w:val="24"/>
          <w:rtl/>
        </w:rPr>
        <w:t xml:space="preserve">ניתוח התוצאות הכספיות של </w:t>
      </w:r>
      <w:r w:rsidR="00B65557">
        <w:rPr>
          <w:rFonts w:hint="cs"/>
          <w:sz w:val="24"/>
          <w:rtl/>
        </w:rPr>
        <w:t>הבנקים</w:t>
      </w:r>
      <w:r w:rsidRPr="00F40B60">
        <w:rPr>
          <w:rFonts w:hint="cs"/>
          <w:sz w:val="24"/>
          <w:rtl/>
        </w:rPr>
        <w:t xml:space="preserve"> על בסיס רבעוני</w:t>
      </w:r>
      <w:r w:rsidR="004801ED" w:rsidRPr="00F40B60">
        <w:rPr>
          <w:rFonts w:hint="cs"/>
          <w:sz w:val="24"/>
          <w:rtl/>
        </w:rPr>
        <w:t>;</w:t>
      </w:r>
    </w:p>
    <w:p w:rsidR="00855754" w:rsidRPr="00F40B60" w:rsidRDefault="004801ED" w:rsidP="004801ED">
      <w:pPr>
        <w:pStyle w:val="1"/>
        <w:rPr>
          <w:rFonts w:hint="cs"/>
          <w:sz w:val="24"/>
        </w:rPr>
      </w:pPr>
      <w:r w:rsidRPr="00F40B60">
        <w:rPr>
          <w:rFonts w:hint="cs"/>
          <w:sz w:val="24"/>
          <w:rtl/>
        </w:rPr>
        <w:t xml:space="preserve">קיום </w:t>
      </w:r>
      <w:r w:rsidR="00CD4325" w:rsidRPr="00F40B60">
        <w:rPr>
          <w:rFonts w:hint="cs"/>
          <w:sz w:val="24"/>
          <w:rtl/>
        </w:rPr>
        <w:t>פגישות שוטפות עם רואי החשבון המבקרים</w:t>
      </w:r>
      <w:r w:rsidRPr="00F40B60">
        <w:rPr>
          <w:rFonts w:hint="cs"/>
          <w:sz w:val="24"/>
          <w:rtl/>
        </w:rPr>
        <w:t>;</w:t>
      </w:r>
    </w:p>
    <w:p w:rsidR="006E299F" w:rsidRPr="00F40B60" w:rsidRDefault="00A64733" w:rsidP="004801ED">
      <w:pPr>
        <w:pStyle w:val="1"/>
        <w:rPr>
          <w:rFonts w:hint="cs"/>
          <w:sz w:val="24"/>
        </w:rPr>
      </w:pPr>
      <w:r>
        <w:rPr>
          <w:rFonts w:hint="cs"/>
          <w:sz w:val="24"/>
          <w:rtl/>
        </w:rPr>
        <w:t xml:space="preserve">קריאת </w:t>
      </w:r>
      <w:r w:rsidR="00CD4325" w:rsidRPr="00F40B60">
        <w:rPr>
          <w:rFonts w:hint="cs"/>
          <w:sz w:val="24"/>
          <w:rtl/>
        </w:rPr>
        <w:t xml:space="preserve">פרוטוקולים של ישיבות </w:t>
      </w:r>
      <w:r w:rsidR="004801ED" w:rsidRPr="00F40B60">
        <w:rPr>
          <w:rFonts w:hint="cs"/>
          <w:sz w:val="24"/>
          <w:rtl/>
        </w:rPr>
        <w:t>ה</w:t>
      </w:r>
      <w:r w:rsidR="00CD4325" w:rsidRPr="00F40B60">
        <w:rPr>
          <w:rFonts w:hint="cs"/>
          <w:sz w:val="24"/>
          <w:rtl/>
        </w:rPr>
        <w:t>דירקטוריון</w:t>
      </w:r>
      <w:r w:rsidR="006D4319" w:rsidRPr="00F40B60">
        <w:rPr>
          <w:rFonts w:hint="cs"/>
          <w:sz w:val="24"/>
          <w:rtl/>
        </w:rPr>
        <w:t xml:space="preserve"> וחלק מוועדותיו</w:t>
      </w:r>
      <w:r w:rsidR="004801ED" w:rsidRPr="00F40B60">
        <w:rPr>
          <w:rFonts w:hint="cs"/>
          <w:sz w:val="24"/>
          <w:rtl/>
        </w:rPr>
        <w:t>;</w:t>
      </w:r>
    </w:p>
    <w:p w:rsidR="006E299F" w:rsidRPr="00F40B60" w:rsidRDefault="00CD4325" w:rsidP="004801ED">
      <w:pPr>
        <w:pStyle w:val="1"/>
        <w:rPr>
          <w:rFonts w:hint="cs"/>
          <w:sz w:val="24"/>
        </w:rPr>
      </w:pPr>
      <w:r w:rsidRPr="00F40B60">
        <w:rPr>
          <w:rFonts w:hint="cs"/>
          <w:sz w:val="24"/>
          <w:rtl/>
        </w:rPr>
        <w:t xml:space="preserve">עיון </w:t>
      </w:r>
      <w:r w:rsidR="006D4319" w:rsidRPr="00F40B60">
        <w:rPr>
          <w:rFonts w:hint="cs"/>
          <w:sz w:val="24"/>
          <w:rtl/>
        </w:rPr>
        <w:t xml:space="preserve">בשורה ארוכה של מסמכים מרכזיים </w:t>
      </w:r>
      <w:r w:rsidR="004801ED" w:rsidRPr="00F40B60">
        <w:rPr>
          <w:rFonts w:hint="cs"/>
          <w:sz w:val="24"/>
          <w:rtl/>
        </w:rPr>
        <w:t>ש</w:t>
      </w:r>
      <w:r w:rsidR="006D4319" w:rsidRPr="00F40B60">
        <w:rPr>
          <w:rFonts w:hint="cs"/>
          <w:sz w:val="24"/>
          <w:rtl/>
        </w:rPr>
        <w:t>הבנק</w:t>
      </w:r>
      <w:r w:rsidR="004801ED" w:rsidRPr="00F40B60">
        <w:rPr>
          <w:rFonts w:hint="cs"/>
          <w:sz w:val="24"/>
          <w:rtl/>
        </w:rPr>
        <w:t xml:space="preserve"> מפיק</w:t>
      </w:r>
      <w:r w:rsidR="006D4319" w:rsidRPr="00F40B60">
        <w:rPr>
          <w:rFonts w:hint="cs"/>
          <w:sz w:val="24"/>
          <w:rtl/>
        </w:rPr>
        <w:t xml:space="preserve">, לרבות: </w:t>
      </w:r>
      <w:r w:rsidRPr="00F40B60">
        <w:rPr>
          <w:rFonts w:hint="cs"/>
          <w:sz w:val="24"/>
          <w:rtl/>
        </w:rPr>
        <w:t>מסמכי המדיניות</w:t>
      </w:r>
      <w:r w:rsidR="006D4319" w:rsidRPr="00F40B60">
        <w:rPr>
          <w:rFonts w:hint="cs"/>
          <w:sz w:val="24"/>
          <w:rtl/>
        </w:rPr>
        <w:t xml:space="preserve">, </w:t>
      </w:r>
      <w:r w:rsidR="00CB5044" w:rsidRPr="00F40B60">
        <w:rPr>
          <w:rFonts w:hint="cs"/>
          <w:sz w:val="24"/>
          <w:rtl/>
        </w:rPr>
        <w:t>מסמך ה-</w:t>
      </w:r>
      <w:r w:rsidR="00CB5044" w:rsidRPr="00F40B60">
        <w:rPr>
          <w:sz w:val="24"/>
          <w:szCs w:val="22"/>
        </w:rPr>
        <w:t>ICAAP</w:t>
      </w:r>
      <w:r>
        <w:rPr>
          <w:rStyle w:val="aa"/>
          <w:sz w:val="24"/>
          <w:rtl/>
        </w:rPr>
        <w:footnoteReference w:id="2"/>
      </w:r>
      <w:r w:rsidR="006D4319" w:rsidRPr="00F40B60">
        <w:rPr>
          <w:rFonts w:hint="cs"/>
          <w:sz w:val="24"/>
          <w:rtl/>
        </w:rPr>
        <w:t>,</w:t>
      </w:r>
      <w:r w:rsidR="00A17E41" w:rsidRPr="00F40B60">
        <w:rPr>
          <w:rFonts w:hint="cs"/>
          <w:sz w:val="24"/>
          <w:rtl/>
        </w:rPr>
        <w:t xml:space="preserve"> </w:t>
      </w:r>
      <w:r w:rsidR="00CB5044" w:rsidRPr="00F40B60">
        <w:rPr>
          <w:rFonts w:hint="cs"/>
          <w:sz w:val="24"/>
          <w:rtl/>
        </w:rPr>
        <w:t>מסמכי הסיכונים הרבעוניים</w:t>
      </w:r>
      <w:r w:rsidR="006D4319" w:rsidRPr="00F40B60">
        <w:rPr>
          <w:rFonts w:hint="cs"/>
          <w:sz w:val="24"/>
          <w:rtl/>
        </w:rPr>
        <w:t xml:space="preserve">, מסמכי </w:t>
      </w:r>
      <w:r w:rsidR="004801ED" w:rsidRPr="00F40B60">
        <w:rPr>
          <w:rFonts w:hint="cs"/>
          <w:sz w:val="24"/>
          <w:rtl/>
        </w:rPr>
        <w:t>ה</w:t>
      </w:r>
      <w:r w:rsidR="006D4319" w:rsidRPr="00F40B60">
        <w:rPr>
          <w:rFonts w:hint="cs"/>
          <w:sz w:val="24"/>
          <w:rtl/>
        </w:rPr>
        <w:t xml:space="preserve">סיכום </w:t>
      </w:r>
      <w:r w:rsidR="004801ED" w:rsidRPr="00F40B60">
        <w:rPr>
          <w:rFonts w:hint="cs"/>
          <w:sz w:val="24"/>
          <w:rtl/>
        </w:rPr>
        <w:t>ה</w:t>
      </w:r>
      <w:r w:rsidR="006D4319" w:rsidRPr="00F40B60">
        <w:rPr>
          <w:rFonts w:hint="cs"/>
          <w:sz w:val="24"/>
          <w:rtl/>
        </w:rPr>
        <w:t xml:space="preserve">תקופתיים </w:t>
      </w:r>
      <w:r w:rsidR="004801ED" w:rsidRPr="00F40B60">
        <w:rPr>
          <w:rFonts w:hint="cs"/>
          <w:sz w:val="24"/>
          <w:rtl/>
        </w:rPr>
        <w:t>שמכינות</w:t>
      </w:r>
      <w:r w:rsidR="006D4319" w:rsidRPr="00F40B60">
        <w:rPr>
          <w:rFonts w:hint="cs"/>
          <w:sz w:val="24"/>
          <w:rtl/>
        </w:rPr>
        <w:t xml:space="preserve"> ביקורת הפני</w:t>
      </w:r>
      <w:r w:rsidR="004801ED" w:rsidRPr="00F40B60">
        <w:rPr>
          <w:rFonts w:hint="cs"/>
          <w:sz w:val="24"/>
          <w:rtl/>
        </w:rPr>
        <w:t>ם</w:t>
      </w:r>
      <w:r w:rsidR="006D4319" w:rsidRPr="00F40B60">
        <w:rPr>
          <w:rFonts w:hint="cs"/>
          <w:sz w:val="24"/>
          <w:rtl/>
        </w:rPr>
        <w:t xml:space="preserve"> </w:t>
      </w:r>
      <w:r w:rsidR="004801ED" w:rsidRPr="00F40B60">
        <w:rPr>
          <w:rFonts w:hint="cs"/>
          <w:sz w:val="24"/>
          <w:rtl/>
        </w:rPr>
        <w:t>ו</w:t>
      </w:r>
      <w:r w:rsidR="006D4319" w:rsidRPr="00F40B60">
        <w:rPr>
          <w:rFonts w:hint="cs"/>
          <w:sz w:val="24"/>
          <w:rtl/>
        </w:rPr>
        <w:t>היחידה לבקרת אשראי, דוחות ביקורת פנימיים (באופן מדגמי), ועוד</w:t>
      </w:r>
      <w:r w:rsidR="004801ED" w:rsidRPr="00F40B60">
        <w:rPr>
          <w:rFonts w:hint="cs"/>
          <w:sz w:val="24"/>
          <w:rtl/>
        </w:rPr>
        <w:t>;</w:t>
      </w:r>
    </w:p>
    <w:p w:rsidR="00DB2942" w:rsidRPr="00F40B60" w:rsidRDefault="00CD4325" w:rsidP="004801ED">
      <w:pPr>
        <w:pStyle w:val="1"/>
        <w:rPr>
          <w:rFonts w:hint="cs"/>
          <w:sz w:val="24"/>
        </w:rPr>
      </w:pPr>
      <w:r w:rsidRPr="00F40B60">
        <w:rPr>
          <w:rFonts w:hint="cs"/>
          <w:sz w:val="24"/>
          <w:rtl/>
        </w:rPr>
        <w:t>מעקב אחר אירועי סייבר ואופן הטיפול בהם</w:t>
      </w:r>
      <w:r w:rsidR="004801ED" w:rsidRPr="00F40B60">
        <w:rPr>
          <w:rFonts w:hint="cs"/>
          <w:sz w:val="24"/>
          <w:rtl/>
        </w:rPr>
        <w:t>;</w:t>
      </w:r>
      <w:r w:rsidRPr="00F40B60">
        <w:rPr>
          <w:rFonts w:hint="cs"/>
          <w:sz w:val="24"/>
          <w:rtl/>
        </w:rPr>
        <w:t xml:space="preserve"> </w:t>
      </w:r>
    </w:p>
    <w:p w:rsidR="009B3860" w:rsidRPr="00F40B60" w:rsidRDefault="00417099" w:rsidP="004801ED">
      <w:pPr>
        <w:pStyle w:val="1"/>
        <w:rPr>
          <w:rFonts w:hint="cs"/>
          <w:sz w:val="24"/>
          <w:rtl/>
        </w:rPr>
      </w:pPr>
      <w:r w:rsidRPr="00F40B60">
        <w:rPr>
          <w:rFonts w:hint="cs"/>
          <w:sz w:val="24"/>
          <w:rtl/>
        </w:rPr>
        <w:lastRenderedPageBreak/>
        <w:t>מעקב אחר מעילות</w:t>
      </w:r>
      <w:r w:rsidR="005C3161" w:rsidRPr="00F40B60">
        <w:rPr>
          <w:rFonts w:hint="cs"/>
          <w:sz w:val="24"/>
          <w:rtl/>
        </w:rPr>
        <w:t xml:space="preserve"> </w:t>
      </w:r>
      <w:r w:rsidR="00CD4325" w:rsidRPr="00F40B60">
        <w:rPr>
          <w:rFonts w:hint="cs"/>
          <w:sz w:val="24"/>
          <w:rtl/>
        </w:rPr>
        <w:t>ואופן הטיפול בהן.</w:t>
      </w:r>
    </w:p>
    <w:p w:rsidR="00694956" w:rsidRPr="00F40B60" w:rsidRDefault="00694956" w:rsidP="00C529B5">
      <w:pPr>
        <w:rPr>
          <w:rtl/>
        </w:rPr>
      </w:pPr>
    </w:p>
    <w:p w:rsidR="00A17E41" w:rsidRPr="00F40B60" w:rsidRDefault="00C448B1" w:rsidP="00D615CE">
      <w:pPr>
        <w:rPr>
          <w:b/>
          <w:bCs/>
          <w:u w:val="single"/>
          <w:rtl/>
        </w:rPr>
      </w:pPr>
      <w:r w:rsidRPr="00F40B60">
        <w:rPr>
          <w:rFonts w:hint="cs"/>
          <w:b/>
          <w:bCs/>
          <w:u w:val="single"/>
          <w:rtl/>
        </w:rPr>
        <w:t>ת</w:t>
      </w:r>
      <w:r w:rsidR="00CD4325" w:rsidRPr="00F40B60">
        <w:rPr>
          <w:rFonts w:hint="cs"/>
          <w:b/>
          <w:bCs/>
          <w:u w:val="single"/>
          <w:rtl/>
        </w:rPr>
        <w:t xml:space="preserve">הליך </w:t>
      </w:r>
      <w:r w:rsidR="00247AC5" w:rsidRPr="00F40B60">
        <w:rPr>
          <w:rFonts w:hint="cs"/>
          <w:b/>
          <w:bCs/>
          <w:u w:val="single"/>
          <w:rtl/>
        </w:rPr>
        <w:t>ה</w:t>
      </w:r>
      <w:r w:rsidR="00CD4325" w:rsidRPr="00F40B60">
        <w:rPr>
          <w:rFonts w:hint="cs"/>
          <w:b/>
          <w:bCs/>
          <w:u w:val="single"/>
          <w:rtl/>
        </w:rPr>
        <w:t>ה</w:t>
      </w:r>
      <w:r w:rsidR="008F31C6" w:rsidRPr="00F40B60">
        <w:rPr>
          <w:rFonts w:hint="cs"/>
          <w:b/>
          <w:bCs/>
          <w:u w:val="single"/>
          <w:rtl/>
        </w:rPr>
        <w:t xml:space="preserve">ערכה </w:t>
      </w:r>
      <w:r w:rsidR="00D615CE">
        <w:rPr>
          <w:rFonts w:hint="cs"/>
          <w:b/>
          <w:bCs/>
          <w:u w:val="single"/>
          <w:rtl/>
        </w:rPr>
        <w:t>המובנה התקופתי</w:t>
      </w:r>
      <w:r w:rsidR="008F31C6" w:rsidRPr="00F40B60">
        <w:rPr>
          <w:rFonts w:hint="cs"/>
          <w:b/>
          <w:bCs/>
          <w:u w:val="single"/>
          <w:rtl/>
        </w:rPr>
        <w:t xml:space="preserve"> </w:t>
      </w:r>
      <w:r w:rsidR="00A97136" w:rsidRPr="00F40B60">
        <w:rPr>
          <w:b/>
          <w:bCs/>
          <w:u w:val="single"/>
          <w:rtl/>
        </w:rPr>
        <w:t>–</w:t>
      </w:r>
      <w:r w:rsidR="00CD4325" w:rsidRPr="00F40B60">
        <w:rPr>
          <w:rFonts w:hint="cs"/>
          <w:b/>
          <w:bCs/>
          <w:u w:val="single"/>
          <w:rtl/>
        </w:rPr>
        <w:t xml:space="preserve"> </w:t>
      </w:r>
      <w:r w:rsidR="00D615CE">
        <w:rPr>
          <w:rFonts w:hint="cs"/>
          <w:b/>
          <w:bCs/>
          <w:u w:val="single"/>
          <w:rtl/>
        </w:rPr>
        <w:t>ה-</w:t>
      </w:r>
      <w:r w:rsidR="00CD4325" w:rsidRPr="00F40B60">
        <w:rPr>
          <w:b/>
          <w:bCs/>
          <w:szCs w:val="22"/>
          <w:u w:val="single"/>
        </w:rPr>
        <w:t>SREP</w:t>
      </w:r>
    </w:p>
    <w:p w:rsidR="00D615CE" w:rsidRDefault="00CD4325" w:rsidP="0027242B">
      <w:pPr>
        <w:rPr>
          <w:rFonts w:hint="cs"/>
          <w:rtl/>
        </w:rPr>
      </w:pPr>
      <w:r>
        <w:rPr>
          <w:rFonts w:hint="cs"/>
          <w:rtl/>
        </w:rPr>
        <w:t xml:space="preserve">כאמור, </w:t>
      </w:r>
      <w:r w:rsidR="00A17E41" w:rsidRPr="00F40B60">
        <w:rPr>
          <w:rFonts w:hint="cs"/>
          <w:rtl/>
        </w:rPr>
        <w:t>נוסף</w:t>
      </w:r>
      <w:r w:rsidR="00071316" w:rsidRPr="00F40B60">
        <w:rPr>
          <w:rFonts w:hint="cs"/>
          <w:rtl/>
        </w:rPr>
        <w:t xml:space="preserve"> </w:t>
      </w:r>
      <w:r>
        <w:rPr>
          <w:rFonts w:hint="cs"/>
          <w:rtl/>
        </w:rPr>
        <w:t>ל</w:t>
      </w:r>
      <w:r w:rsidR="00A17E41" w:rsidRPr="00F40B60">
        <w:rPr>
          <w:rFonts w:hint="cs"/>
          <w:rtl/>
        </w:rPr>
        <w:t>פ</w:t>
      </w:r>
      <w:r w:rsidR="00FA0E44" w:rsidRPr="00F40B60">
        <w:rPr>
          <w:rFonts w:hint="cs"/>
          <w:rtl/>
        </w:rPr>
        <w:t xml:space="preserve">עולות שתוארו לעיל </w:t>
      </w:r>
      <w:r w:rsidR="004801ED" w:rsidRPr="00F40B60">
        <w:rPr>
          <w:rFonts w:hint="cs"/>
          <w:rtl/>
        </w:rPr>
        <w:t>ה</w:t>
      </w:r>
      <w:r w:rsidR="00FA0E44" w:rsidRPr="00F40B60">
        <w:rPr>
          <w:rFonts w:hint="cs"/>
          <w:rtl/>
        </w:rPr>
        <w:t xml:space="preserve">פיקוח </w:t>
      </w:r>
      <w:r>
        <w:rPr>
          <w:rFonts w:hint="cs"/>
          <w:rtl/>
        </w:rPr>
        <w:t xml:space="preserve">מקיים </w:t>
      </w:r>
      <w:r w:rsidR="00A17E41" w:rsidRPr="00F40B60">
        <w:rPr>
          <w:rFonts w:hint="cs"/>
          <w:rtl/>
        </w:rPr>
        <w:t xml:space="preserve">תהליך </w:t>
      </w:r>
      <w:r>
        <w:rPr>
          <w:rFonts w:hint="cs"/>
          <w:rtl/>
        </w:rPr>
        <w:t xml:space="preserve">הערכה תקופתי </w:t>
      </w:r>
      <w:r w:rsidR="00A17E41" w:rsidRPr="00F40B60">
        <w:rPr>
          <w:rFonts w:hint="cs"/>
          <w:rtl/>
        </w:rPr>
        <w:t>מקיף ומובנה</w:t>
      </w:r>
      <w:r w:rsidR="004801ED" w:rsidRPr="00F40B60">
        <w:rPr>
          <w:rFonts w:hint="cs"/>
          <w:rtl/>
        </w:rPr>
        <w:t xml:space="preserve"> </w:t>
      </w:r>
      <w:r w:rsidR="004801ED" w:rsidRPr="00F40B60">
        <w:rPr>
          <w:rtl/>
        </w:rPr>
        <w:t>–</w:t>
      </w:r>
      <w:r w:rsidR="004801ED" w:rsidRPr="00F40B60">
        <w:rPr>
          <w:rFonts w:hint="cs"/>
          <w:rtl/>
        </w:rPr>
        <w:t xml:space="preserve"> </w:t>
      </w:r>
      <w:r w:rsidR="00A17E41" w:rsidRPr="00F40B60">
        <w:rPr>
          <w:szCs w:val="22"/>
        </w:rPr>
        <w:t>SREP</w:t>
      </w:r>
      <w:r w:rsidR="00A17E41" w:rsidRPr="00F40B60">
        <w:rPr>
          <w:rFonts w:hint="cs"/>
          <w:rtl/>
        </w:rPr>
        <w:t xml:space="preserve"> (</w:t>
      </w:r>
      <w:r w:rsidR="00A17E41" w:rsidRPr="00F40B60">
        <w:rPr>
          <w:szCs w:val="22"/>
        </w:rPr>
        <w:t>Supervisory Review and Evaluation Process</w:t>
      </w:r>
      <w:r w:rsidR="00A17E41" w:rsidRPr="00F40B60">
        <w:rPr>
          <w:rFonts w:hint="cs"/>
          <w:rtl/>
        </w:rPr>
        <w:t xml:space="preserve">). </w:t>
      </w:r>
      <w:r>
        <w:rPr>
          <w:rFonts w:hint="cs"/>
          <w:rtl/>
        </w:rPr>
        <w:t>ה-</w:t>
      </w:r>
      <w:r>
        <w:t>SREP</w:t>
      </w:r>
      <w:r>
        <w:rPr>
          <w:rFonts w:hint="cs"/>
          <w:rtl/>
        </w:rPr>
        <w:t xml:space="preserve"> מתייחס הן למידע שנאסף במהלכו והן למידע שנאסף בפעולות הפיקוח השוטפות שתוארו לעיל. תהליך זה</w:t>
      </w:r>
      <w:r w:rsidR="003E7E5E" w:rsidRPr="00F40B60">
        <w:rPr>
          <w:rFonts w:hint="cs"/>
          <w:rtl/>
        </w:rPr>
        <w:t xml:space="preserve"> </w:t>
      </w:r>
      <w:r w:rsidR="00247AC5" w:rsidRPr="00F40B60">
        <w:rPr>
          <w:rFonts w:hint="cs"/>
          <w:rtl/>
        </w:rPr>
        <w:t xml:space="preserve">מתקיים </w:t>
      </w:r>
      <w:r w:rsidR="00855754" w:rsidRPr="00F40B60">
        <w:rPr>
          <w:rFonts w:hint="cs"/>
          <w:rtl/>
        </w:rPr>
        <w:t>על פי כללי</w:t>
      </w:r>
      <w:r w:rsidR="00A17E41" w:rsidRPr="00F40B60">
        <w:rPr>
          <w:rFonts w:hint="cs"/>
          <w:rtl/>
        </w:rPr>
        <w:t xml:space="preserve"> ועדת באזל לפיקוח בנקאי</w:t>
      </w:r>
      <w:r w:rsidR="009B3860" w:rsidRPr="00F40B60">
        <w:rPr>
          <w:rFonts w:hint="cs"/>
          <w:rtl/>
        </w:rPr>
        <w:t xml:space="preserve"> (</w:t>
      </w:r>
      <w:r w:rsidR="009B3860" w:rsidRPr="00F40B60">
        <w:rPr>
          <w:szCs w:val="22"/>
        </w:rPr>
        <w:t>BCBS</w:t>
      </w:r>
      <w:r w:rsidR="009B3860" w:rsidRPr="00F40B60">
        <w:rPr>
          <w:rFonts w:hint="cs"/>
          <w:rtl/>
        </w:rPr>
        <w:t>)</w:t>
      </w:r>
      <w:r w:rsidR="00A17E41" w:rsidRPr="00F40B60">
        <w:rPr>
          <w:rFonts w:hint="cs"/>
          <w:rtl/>
        </w:rPr>
        <w:t xml:space="preserve">, והוא </w:t>
      </w:r>
      <w:r w:rsidR="00FA0E44" w:rsidRPr="00F40B60">
        <w:rPr>
          <w:rFonts w:hint="cs"/>
          <w:rtl/>
        </w:rPr>
        <w:t>מקביל</w:t>
      </w:r>
      <w:r w:rsidR="00A17E41" w:rsidRPr="00F40B60">
        <w:rPr>
          <w:rFonts w:hint="cs"/>
          <w:rtl/>
        </w:rPr>
        <w:t xml:space="preserve"> לתהליכים דומים </w:t>
      </w:r>
      <w:r w:rsidR="00247AC5" w:rsidRPr="00F40B60">
        <w:rPr>
          <w:rFonts w:hint="cs"/>
          <w:rtl/>
        </w:rPr>
        <w:t xml:space="preserve">שמקיימות </w:t>
      </w:r>
      <w:r w:rsidR="00A17E41" w:rsidRPr="00F40B60">
        <w:rPr>
          <w:rFonts w:hint="cs"/>
          <w:rtl/>
        </w:rPr>
        <w:t>רשויות פיקוח מובילות בעולם.</w:t>
      </w:r>
      <w:r w:rsidR="008F31C6" w:rsidRPr="00F40B60">
        <w:rPr>
          <w:rFonts w:hint="cs"/>
          <w:rtl/>
        </w:rPr>
        <w:t xml:space="preserve"> מדובר </w:t>
      </w:r>
      <w:r w:rsidR="0027242B">
        <w:rPr>
          <w:rFonts w:hint="cs"/>
          <w:rtl/>
        </w:rPr>
        <w:t>בתהליך</w:t>
      </w:r>
      <w:r w:rsidR="0027242B" w:rsidRPr="00F40B60">
        <w:rPr>
          <w:rFonts w:hint="cs"/>
          <w:rtl/>
        </w:rPr>
        <w:t xml:space="preserve"> </w:t>
      </w:r>
      <w:r w:rsidR="008F31C6" w:rsidRPr="00F40B60">
        <w:rPr>
          <w:rFonts w:hint="cs"/>
          <w:rtl/>
        </w:rPr>
        <w:t>מרכזי בעבודת הפיקוח</w:t>
      </w:r>
      <w:r w:rsidR="003A0326" w:rsidRPr="00F40B60">
        <w:rPr>
          <w:rFonts w:hint="cs"/>
          <w:rtl/>
        </w:rPr>
        <w:t xml:space="preserve"> על הבנקים</w:t>
      </w:r>
      <w:r w:rsidR="008F31C6" w:rsidRPr="00F40B60">
        <w:rPr>
          <w:rFonts w:hint="cs"/>
          <w:rtl/>
        </w:rPr>
        <w:t xml:space="preserve">, </w:t>
      </w:r>
      <w:r w:rsidR="00247AC5" w:rsidRPr="00F40B60">
        <w:rPr>
          <w:rFonts w:hint="cs"/>
          <w:rtl/>
        </w:rPr>
        <w:t xml:space="preserve">וכלל אגפיו </w:t>
      </w:r>
      <w:r w:rsidR="008F31C6" w:rsidRPr="00F40B60">
        <w:rPr>
          <w:rFonts w:hint="cs"/>
          <w:rtl/>
        </w:rPr>
        <w:t>שותפים לו</w:t>
      </w:r>
      <w:r w:rsidR="00247AC5" w:rsidRPr="00F40B60">
        <w:rPr>
          <w:rFonts w:hint="cs"/>
          <w:rtl/>
        </w:rPr>
        <w:t>.</w:t>
      </w:r>
      <w:r w:rsidR="003E7E5E" w:rsidRPr="00F40B60">
        <w:rPr>
          <w:rFonts w:hint="cs"/>
          <w:rtl/>
        </w:rPr>
        <w:t xml:space="preserve"> </w:t>
      </w:r>
    </w:p>
    <w:p w:rsidR="00D615CE" w:rsidRDefault="00D615CE" w:rsidP="00D615CE">
      <w:pPr>
        <w:rPr>
          <w:rFonts w:hint="cs"/>
          <w:rtl/>
        </w:rPr>
      </w:pPr>
    </w:p>
    <w:p w:rsidR="00100643" w:rsidRPr="00F40B60" w:rsidRDefault="00D615CE" w:rsidP="00A6636C">
      <w:pPr>
        <w:rPr>
          <w:rFonts w:hint="cs"/>
          <w:rtl/>
        </w:rPr>
      </w:pPr>
      <w:r w:rsidRPr="00F40B60">
        <w:rPr>
          <w:rFonts w:hint="cs"/>
          <w:rtl/>
        </w:rPr>
        <w:t>ה-</w:t>
      </w:r>
      <w:r w:rsidRPr="00F40B60">
        <w:rPr>
          <w:szCs w:val="22"/>
        </w:rPr>
        <w:t>SREP</w:t>
      </w:r>
      <w:r w:rsidRPr="00F40B60">
        <w:rPr>
          <w:rFonts w:hint="cs"/>
          <w:rtl/>
        </w:rPr>
        <w:t xml:space="preserve"> נערך ברמת הקבוצה הבנקאית (</w:t>
      </w:r>
      <w:r>
        <w:rPr>
          <w:rFonts w:hint="cs"/>
          <w:rtl/>
        </w:rPr>
        <w:t xml:space="preserve">כלומר </w:t>
      </w:r>
      <w:r w:rsidRPr="00F40B60">
        <w:rPr>
          <w:rFonts w:hint="cs"/>
          <w:rtl/>
        </w:rPr>
        <w:t>על בסיס מאוחד) ובדגש על התהליכים בחברת האם. לרוב הוא מתייחס לחמש הקבוצות הבנקאיות הגדולות (הפועלים, לאומי, דיסקונט, מזרחי-טפחות והבינלאומי) ולבנקים העצמאיים (אִגוד וירושלים). הודות לאופיו המובנה הוא</w:t>
      </w:r>
      <w:r w:rsidR="00B450E2">
        <w:rPr>
          <w:rFonts w:hint="cs"/>
          <w:rtl/>
        </w:rPr>
        <w:t xml:space="preserve"> מאפשר</w:t>
      </w:r>
      <w:r w:rsidRPr="00F40B60">
        <w:rPr>
          <w:rFonts w:hint="cs"/>
          <w:rtl/>
        </w:rPr>
        <w:t xml:space="preserve"> להעריך ולהבין את הסיכונים בכל בנק בנפרד</w:t>
      </w:r>
      <w:r w:rsidR="00B450E2">
        <w:rPr>
          <w:rFonts w:hint="cs"/>
          <w:rtl/>
        </w:rPr>
        <w:t xml:space="preserve"> </w:t>
      </w:r>
      <w:r w:rsidR="00A6636C">
        <w:rPr>
          <w:rFonts w:hint="cs"/>
          <w:rtl/>
        </w:rPr>
        <w:t>ו</w:t>
      </w:r>
      <w:r w:rsidRPr="00F40B60">
        <w:rPr>
          <w:rFonts w:hint="cs"/>
          <w:rtl/>
        </w:rPr>
        <w:t xml:space="preserve">גם להשוות בין הבנקים, לזהות תחומים וסיכונים חריגים בבנק ספציפי </w:t>
      </w:r>
      <w:r w:rsidR="00A6636C">
        <w:rPr>
          <w:rFonts w:hint="cs"/>
          <w:rtl/>
        </w:rPr>
        <w:t xml:space="preserve">וגם </w:t>
      </w:r>
      <w:r w:rsidRPr="00F40B60">
        <w:rPr>
          <w:rFonts w:hint="cs"/>
          <w:rtl/>
        </w:rPr>
        <w:t>לזהות מגמות סיכון ברמה המערכתית.</w:t>
      </w:r>
    </w:p>
    <w:p w:rsidR="00100643" w:rsidRPr="00F40B60" w:rsidRDefault="00100643" w:rsidP="00855754">
      <w:pPr>
        <w:rPr>
          <w:rFonts w:hint="cs"/>
          <w:rtl/>
        </w:rPr>
      </w:pPr>
    </w:p>
    <w:p w:rsidR="00100643" w:rsidRPr="00F40B60" w:rsidRDefault="003E7E5E" w:rsidP="003E7E5E">
      <w:pPr>
        <w:rPr>
          <w:rFonts w:hint="cs"/>
          <w:rtl/>
        </w:rPr>
      </w:pPr>
      <w:r w:rsidRPr="00F40B60">
        <w:rPr>
          <w:rFonts w:hint="cs"/>
          <w:rtl/>
        </w:rPr>
        <w:t>ל</w:t>
      </w:r>
      <w:r w:rsidR="004A4DDD" w:rsidRPr="00F40B60">
        <w:rPr>
          <w:rFonts w:hint="cs"/>
          <w:rtl/>
        </w:rPr>
        <w:t>-</w:t>
      </w:r>
      <w:r w:rsidR="004A4DDD" w:rsidRPr="00F40B60">
        <w:rPr>
          <w:szCs w:val="22"/>
        </w:rPr>
        <w:t>SREP</w:t>
      </w:r>
      <w:r w:rsidR="00CD4325" w:rsidRPr="00F40B60">
        <w:rPr>
          <w:rFonts w:hint="cs"/>
          <w:rtl/>
        </w:rPr>
        <w:t xml:space="preserve"> </w:t>
      </w:r>
      <w:r w:rsidRPr="00F40B60">
        <w:rPr>
          <w:rFonts w:hint="cs"/>
          <w:rtl/>
        </w:rPr>
        <w:t>כמה</w:t>
      </w:r>
      <w:r w:rsidR="00821FAF" w:rsidRPr="00F40B60">
        <w:rPr>
          <w:rFonts w:hint="cs"/>
          <w:rtl/>
        </w:rPr>
        <w:t xml:space="preserve"> מטרות</w:t>
      </w:r>
      <w:r w:rsidR="00CD4325" w:rsidRPr="00F40B60">
        <w:rPr>
          <w:rFonts w:hint="cs"/>
          <w:rtl/>
        </w:rPr>
        <w:t xml:space="preserve"> מרכזיות</w:t>
      </w:r>
      <w:r w:rsidR="009B3860" w:rsidRPr="00F40B60">
        <w:rPr>
          <w:rFonts w:hint="cs"/>
          <w:rtl/>
        </w:rPr>
        <w:t xml:space="preserve"> (תוצרים</w:t>
      </w:r>
      <w:r w:rsidR="008833CF">
        <w:rPr>
          <w:rFonts w:hint="cs"/>
          <w:rtl/>
        </w:rPr>
        <w:t xml:space="preserve"> מרכזיים</w:t>
      </w:r>
      <w:r w:rsidR="009B3860" w:rsidRPr="00F40B60">
        <w:rPr>
          <w:rFonts w:hint="cs"/>
          <w:rtl/>
        </w:rPr>
        <w:t>)</w:t>
      </w:r>
      <w:r w:rsidR="00CD4325" w:rsidRPr="00F40B60">
        <w:rPr>
          <w:rFonts w:hint="cs"/>
          <w:rtl/>
        </w:rPr>
        <w:t>:</w:t>
      </w:r>
    </w:p>
    <w:p w:rsidR="00100643" w:rsidRPr="00F40B60" w:rsidRDefault="002F1725" w:rsidP="00B65557">
      <w:pPr>
        <w:pStyle w:val="1"/>
        <w:numPr>
          <w:ilvl w:val="0"/>
          <w:numId w:val="2"/>
        </w:numPr>
        <w:rPr>
          <w:rFonts w:hint="cs"/>
          <w:sz w:val="24"/>
        </w:rPr>
      </w:pPr>
      <w:r>
        <w:rPr>
          <w:rFonts w:hint="cs"/>
          <w:sz w:val="24"/>
          <w:rtl/>
        </w:rPr>
        <w:t xml:space="preserve">במידת הצורך </w:t>
      </w:r>
      <w:r w:rsidR="003E7E5E" w:rsidRPr="00964664">
        <w:rPr>
          <w:rFonts w:hint="cs"/>
          <w:b/>
          <w:bCs/>
          <w:sz w:val="24"/>
          <w:rtl/>
        </w:rPr>
        <w:t xml:space="preserve">לקבוע לבנק </w:t>
      </w:r>
      <w:r w:rsidR="00CD4325" w:rsidRPr="00964664">
        <w:rPr>
          <w:rFonts w:hint="cs"/>
          <w:b/>
          <w:bCs/>
          <w:sz w:val="24"/>
          <w:rtl/>
        </w:rPr>
        <w:t>דרישת הון מעודכנת</w:t>
      </w:r>
      <w:r w:rsidR="003E7E5E" w:rsidRPr="00F40B60">
        <w:rPr>
          <w:rFonts w:hint="cs"/>
          <w:sz w:val="24"/>
          <w:rtl/>
        </w:rPr>
        <w:t xml:space="preserve"> </w:t>
      </w:r>
      <w:r w:rsidR="003E7E5E" w:rsidRPr="00F40B60">
        <w:rPr>
          <w:sz w:val="24"/>
          <w:rtl/>
        </w:rPr>
        <w:t>–</w:t>
      </w:r>
      <w:r w:rsidR="005D62A0" w:rsidRPr="00F40B60">
        <w:rPr>
          <w:rFonts w:hint="cs"/>
          <w:sz w:val="24"/>
          <w:rtl/>
        </w:rPr>
        <w:t xml:space="preserve"> </w:t>
      </w:r>
      <w:r w:rsidR="003E7E5E" w:rsidRPr="00F40B60">
        <w:rPr>
          <w:rFonts w:hint="cs"/>
          <w:sz w:val="24"/>
          <w:rtl/>
        </w:rPr>
        <w:t xml:space="preserve">כלומר </w:t>
      </w:r>
      <w:r w:rsidR="005D62A0" w:rsidRPr="00F40B60">
        <w:rPr>
          <w:rFonts w:hint="cs"/>
          <w:sz w:val="24"/>
          <w:rtl/>
        </w:rPr>
        <w:t xml:space="preserve">תוספות הון שישמשו כרית לספיגת הפסדים </w:t>
      </w:r>
      <w:r w:rsidR="003E7E5E" w:rsidRPr="00F40B60">
        <w:rPr>
          <w:rFonts w:hint="cs"/>
          <w:sz w:val="24"/>
          <w:rtl/>
        </w:rPr>
        <w:t xml:space="preserve">בלתי </w:t>
      </w:r>
      <w:r w:rsidR="005D62A0" w:rsidRPr="00F40B60">
        <w:rPr>
          <w:rFonts w:hint="cs"/>
          <w:sz w:val="24"/>
          <w:rtl/>
        </w:rPr>
        <w:t>צפויים וישפרו את יציבות הבנק</w:t>
      </w:r>
      <w:r w:rsidR="00CD4325" w:rsidRPr="00F40B60">
        <w:rPr>
          <w:rFonts w:hint="cs"/>
          <w:sz w:val="24"/>
          <w:rtl/>
        </w:rPr>
        <w:t>.</w:t>
      </w:r>
    </w:p>
    <w:p w:rsidR="00100643" w:rsidRPr="00F40B60" w:rsidRDefault="00D615CE" w:rsidP="007D544E">
      <w:pPr>
        <w:pStyle w:val="1"/>
        <w:rPr>
          <w:rFonts w:hint="cs"/>
          <w:sz w:val="24"/>
        </w:rPr>
      </w:pPr>
      <w:r>
        <w:rPr>
          <w:rFonts w:hint="cs"/>
          <w:sz w:val="24"/>
          <w:rtl/>
        </w:rPr>
        <w:t>לגבש ל</w:t>
      </w:r>
      <w:r w:rsidR="005D62A0" w:rsidRPr="00F40B60">
        <w:rPr>
          <w:rFonts w:hint="cs"/>
          <w:sz w:val="24"/>
          <w:rtl/>
        </w:rPr>
        <w:t>בנק</w:t>
      </w:r>
      <w:r w:rsidR="00770A4E" w:rsidRPr="00F40B60">
        <w:rPr>
          <w:rFonts w:hint="cs"/>
          <w:sz w:val="24"/>
          <w:rtl/>
        </w:rPr>
        <w:t xml:space="preserve"> </w:t>
      </w:r>
      <w:r w:rsidRPr="00964664">
        <w:rPr>
          <w:rFonts w:hint="cs"/>
          <w:b/>
          <w:bCs/>
          <w:sz w:val="24"/>
          <w:rtl/>
        </w:rPr>
        <w:t>דרישות בנוגע</w:t>
      </w:r>
      <w:r w:rsidR="007F17FF" w:rsidRPr="00964664">
        <w:rPr>
          <w:rFonts w:hint="cs"/>
          <w:b/>
          <w:bCs/>
          <w:sz w:val="24"/>
          <w:rtl/>
        </w:rPr>
        <w:t xml:space="preserve"> </w:t>
      </w:r>
      <w:r w:rsidRPr="00964664">
        <w:rPr>
          <w:rFonts w:hint="cs"/>
          <w:b/>
          <w:bCs/>
          <w:sz w:val="24"/>
          <w:rtl/>
        </w:rPr>
        <w:t>ל</w:t>
      </w:r>
      <w:r w:rsidR="007F17FF" w:rsidRPr="00964664">
        <w:rPr>
          <w:rFonts w:hint="cs"/>
          <w:b/>
          <w:bCs/>
          <w:sz w:val="24"/>
          <w:rtl/>
        </w:rPr>
        <w:t>צעדים ל</w:t>
      </w:r>
      <w:r w:rsidR="00770A4E" w:rsidRPr="00964664">
        <w:rPr>
          <w:rFonts w:hint="cs"/>
          <w:b/>
          <w:bCs/>
          <w:sz w:val="24"/>
          <w:rtl/>
        </w:rPr>
        <w:t>הפחתת סיכונים</w:t>
      </w:r>
      <w:r w:rsidR="00770A4E" w:rsidRPr="00F40B60">
        <w:rPr>
          <w:rFonts w:hint="cs"/>
          <w:sz w:val="24"/>
          <w:rtl/>
        </w:rPr>
        <w:t xml:space="preserve"> ול</w:t>
      </w:r>
      <w:r w:rsidR="00CD4325" w:rsidRPr="00F40B60">
        <w:rPr>
          <w:rFonts w:hint="cs"/>
          <w:sz w:val="24"/>
          <w:rtl/>
        </w:rPr>
        <w:t>תיקון תהליכים.</w:t>
      </w:r>
    </w:p>
    <w:p w:rsidR="00100643" w:rsidRPr="00F40B60" w:rsidRDefault="003E7E5E" w:rsidP="003E7E5E">
      <w:pPr>
        <w:pStyle w:val="1"/>
        <w:rPr>
          <w:rFonts w:hint="cs"/>
          <w:sz w:val="24"/>
          <w:rtl/>
        </w:rPr>
      </w:pPr>
      <w:r w:rsidRPr="00964664">
        <w:rPr>
          <w:rFonts w:hint="cs"/>
          <w:b/>
          <w:bCs/>
          <w:sz w:val="24"/>
          <w:rtl/>
        </w:rPr>
        <w:t xml:space="preserve">לעדכן את </w:t>
      </w:r>
      <w:r w:rsidR="00CD4325" w:rsidRPr="00964664">
        <w:rPr>
          <w:rFonts w:hint="cs"/>
          <w:b/>
          <w:bCs/>
          <w:sz w:val="24"/>
          <w:rtl/>
        </w:rPr>
        <w:t>תוכנית העבודה</w:t>
      </w:r>
      <w:r w:rsidR="00770A4E" w:rsidRPr="00964664">
        <w:rPr>
          <w:rFonts w:hint="cs"/>
          <w:b/>
          <w:bCs/>
          <w:sz w:val="24"/>
          <w:rtl/>
        </w:rPr>
        <w:t xml:space="preserve"> הפיקוחית</w:t>
      </w:r>
      <w:r w:rsidR="00770A4E" w:rsidRPr="00F40B60">
        <w:rPr>
          <w:rFonts w:hint="cs"/>
          <w:sz w:val="24"/>
          <w:rtl/>
        </w:rPr>
        <w:t xml:space="preserve"> מבוססת</w:t>
      </w:r>
      <w:r w:rsidRPr="00F40B60">
        <w:rPr>
          <w:rFonts w:hint="cs"/>
          <w:sz w:val="24"/>
          <w:rtl/>
        </w:rPr>
        <w:t xml:space="preserve"> ה</w:t>
      </w:r>
      <w:r w:rsidR="00770A4E" w:rsidRPr="00F40B60">
        <w:rPr>
          <w:rFonts w:hint="cs"/>
          <w:sz w:val="24"/>
          <w:rtl/>
        </w:rPr>
        <w:t>סיכון</w:t>
      </w:r>
      <w:r w:rsidR="00CD4325" w:rsidRPr="00F40B60">
        <w:rPr>
          <w:rFonts w:hint="cs"/>
          <w:sz w:val="24"/>
          <w:rtl/>
        </w:rPr>
        <w:t>.</w:t>
      </w:r>
    </w:p>
    <w:p w:rsidR="00855754" w:rsidRPr="00F40B60" w:rsidRDefault="00855754" w:rsidP="00855754">
      <w:pPr>
        <w:rPr>
          <w:rFonts w:hint="cs"/>
          <w:rtl/>
        </w:rPr>
      </w:pPr>
    </w:p>
    <w:p w:rsidR="005B432B" w:rsidRPr="00F40B60" w:rsidRDefault="002F1725" w:rsidP="00B65557">
      <w:pPr>
        <w:rPr>
          <w:rFonts w:hint="cs"/>
          <w:rtl/>
        </w:rPr>
      </w:pPr>
      <w:r>
        <w:rPr>
          <w:rFonts w:hint="cs"/>
          <w:rtl/>
        </w:rPr>
        <w:t>אפשר לחלק את ה</w:t>
      </w:r>
      <w:r w:rsidR="004A4DDD" w:rsidRPr="00F40B60">
        <w:rPr>
          <w:rFonts w:hint="cs"/>
          <w:rtl/>
        </w:rPr>
        <w:t>-</w:t>
      </w:r>
      <w:r w:rsidR="004A4DDD" w:rsidRPr="00F40B60">
        <w:rPr>
          <w:szCs w:val="22"/>
        </w:rPr>
        <w:t>SREP</w:t>
      </w:r>
      <w:r w:rsidR="00855754" w:rsidRPr="00F40B60">
        <w:rPr>
          <w:rFonts w:hint="cs"/>
          <w:rtl/>
        </w:rPr>
        <w:t xml:space="preserve"> </w:t>
      </w:r>
      <w:r>
        <w:rPr>
          <w:rFonts w:hint="cs"/>
          <w:rtl/>
        </w:rPr>
        <w:t xml:space="preserve">לשלושה שלבים עיקריים. תחילה </w:t>
      </w:r>
      <w:r w:rsidR="00855754" w:rsidRPr="00F40B60">
        <w:rPr>
          <w:rFonts w:hint="cs"/>
          <w:rtl/>
        </w:rPr>
        <w:t xml:space="preserve">כלכלני הפיקוח </w:t>
      </w:r>
      <w:r w:rsidR="002F2614" w:rsidRPr="00F40B60">
        <w:rPr>
          <w:rFonts w:hint="cs"/>
          <w:rtl/>
        </w:rPr>
        <w:t>מעריכים</w:t>
      </w:r>
      <w:r w:rsidR="00855754" w:rsidRPr="00F40B60">
        <w:rPr>
          <w:rFonts w:hint="cs"/>
          <w:rtl/>
        </w:rPr>
        <w:t xml:space="preserve"> את הסיכון המובנה בפעילויות הבנק השונות</w:t>
      </w:r>
      <w:r w:rsidR="00CD4325" w:rsidRPr="00F40B60">
        <w:rPr>
          <w:rFonts w:hint="cs"/>
          <w:rtl/>
        </w:rPr>
        <w:t xml:space="preserve"> (סיכון </w:t>
      </w:r>
      <w:r w:rsidR="002F2614" w:rsidRPr="00F40B60">
        <w:rPr>
          <w:rFonts w:hint="cs"/>
          <w:rtl/>
        </w:rPr>
        <w:t>ה</w:t>
      </w:r>
      <w:r w:rsidR="00CD4325" w:rsidRPr="00F40B60">
        <w:rPr>
          <w:rFonts w:hint="cs"/>
          <w:rtl/>
        </w:rPr>
        <w:t xml:space="preserve">אשראי, סיכון </w:t>
      </w:r>
      <w:r w:rsidR="002F2614" w:rsidRPr="00F40B60">
        <w:rPr>
          <w:rFonts w:hint="cs"/>
          <w:rtl/>
        </w:rPr>
        <w:t>ה</w:t>
      </w:r>
      <w:r w:rsidR="00CD4325" w:rsidRPr="00F40B60">
        <w:rPr>
          <w:rFonts w:hint="cs"/>
          <w:rtl/>
        </w:rPr>
        <w:t xml:space="preserve">נזילות, סיכוני </w:t>
      </w:r>
      <w:r w:rsidR="002F2614" w:rsidRPr="00F40B60">
        <w:rPr>
          <w:rFonts w:hint="cs"/>
          <w:rtl/>
        </w:rPr>
        <w:t>ה</w:t>
      </w:r>
      <w:r w:rsidR="00CD4325" w:rsidRPr="00F40B60">
        <w:rPr>
          <w:rFonts w:hint="cs"/>
          <w:rtl/>
        </w:rPr>
        <w:t xml:space="preserve">שוק, </w:t>
      </w:r>
      <w:r w:rsidR="002F2614" w:rsidRPr="00F40B60">
        <w:rPr>
          <w:rFonts w:hint="cs"/>
          <w:rtl/>
        </w:rPr>
        <w:t>ה</w:t>
      </w:r>
      <w:r w:rsidR="00CD4325" w:rsidRPr="00F40B60">
        <w:rPr>
          <w:rFonts w:hint="cs"/>
          <w:rtl/>
        </w:rPr>
        <w:t xml:space="preserve">סיכונים </w:t>
      </w:r>
      <w:r w:rsidR="002F2614" w:rsidRPr="00F40B60">
        <w:rPr>
          <w:rFonts w:hint="cs"/>
          <w:rtl/>
        </w:rPr>
        <w:t>ה</w:t>
      </w:r>
      <w:r w:rsidR="00CD4325" w:rsidRPr="00F40B60">
        <w:rPr>
          <w:rFonts w:hint="cs"/>
          <w:rtl/>
        </w:rPr>
        <w:t xml:space="preserve">תפעוליים, סיכוני </w:t>
      </w:r>
      <w:r w:rsidR="002F2614" w:rsidRPr="00F40B60">
        <w:rPr>
          <w:rFonts w:hint="cs"/>
          <w:rtl/>
        </w:rPr>
        <w:t>ה</w:t>
      </w:r>
      <w:r w:rsidR="00CD4325" w:rsidRPr="00F40B60">
        <w:rPr>
          <w:rFonts w:hint="cs"/>
          <w:rtl/>
        </w:rPr>
        <w:t>ציות</w:t>
      </w:r>
      <w:r w:rsidR="00BD39B9" w:rsidRPr="00F40B60">
        <w:rPr>
          <w:rFonts w:hint="cs"/>
          <w:rtl/>
        </w:rPr>
        <w:t xml:space="preserve">, </w:t>
      </w:r>
      <w:r w:rsidR="002F2614" w:rsidRPr="00F40B60">
        <w:rPr>
          <w:rFonts w:hint="cs"/>
          <w:rtl/>
        </w:rPr>
        <w:t>ה</w:t>
      </w:r>
      <w:r w:rsidR="00BD39B9" w:rsidRPr="00F40B60">
        <w:rPr>
          <w:rFonts w:hint="cs"/>
          <w:rtl/>
        </w:rPr>
        <w:t>אסטרטגיה ו</w:t>
      </w:r>
      <w:r w:rsidR="002F2614" w:rsidRPr="00F40B60">
        <w:rPr>
          <w:rFonts w:hint="cs"/>
          <w:rtl/>
        </w:rPr>
        <w:t>ה</w:t>
      </w:r>
      <w:r w:rsidR="00BD39B9" w:rsidRPr="00F40B60">
        <w:rPr>
          <w:rFonts w:hint="cs"/>
          <w:rtl/>
        </w:rPr>
        <w:t>מודל עסקי</w:t>
      </w:r>
      <w:r w:rsidR="00CD4325" w:rsidRPr="00F40B60">
        <w:rPr>
          <w:rFonts w:hint="cs"/>
          <w:rtl/>
        </w:rPr>
        <w:t>),</w:t>
      </w:r>
      <w:r w:rsidR="00855754" w:rsidRPr="00F40B60">
        <w:rPr>
          <w:rFonts w:hint="cs"/>
          <w:rtl/>
        </w:rPr>
        <w:t xml:space="preserve"> ואת איכות ניהול</w:t>
      </w:r>
      <w:r w:rsidR="002F2614" w:rsidRPr="00F40B60">
        <w:rPr>
          <w:rFonts w:hint="cs"/>
          <w:rtl/>
        </w:rPr>
        <w:t>ם</w:t>
      </w:r>
      <w:r w:rsidR="00855754" w:rsidRPr="00F40B60">
        <w:rPr>
          <w:rFonts w:hint="cs"/>
          <w:rtl/>
        </w:rPr>
        <w:t xml:space="preserve">. נוסף </w:t>
      </w:r>
      <w:r w:rsidR="002F2614" w:rsidRPr="00F40B60">
        <w:rPr>
          <w:rFonts w:hint="cs"/>
          <w:rtl/>
        </w:rPr>
        <w:t>לכך הם מעריכים</w:t>
      </w:r>
      <w:r w:rsidR="005C3161" w:rsidRPr="00F40B60">
        <w:rPr>
          <w:rFonts w:hint="cs"/>
          <w:rtl/>
        </w:rPr>
        <w:t xml:space="preserve"> </w:t>
      </w:r>
      <w:r w:rsidR="002F2614" w:rsidRPr="00F40B60">
        <w:rPr>
          <w:rFonts w:hint="cs"/>
          <w:rtl/>
        </w:rPr>
        <w:t>את ה</w:t>
      </w:r>
      <w:r w:rsidR="005C3161" w:rsidRPr="00F40B60">
        <w:rPr>
          <w:rFonts w:hint="cs"/>
          <w:rtl/>
        </w:rPr>
        <w:t xml:space="preserve">פונקציות </w:t>
      </w:r>
      <w:r w:rsidR="002F2614" w:rsidRPr="00F40B60">
        <w:rPr>
          <w:rFonts w:hint="cs"/>
          <w:rtl/>
        </w:rPr>
        <w:t>ה</w:t>
      </w:r>
      <w:r w:rsidR="005C3161" w:rsidRPr="00F40B60">
        <w:rPr>
          <w:rFonts w:hint="cs"/>
          <w:rtl/>
        </w:rPr>
        <w:t>מרכזיות ב</w:t>
      </w:r>
      <w:r w:rsidR="00CD4325" w:rsidRPr="00F40B60">
        <w:rPr>
          <w:rFonts w:hint="cs"/>
          <w:rtl/>
        </w:rPr>
        <w:t>ממשל התאגידי (</w:t>
      </w:r>
      <w:r w:rsidR="002F2614" w:rsidRPr="00F40B60">
        <w:rPr>
          <w:rFonts w:hint="cs"/>
          <w:rtl/>
        </w:rPr>
        <w:t>ה</w:t>
      </w:r>
      <w:r w:rsidR="00CD4325" w:rsidRPr="00F40B60">
        <w:rPr>
          <w:rFonts w:hint="cs"/>
          <w:rtl/>
        </w:rPr>
        <w:t xml:space="preserve">דירקטוריון, </w:t>
      </w:r>
      <w:r w:rsidR="002F2614" w:rsidRPr="00F40B60">
        <w:rPr>
          <w:rFonts w:hint="cs"/>
          <w:rtl/>
        </w:rPr>
        <w:t>ה</w:t>
      </w:r>
      <w:r w:rsidR="00CD4325" w:rsidRPr="00F40B60">
        <w:rPr>
          <w:rFonts w:hint="cs"/>
          <w:rtl/>
        </w:rPr>
        <w:t>ה</w:t>
      </w:r>
      <w:r w:rsidR="008B15AC" w:rsidRPr="00F40B60">
        <w:rPr>
          <w:rFonts w:hint="cs"/>
          <w:rtl/>
        </w:rPr>
        <w:t xml:space="preserve">נהלה, </w:t>
      </w:r>
      <w:r w:rsidR="00B03C9E" w:rsidRPr="00F40B60">
        <w:rPr>
          <w:rFonts w:hint="cs"/>
          <w:rtl/>
        </w:rPr>
        <w:t>ניהול</w:t>
      </w:r>
      <w:r w:rsidR="008B15AC" w:rsidRPr="00F40B60">
        <w:rPr>
          <w:rFonts w:hint="cs"/>
          <w:rtl/>
        </w:rPr>
        <w:t xml:space="preserve"> </w:t>
      </w:r>
      <w:r w:rsidR="002F2614" w:rsidRPr="00F40B60">
        <w:rPr>
          <w:rFonts w:hint="cs"/>
          <w:rtl/>
        </w:rPr>
        <w:t>ה</w:t>
      </w:r>
      <w:r w:rsidR="008B15AC" w:rsidRPr="00F40B60">
        <w:rPr>
          <w:rFonts w:hint="cs"/>
          <w:rtl/>
        </w:rPr>
        <w:t xml:space="preserve">סיכונים, </w:t>
      </w:r>
      <w:r w:rsidR="00B03C9E" w:rsidRPr="00F40B60">
        <w:rPr>
          <w:rFonts w:hint="cs"/>
          <w:rtl/>
        </w:rPr>
        <w:t>ביקורת</w:t>
      </w:r>
      <w:r w:rsidR="008B15AC" w:rsidRPr="00F40B60">
        <w:rPr>
          <w:rFonts w:hint="cs"/>
          <w:rtl/>
        </w:rPr>
        <w:t xml:space="preserve"> </w:t>
      </w:r>
      <w:r w:rsidR="002F2614" w:rsidRPr="00F40B60">
        <w:rPr>
          <w:rFonts w:hint="cs"/>
          <w:rtl/>
        </w:rPr>
        <w:t>ה</w:t>
      </w:r>
      <w:r w:rsidR="008B15AC" w:rsidRPr="00F40B60">
        <w:rPr>
          <w:rFonts w:hint="cs"/>
          <w:rtl/>
        </w:rPr>
        <w:t>פני</w:t>
      </w:r>
      <w:r w:rsidR="002F2614" w:rsidRPr="00F40B60">
        <w:rPr>
          <w:rFonts w:hint="cs"/>
          <w:rtl/>
        </w:rPr>
        <w:t>ם</w:t>
      </w:r>
      <w:r w:rsidR="008B15AC" w:rsidRPr="00F40B60">
        <w:rPr>
          <w:rFonts w:hint="cs"/>
          <w:rtl/>
        </w:rPr>
        <w:t>)</w:t>
      </w:r>
      <w:r w:rsidR="00CD4325" w:rsidRPr="00F40B60">
        <w:rPr>
          <w:rFonts w:hint="cs"/>
          <w:rtl/>
        </w:rPr>
        <w:t xml:space="preserve">, </w:t>
      </w:r>
      <w:r w:rsidR="002F2614" w:rsidRPr="00F40B60">
        <w:rPr>
          <w:rFonts w:hint="cs"/>
          <w:rtl/>
        </w:rPr>
        <w:t xml:space="preserve">ואת </w:t>
      </w:r>
      <w:r w:rsidR="00CD4325" w:rsidRPr="00F40B60">
        <w:rPr>
          <w:rFonts w:hint="cs"/>
          <w:rtl/>
        </w:rPr>
        <w:t>נאותות ההון העצמי</w:t>
      </w:r>
      <w:r w:rsidR="002F2614" w:rsidRPr="00F40B60">
        <w:rPr>
          <w:rFonts w:hint="cs"/>
          <w:rtl/>
        </w:rPr>
        <w:t xml:space="preserve"> ואיכותו</w:t>
      </w:r>
      <w:r w:rsidR="00CD4325" w:rsidRPr="00F40B60">
        <w:rPr>
          <w:rFonts w:hint="cs"/>
          <w:rtl/>
        </w:rPr>
        <w:t>.</w:t>
      </w:r>
    </w:p>
    <w:p w:rsidR="0054089E" w:rsidRPr="00F40B60" w:rsidRDefault="0054089E" w:rsidP="0054089E">
      <w:pPr>
        <w:rPr>
          <w:rtl/>
        </w:rPr>
      </w:pPr>
    </w:p>
    <w:p w:rsidR="0054089E" w:rsidRPr="00F40B60" w:rsidRDefault="00A45502" w:rsidP="00A44DC0">
      <w:pPr>
        <w:rPr>
          <w:rFonts w:hint="cs"/>
          <w:rtl/>
        </w:rPr>
      </w:pPr>
      <w:r w:rsidRPr="00F40B60">
        <w:rPr>
          <w:rFonts w:hint="cs"/>
          <w:rtl/>
        </w:rPr>
        <w:t xml:space="preserve">בשלב </w:t>
      </w:r>
      <w:r w:rsidR="002F1725">
        <w:rPr>
          <w:rFonts w:hint="cs"/>
          <w:rtl/>
        </w:rPr>
        <w:t>הבא</w:t>
      </w:r>
      <w:r w:rsidRPr="00F40B60">
        <w:rPr>
          <w:rFonts w:hint="cs"/>
          <w:rtl/>
        </w:rPr>
        <w:t xml:space="preserve"> כלל אגפי הפיקוח </w:t>
      </w:r>
      <w:r w:rsidR="00A44DC0">
        <w:rPr>
          <w:rFonts w:hint="cs"/>
          <w:rtl/>
        </w:rPr>
        <w:t xml:space="preserve">מאתגרים את </w:t>
      </w:r>
      <w:r w:rsidR="00CD4325" w:rsidRPr="00F40B60">
        <w:rPr>
          <w:rFonts w:hint="cs"/>
          <w:rtl/>
        </w:rPr>
        <w:t xml:space="preserve"> תוצאות</w:t>
      </w:r>
      <w:r w:rsidRPr="00F40B60">
        <w:rPr>
          <w:rFonts w:hint="cs"/>
          <w:rtl/>
        </w:rPr>
        <w:t>יו ומתקפים אותן</w:t>
      </w:r>
      <w:r w:rsidR="00CD4325" w:rsidRPr="00F40B60">
        <w:rPr>
          <w:rFonts w:hint="cs"/>
          <w:rtl/>
        </w:rPr>
        <w:t>. תוצאות התהליך נ</w:t>
      </w:r>
      <w:r w:rsidRPr="00F40B60">
        <w:rPr>
          <w:rFonts w:hint="cs"/>
          <w:rtl/>
        </w:rPr>
        <w:t>י</w:t>
      </w:r>
      <w:r w:rsidR="00CD4325" w:rsidRPr="00F40B60">
        <w:rPr>
          <w:rFonts w:hint="cs"/>
          <w:rtl/>
        </w:rPr>
        <w:t xml:space="preserve">דונות </w:t>
      </w:r>
      <w:r w:rsidRPr="00F40B60">
        <w:rPr>
          <w:rFonts w:hint="cs"/>
          <w:rtl/>
        </w:rPr>
        <w:t>ב</w:t>
      </w:r>
      <w:r w:rsidR="00CD4325" w:rsidRPr="00F40B60">
        <w:rPr>
          <w:rFonts w:hint="cs"/>
          <w:rtl/>
        </w:rPr>
        <w:t>הנהלת הפיקוח ולאחר מכן מוצגות לנגיד בנק ישראל.</w:t>
      </w:r>
    </w:p>
    <w:p w:rsidR="0054089E" w:rsidRPr="00F40B60" w:rsidRDefault="0054089E" w:rsidP="0054089E">
      <w:pPr>
        <w:rPr>
          <w:rFonts w:hint="cs"/>
          <w:rtl/>
        </w:rPr>
      </w:pPr>
    </w:p>
    <w:p w:rsidR="001A2B3D" w:rsidRDefault="002F1725" w:rsidP="00B65557">
      <w:pPr>
        <w:rPr>
          <w:rtl/>
        </w:rPr>
      </w:pPr>
      <w:r>
        <w:rPr>
          <w:rFonts w:hint="cs"/>
          <w:rtl/>
        </w:rPr>
        <w:lastRenderedPageBreak/>
        <w:t>לבסוף</w:t>
      </w:r>
      <w:r w:rsidR="0054089E" w:rsidRPr="00F40B60">
        <w:rPr>
          <w:rFonts w:hint="cs"/>
          <w:rtl/>
        </w:rPr>
        <w:t xml:space="preserve"> נערכות ישיבות עם דירקטוריון הבנק והנהלתו הבכירה, </w:t>
      </w:r>
      <w:r w:rsidR="00A45502" w:rsidRPr="00F40B60">
        <w:rPr>
          <w:rFonts w:hint="cs"/>
          <w:rtl/>
        </w:rPr>
        <w:t>ו</w:t>
      </w:r>
      <w:r w:rsidR="0054089E" w:rsidRPr="00F40B60">
        <w:rPr>
          <w:rFonts w:hint="cs"/>
          <w:rtl/>
        </w:rPr>
        <w:t xml:space="preserve">בהן נמסרים </w:t>
      </w:r>
      <w:r w:rsidR="00A45502" w:rsidRPr="00F40B60">
        <w:rPr>
          <w:rFonts w:hint="cs"/>
          <w:rtl/>
        </w:rPr>
        <w:t>לו</w:t>
      </w:r>
      <w:r w:rsidR="0054089E" w:rsidRPr="00F40B60">
        <w:rPr>
          <w:rFonts w:hint="cs"/>
          <w:rtl/>
        </w:rPr>
        <w:t xml:space="preserve"> עיקרי הממצאים ודרישות לשיפור או לתיקון. כמו כן נשלח לבנק מכתב מפורט </w:t>
      </w:r>
      <w:r w:rsidR="00A45502" w:rsidRPr="00F40B60">
        <w:rPr>
          <w:rFonts w:hint="cs"/>
          <w:rtl/>
        </w:rPr>
        <w:t>ש</w:t>
      </w:r>
      <w:r w:rsidR="0054089E" w:rsidRPr="00F40B60">
        <w:rPr>
          <w:rFonts w:hint="cs"/>
          <w:rtl/>
        </w:rPr>
        <w:t xml:space="preserve">כולל את </w:t>
      </w:r>
      <w:r w:rsidR="00A45502" w:rsidRPr="00F40B60">
        <w:rPr>
          <w:rFonts w:hint="cs"/>
          <w:rtl/>
        </w:rPr>
        <w:t>ה</w:t>
      </w:r>
      <w:r w:rsidR="0054089E" w:rsidRPr="00F40B60">
        <w:rPr>
          <w:rFonts w:hint="cs"/>
          <w:rtl/>
        </w:rPr>
        <w:t>ממצאי</w:t>
      </w:r>
      <w:r w:rsidR="00A45502" w:rsidRPr="00F40B60">
        <w:rPr>
          <w:rFonts w:hint="cs"/>
          <w:rtl/>
        </w:rPr>
        <w:t>ם</w:t>
      </w:r>
      <w:r w:rsidR="0054089E" w:rsidRPr="00F40B60">
        <w:rPr>
          <w:rFonts w:hint="cs"/>
          <w:rtl/>
        </w:rPr>
        <w:t xml:space="preserve"> ואת הציפיות והדרישות הפיקוחיות הנגזרות מהם. </w:t>
      </w:r>
    </w:p>
    <w:p w:rsidR="006D2681" w:rsidRPr="00F40B60" w:rsidRDefault="006D2681" w:rsidP="0054089E">
      <w:pPr>
        <w:rPr>
          <w:rtl/>
        </w:rPr>
      </w:pPr>
    </w:p>
    <w:p w:rsidR="006D2681" w:rsidRPr="00F40B60" w:rsidRDefault="00CD4325" w:rsidP="001A2828">
      <w:pPr>
        <w:rPr>
          <w:rFonts w:hint="cs"/>
          <w:u w:val="single"/>
          <w:rtl/>
        </w:rPr>
      </w:pPr>
      <w:r w:rsidRPr="00F40B60">
        <w:rPr>
          <w:rFonts w:hint="cs"/>
          <w:u w:val="single"/>
          <w:rtl/>
        </w:rPr>
        <w:t>מתודולוגיה סדורה מבוססת כרטיסי סיכון</w:t>
      </w:r>
      <w:r w:rsidR="005215C7" w:rsidRPr="00F40B60">
        <w:rPr>
          <w:rFonts w:hint="cs"/>
          <w:u w:val="single"/>
          <w:rtl/>
        </w:rPr>
        <w:t>/</w:t>
      </w:r>
      <w:r w:rsidR="00A45502" w:rsidRPr="00F40B60">
        <w:rPr>
          <w:rFonts w:hint="cs"/>
          <w:u w:val="single"/>
          <w:rtl/>
        </w:rPr>
        <w:t xml:space="preserve"> </w:t>
      </w:r>
      <w:r w:rsidR="005215C7" w:rsidRPr="00F40B60">
        <w:rPr>
          <w:rFonts w:hint="cs"/>
          <w:u w:val="single"/>
          <w:rtl/>
        </w:rPr>
        <w:t>הערכה</w:t>
      </w:r>
    </w:p>
    <w:p w:rsidR="00855754" w:rsidRPr="00F40B60" w:rsidRDefault="007D544E" w:rsidP="00B450E2">
      <w:pPr>
        <w:rPr>
          <w:rFonts w:hint="cs"/>
          <w:rtl/>
        </w:rPr>
      </w:pPr>
      <w:r>
        <w:rPr>
          <w:rFonts w:hint="cs"/>
          <w:rtl/>
        </w:rPr>
        <w:t xml:space="preserve">הפיקוח מקיים את </w:t>
      </w:r>
      <w:r w:rsidR="007F36B8" w:rsidRPr="00F40B60">
        <w:rPr>
          <w:rFonts w:hint="cs"/>
          <w:rtl/>
        </w:rPr>
        <w:t>הערכת</w:t>
      </w:r>
      <w:r w:rsidR="005B432B" w:rsidRPr="00F40B60">
        <w:rPr>
          <w:rFonts w:hint="cs"/>
          <w:rtl/>
        </w:rPr>
        <w:t xml:space="preserve"> </w:t>
      </w:r>
      <w:r w:rsidR="00ED4EC3" w:rsidRPr="00F40B60">
        <w:rPr>
          <w:rFonts w:hint="cs"/>
          <w:rtl/>
        </w:rPr>
        <w:t xml:space="preserve">הסיכונים </w:t>
      </w:r>
      <w:r w:rsidR="00B03C9E" w:rsidRPr="00F40B60">
        <w:rPr>
          <w:rFonts w:hint="cs"/>
          <w:rtl/>
        </w:rPr>
        <w:t>ו</w:t>
      </w:r>
      <w:r>
        <w:rPr>
          <w:rFonts w:hint="cs"/>
          <w:rtl/>
        </w:rPr>
        <w:t xml:space="preserve">את </w:t>
      </w:r>
      <w:r w:rsidR="001A2828" w:rsidRPr="00F40B60">
        <w:rPr>
          <w:rFonts w:hint="cs"/>
          <w:rtl/>
        </w:rPr>
        <w:t xml:space="preserve">הערכת </w:t>
      </w:r>
      <w:r w:rsidR="00B03C9E" w:rsidRPr="00F40B60">
        <w:rPr>
          <w:rFonts w:hint="cs"/>
          <w:rtl/>
        </w:rPr>
        <w:t>פונקציות</w:t>
      </w:r>
      <w:r w:rsidR="005B432B" w:rsidRPr="00F40B60">
        <w:rPr>
          <w:rFonts w:hint="cs"/>
          <w:rtl/>
        </w:rPr>
        <w:t xml:space="preserve"> הממשל התאגידי</w:t>
      </w:r>
      <w:r w:rsidR="00561ABA" w:rsidRPr="00F40B60">
        <w:rPr>
          <w:rFonts w:hint="cs"/>
          <w:rtl/>
        </w:rPr>
        <w:t xml:space="preserve"> </w:t>
      </w:r>
      <w:r w:rsidR="001A2828" w:rsidRPr="00F40B60">
        <w:rPr>
          <w:rtl/>
        </w:rPr>
        <w:t>–</w:t>
      </w:r>
      <w:r w:rsidR="00561ABA" w:rsidRPr="00F40B60">
        <w:rPr>
          <w:rFonts w:hint="cs"/>
          <w:rtl/>
        </w:rPr>
        <w:t xml:space="preserve"> לב ל</w:t>
      </w:r>
      <w:r w:rsidR="001A2828" w:rsidRPr="00F40B60">
        <w:rPr>
          <w:rFonts w:hint="cs"/>
          <w:rtl/>
        </w:rPr>
        <w:t>י</w:t>
      </w:r>
      <w:r w:rsidR="00561ABA" w:rsidRPr="00F40B60">
        <w:rPr>
          <w:rFonts w:hint="cs"/>
          <w:rtl/>
        </w:rPr>
        <w:t xml:space="preserve">בו של </w:t>
      </w:r>
      <w:r w:rsidR="00AF338B" w:rsidRPr="00F40B60">
        <w:rPr>
          <w:rFonts w:hint="cs"/>
          <w:rtl/>
        </w:rPr>
        <w:t>ה-</w:t>
      </w:r>
      <w:r w:rsidR="00AF338B" w:rsidRPr="00F40B60">
        <w:rPr>
          <w:rFonts w:hint="cs"/>
          <w:szCs w:val="22"/>
        </w:rPr>
        <w:t>SREP</w:t>
      </w:r>
      <w:r w:rsidR="00561ABA" w:rsidRPr="00F40B60">
        <w:rPr>
          <w:rFonts w:hint="cs"/>
          <w:rtl/>
        </w:rPr>
        <w:t xml:space="preserve"> </w:t>
      </w:r>
      <w:r w:rsidR="001A2828" w:rsidRPr="00F40B60">
        <w:rPr>
          <w:rtl/>
        </w:rPr>
        <w:t>–</w:t>
      </w:r>
      <w:r w:rsidR="005B432B" w:rsidRPr="00F40B60">
        <w:rPr>
          <w:rFonts w:hint="cs"/>
          <w:rtl/>
        </w:rPr>
        <w:t xml:space="preserve"> </w:t>
      </w:r>
      <w:r w:rsidR="001A2828" w:rsidRPr="00F40B60">
        <w:rPr>
          <w:rFonts w:hint="cs"/>
          <w:rtl/>
        </w:rPr>
        <w:t>לפי</w:t>
      </w:r>
      <w:r w:rsidR="00B03C9E" w:rsidRPr="00F40B60">
        <w:rPr>
          <w:rFonts w:hint="cs"/>
          <w:rtl/>
        </w:rPr>
        <w:t xml:space="preserve"> מתודולוגיה סדורה </w:t>
      </w:r>
      <w:r>
        <w:rPr>
          <w:rFonts w:hint="cs"/>
          <w:rtl/>
        </w:rPr>
        <w:t>שהוא גיבש</w:t>
      </w:r>
      <w:r w:rsidR="00B03C9E" w:rsidRPr="00F40B60">
        <w:rPr>
          <w:rFonts w:hint="cs"/>
          <w:rtl/>
        </w:rPr>
        <w:t xml:space="preserve"> לשם כך, </w:t>
      </w:r>
      <w:r w:rsidR="00B450E2">
        <w:rPr>
          <w:rFonts w:hint="cs"/>
          <w:rtl/>
        </w:rPr>
        <w:t xml:space="preserve">ומתודולוגיה זו </w:t>
      </w:r>
      <w:r w:rsidR="00B03C9E" w:rsidRPr="00F40B60">
        <w:rPr>
          <w:rFonts w:hint="cs"/>
          <w:rtl/>
        </w:rPr>
        <w:t>מבוססת על</w:t>
      </w:r>
      <w:r w:rsidR="005B432B" w:rsidRPr="00F40B60">
        <w:rPr>
          <w:rFonts w:hint="cs"/>
          <w:rtl/>
        </w:rPr>
        <w:t xml:space="preserve"> כרטיסי סיכון</w:t>
      </w:r>
      <w:r w:rsidR="001A2828" w:rsidRPr="00F40B60">
        <w:rPr>
          <w:rFonts w:hint="cs"/>
          <w:rtl/>
        </w:rPr>
        <w:t>/ הערכה</w:t>
      </w:r>
      <w:r w:rsidR="005B432B" w:rsidRPr="00F40B60">
        <w:rPr>
          <w:rFonts w:hint="cs"/>
          <w:rtl/>
        </w:rPr>
        <w:t xml:space="preserve"> ייעודיי</w:t>
      </w:r>
      <w:r w:rsidR="005B432B" w:rsidRPr="00F40B60">
        <w:rPr>
          <w:rFonts w:hint="eastAsia"/>
          <w:rtl/>
        </w:rPr>
        <w:t>ם</w:t>
      </w:r>
      <w:r w:rsidR="005B432B" w:rsidRPr="00F40B60">
        <w:rPr>
          <w:rFonts w:hint="cs"/>
          <w:rtl/>
        </w:rPr>
        <w:t xml:space="preserve"> (</w:t>
      </w:r>
      <w:r w:rsidR="005B432B" w:rsidRPr="00F40B60">
        <w:rPr>
          <w:szCs w:val="22"/>
        </w:rPr>
        <w:t>Risk Cards</w:t>
      </w:r>
      <w:r w:rsidR="00BB282E" w:rsidRPr="00F40B60">
        <w:rPr>
          <w:rFonts w:hint="cs"/>
          <w:rtl/>
        </w:rPr>
        <w:t xml:space="preserve"> או </w:t>
      </w:r>
      <w:r w:rsidR="00BB282E" w:rsidRPr="00F40B60">
        <w:rPr>
          <w:szCs w:val="22"/>
        </w:rPr>
        <w:t>Score Cards</w:t>
      </w:r>
      <w:r w:rsidR="005B432B" w:rsidRPr="00F40B60">
        <w:rPr>
          <w:rFonts w:hint="cs"/>
          <w:rtl/>
        </w:rPr>
        <w:t xml:space="preserve">). </w:t>
      </w:r>
      <w:r w:rsidR="004A496E">
        <w:rPr>
          <w:rFonts w:hint="cs"/>
          <w:rtl/>
        </w:rPr>
        <w:t xml:space="preserve">הפיקוח עדכן את </w:t>
      </w:r>
      <w:r w:rsidR="00630B8B" w:rsidRPr="00F40B60">
        <w:rPr>
          <w:rFonts w:hint="cs"/>
          <w:rtl/>
        </w:rPr>
        <w:t>המתודולוגי</w:t>
      </w:r>
      <w:r w:rsidR="00630B8B" w:rsidRPr="00F40B60">
        <w:rPr>
          <w:rFonts w:hint="eastAsia"/>
          <w:rtl/>
        </w:rPr>
        <w:t>ה</w:t>
      </w:r>
      <w:r w:rsidR="00630B8B" w:rsidRPr="00F40B60">
        <w:rPr>
          <w:rFonts w:hint="cs"/>
          <w:rtl/>
        </w:rPr>
        <w:t xml:space="preserve"> לאחרונה בשנת 2017, לאחר סקירה מקיפה של תהליכים דומים ברשויות פיקוח מובילות בעולם, בהתבסס על פרסומי ועדת באזל, ותוך התייחסות להמלצות </w:t>
      </w:r>
      <w:r w:rsidR="001A2828" w:rsidRPr="00F40B60">
        <w:rPr>
          <w:rFonts w:hint="cs"/>
          <w:rtl/>
        </w:rPr>
        <w:t>ש</w:t>
      </w:r>
      <w:r w:rsidR="00630B8B" w:rsidRPr="00F40B60">
        <w:rPr>
          <w:rFonts w:hint="cs"/>
          <w:rtl/>
        </w:rPr>
        <w:t>קרן המטבע הבי</w:t>
      </w:r>
      <w:r w:rsidR="001A2828" w:rsidRPr="00F40B60">
        <w:rPr>
          <w:rFonts w:hint="cs"/>
          <w:rtl/>
        </w:rPr>
        <w:t>ן-</w:t>
      </w:r>
      <w:r w:rsidR="00630B8B" w:rsidRPr="00F40B60">
        <w:rPr>
          <w:rFonts w:hint="cs"/>
          <w:rtl/>
        </w:rPr>
        <w:t>לאומית (</w:t>
      </w:r>
      <w:r w:rsidR="00630B8B" w:rsidRPr="00F40B60">
        <w:rPr>
          <w:szCs w:val="22"/>
        </w:rPr>
        <w:t>IMF</w:t>
      </w:r>
      <w:r w:rsidR="00630B8B" w:rsidRPr="00F40B60">
        <w:rPr>
          <w:rFonts w:hint="cs"/>
          <w:rtl/>
        </w:rPr>
        <w:t xml:space="preserve">) </w:t>
      </w:r>
      <w:r w:rsidR="001A2828" w:rsidRPr="00F40B60">
        <w:rPr>
          <w:rFonts w:hint="cs"/>
          <w:rtl/>
        </w:rPr>
        <w:t xml:space="preserve">גיבשה בעקבות </w:t>
      </w:r>
      <w:r w:rsidR="00630B8B" w:rsidRPr="00F40B60">
        <w:rPr>
          <w:rFonts w:hint="cs"/>
          <w:rtl/>
        </w:rPr>
        <w:t xml:space="preserve">ביקורת </w:t>
      </w:r>
      <w:r w:rsidR="00FB3F86" w:rsidRPr="00F40B60">
        <w:rPr>
          <w:rFonts w:hint="cs"/>
          <w:rtl/>
        </w:rPr>
        <w:t>שנ</w:t>
      </w:r>
      <w:r w:rsidR="001A2828" w:rsidRPr="00F40B60">
        <w:rPr>
          <w:rFonts w:hint="cs"/>
          <w:rtl/>
        </w:rPr>
        <w:t>ערכה ב-</w:t>
      </w:r>
      <w:r w:rsidR="00630B8B" w:rsidRPr="00F40B60">
        <w:rPr>
          <w:rFonts w:hint="cs"/>
          <w:rtl/>
        </w:rPr>
        <w:t>2016 והתמקדה בנושא זה.</w:t>
      </w:r>
    </w:p>
    <w:p w:rsidR="00C43F61" w:rsidRPr="00F40B60" w:rsidRDefault="00C43F61" w:rsidP="005C69CB">
      <w:pPr>
        <w:tabs>
          <w:tab w:val="clear" w:pos="567"/>
          <w:tab w:val="clear" w:pos="1134"/>
        </w:tabs>
        <w:outlineLvl w:val="0"/>
        <w:rPr>
          <w:kern w:val="28"/>
          <w:rtl/>
        </w:rPr>
      </w:pPr>
    </w:p>
    <w:p w:rsidR="003D4A05" w:rsidRPr="00F40B60" w:rsidRDefault="005C69CB" w:rsidP="004A496E">
      <w:pPr>
        <w:tabs>
          <w:tab w:val="clear" w:pos="567"/>
          <w:tab w:val="clear" w:pos="1134"/>
        </w:tabs>
        <w:outlineLvl w:val="0"/>
        <w:rPr>
          <w:rFonts w:hint="cs"/>
          <w:rtl/>
        </w:rPr>
      </w:pPr>
      <w:r w:rsidRPr="00F40B60">
        <w:rPr>
          <w:rFonts w:hint="cs"/>
          <w:kern w:val="28"/>
          <w:rtl/>
        </w:rPr>
        <w:t>כרטיס סיכון</w:t>
      </w:r>
      <w:r w:rsidR="001F33C0">
        <w:rPr>
          <w:rFonts w:hint="cs"/>
          <w:kern w:val="28"/>
          <w:rtl/>
        </w:rPr>
        <w:t>/ הערכה</w:t>
      </w:r>
      <w:r w:rsidRPr="00F40B60">
        <w:rPr>
          <w:rFonts w:hint="cs"/>
          <w:kern w:val="28"/>
          <w:rtl/>
        </w:rPr>
        <w:t xml:space="preserve"> </w:t>
      </w:r>
      <w:r w:rsidR="005C6730" w:rsidRPr="00F40B60">
        <w:rPr>
          <w:rFonts w:hint="cs"/>
          <w:kern w:val="28"/>
          <w:rtl/>
        </w:rPr>
        <w:t>הוא</w:t>
      </w:r>
      <w:r w:rsidRPr="00F40B60">
        <w:rPr>
          <w:rFonts w:hint="cs"/>
          <w:kern w:val="28"/>
          <w:rtl/>
        </w:rPr>
        <w:t xml:space="preserve"> כלי תומך החלטה</w:t>
      </w:r>
      <w:r w:rsidR="003C0EF7" w:rsidRPr="00F40B60">
        <w:rPr>
          <w:rFonts w:hint="cs"/>
          <w:kern w:val="28"/>
          <w:rtl/>
        </w:rPr>
        <w:t>.</w:t>
      </w:r>
      <w:r w:rsidRPr="00F40B60">
        <w:rPr>
          <w:rFonts w:hint="cs"/>
          <w:kern w:val="28"/>
          <w:rtl/>
        </w:rPr>
        <w:t xml:space="preserve"> </w:t>
      </w:r>
      <w:r w:rsidR="003C0EF7" w:rsidRPr="00F40B60">
        <w:rPr>
          <w:rFonts w:hint="cs"/>
          <w:kern w:val="28"/>
          <w:rtl/>
        </w:rPr>
        <w:t>הכרטיס</w:t>
      </w:r>
      <w:r w:rsidR="005C6730" w:rsidRPr="00F40B60">
        <w:rPr>
          <w:rFonts w:hint="cs"/>
          <w:kern w:val="28"/>
          <w:rtl/>
        </w:rPr>
        <w:t xml:space="preserve"> </w:t>
      </w:r>
      <w:r w:rsidRPr="00F40B60">
        <w:rPr>
          <w:rFonts w:hint="cs"/>
          <w:kern w:val="28"/>
          <w:rtl/>
        </w:rPr>
        <w:t>מרכז מדדי סיכון כמותיים ואיכותיים, שאלות מנחות</w:t>
      </w:r>
      <w:r w:rsidR="003C0EF7" w:rsidRPr="00F40B60">
        <w:rPr>
          <w:rFonts w:hint="cs"/>
          <w:kern w:val="28"/>
          <w:rtl/>
        </w:rPr>
        <w:t>,</w:t>
      </w:r>
      <w:r w:rsidRPr="00F40B60">
        <w:rPr>
          <w:rFonts w:hint="cs"/>
          <w:kern w:val="28"/>
          <w:rtl/>
        </w:rPr>
        <w:t xml:space="preserve"> ו</w:t>
      </w:r>
      <w:r w:rsidR="005C6730" w:rsidRPr="00F40B60">
        <w:rPr>
          <w:rFonts w:hint="cs"/>
          <w:kern w:val="28"/>
          <w:rtl/>
        </w:rPr>
        <w:t xml:space="preserve">עוד </w:t>
      </w:r>
      <w:r w:rsidRPr="00042F68">
        <w:rPr>
          <w:rFonts w:hint="cs"/>
          <w:kern w:val="28"/>
          <w:rtl/>
        </w:rPr>
        <w:t>שיקולים</w:t>
      </w:r>
      <w:r w:rsidRPr="00F40B60">
        <w:rPr>
          <w:rFonts w:hint="cs"/>
          <w:kern w:val="28"/>
          <w:rtl/>
        </w:rPr>
        <w:t xml:space="preserve"> </w:t>
      </w:r>
      <w:r w:rsidR="005C6730" w:rsidRPr="00F40B60">
        <w:rPr>
          <w:rFonts w:hint="cs"/>
          <w:kern w:val="28"/>
          <w:rtl/>
        </w:rPr>
        <w:t>ש</w:t>
      </w:r>
      <w:r w:rsidRPr="00F40B60">
        <w:rPr>
          <w:rFonts w:hint="cs"/>
          <w:kern w:val="28"/>
          <w:rtl/>
        </w:rPr>
        <w:t xml:space="preserve">עשויים להשפיע על הערכת הסיכון. כל כרטיס מחולק </w:t>
      </w:r>
      <w:r w:rsidR="005C6730" w:rsidRPr="00F40B60">
        <w:rPr>
          <w:rFonts w:hint="cs"/>
          <w:kern w:val="28"/>
          <w:rtl/>
        </w:rPr>
        <w:t>לכמה</w:t>
      </w:r>
      <w:r w:rsidRPr="00F40B60">
        <w:rPr>
          <w:rFonts w:hint="cs"/>
          <w:kern w:val="28"/>
          <w:rtl/>
        </w:rPr>
        <w:t xml:space="preserve"> </w:t>
      </w:r>
      <w:r w:rsidRPr="00042F68">
        <w:rPr>
          <w:rFonts w:hint="cs"/>
          <w:kern w:val="28"/>
          <w:rtl/>
        </w:rPr>
        <w:t>רכיבי הערכה</w:t>
      </w:r>
      <w:r w:rsidR="005C6730" w:rsidRPr="00F40B60">
        <w:rPr>
          <w:rFonts w:hint="cs"/>
          <w:kern w:val="28"/>
          <w:rtl/>
        </w:rPr>
        <w:t xml:space="preserve">, ואלה </w:t>
      </w:r>
      <w:r w:rsidRPr="00F40B60">
        <w:rPr>
          <w:rFonts w:hint="cs"/>
          <w:kern w:val="28"/>
          <w:rtl/>
        </w:rPr>
        <w:t xml:space="preserve">מייצגים ממדי הערכה שונים (לדוגמה תתי-קטגוריה של סיכון מסוים). הדבר מאפשר </w:t>
      </w:r>
      <w:r w:rsidR="003C0EF7" w:rsidRPr="00F40B60">
        <w:rPr>
          <w:rFonts w:hint="cs"/>
          <w:kern w:val="28"/>
          <w:rtl/>
        </w:rPr>
        <w:t xml:space="preserve">לערוך </w:t>
      </w:r>
      <w:r w:rsidRPr="00F40B60">
        <w:rPr>
          <w:rFonts w:hint="cs"/>
          <w:kern w:val="28"/>
          <w:rtl/>
        </w:rPr>
        <w:t xml:space="preserve">השוואות רוחב </w:t>
      </w:r>
      <w:r w:rsidR="003C0EF7" w:rsidRPr="00F40B60">
        <w:rPr>
          <w:rFonts w:hint="cs"/>
          <w:kern w:val="28"/>
          <w:rtl/>
        </w:rPr>
        <w:t>ולעקוב</w:t>
      </w:r>
      <w:r w:rsidRPr="00F40B60">
        <w:rPr>
          <w:rFonts w:hint="cs"/>
          <w:kern w:val="28"/>
          <w:rtl/>
        </w:rPr>
        <w:t xml:space="preserve"> אחר מגמות ברמת רכיב הערכה. </w:t>
      </w:r>
    </w:p>
    <w:p w:rsidR="00C43F61" w:rsidRPr="00F40B60" w:rsidRDefault="00C43F61" w:rsidP="005C69CB">
      <w:pPr>
        <w:tabs>
          <w:tab w:val="clear" w:pos="567"/>
          <w:tab w:val="clear" w:pos="1134"/>
        </w:tabs>
        <w:outlineLvl w:val="0"/>
        <w:rPr>
          <w:rtl/>
        </w:rPr>
      </w:pPr>
    </w:p>
    <w:p w:rsidR="005C69CB" w:rsidRPr="00F40B60" w:rsidRDefault="003D4A05" w:rsidP="00B65557">
      <w:pPr>
        <w:tabs>
          <w:tab w:val="clear" w:pos="567"/>
          <w:tab w:val="clear" w:pos="1134"/>
        </w:tabs>
        <w:outlineLvl w:val="0"/>
        <w:rPr>
          <w:rFonts w:hint="cs"/>
          <w:kern w:val="28"/>
          <w:rtl/>
        </w:rPr>
      </w:pPr>
      <w:r w:rsidRPr="00F40B60">
        <w:rPr>
          <w:rFonts w:hint="cs"/>
          <w:rtl/>
        </w:rPr>
        <w:t xml:space="preserve">רשימת הכרטיסים ותכולתם נבחנות מעת לעת ומתעדכנות בהתאם לצורך. </w:t>
      </w:r>
      <w:r w:rsidRPr="00042F68">
        <w:rPr>
          <w:rFonts w:hint="cs"/>
          <w:rtl/>
        </w:rPr>
        <w:t>ה</w:t>
      </w:r>
      <w:r w:rsidR="005A47AA" w:rsidRPr="00042F68">
        <w:rPr>
          <w:rFonts w:hint="cs"/>
          <w:rtl/>
        </w:rPr>
        <w:t>לוח</w:t>
      </w:r>
      <w:r w:rsidRPr="00042F68">
        <w:rPr>
          <w:rFonts w:hint="cs"/>
          <w:rtl/>
        </w:rPr>
        <w:t xml:space="preserve"> שלהלן</w:t>
      </w:r>
      <w:r w:rsidRPr="00F40B60">
        <w:rPr>
          <w:rFonts w:hint="cs"/>
          <w:rtl/>
        </w:rPr>
        <w:t xml:space="preserve"> </w:t>
      </w:r>
      <w:r w:rsidR="003C0EF7" w:rsidRPr="00F40B60">
        <w:rPr>
          <w:rFonts w:hint="cs"/>
          <w:rtl/>
        </w:rPr>
        <w:t xml:space="preserve">מציג </w:t>
      </w:r>
      <w:r w:rsidRPr="00F40B60">
        <w:rPr>
          <w:rFonts w:hint="cs"/>
          <w:rtl/>
        </w:rPr>
        <w:t>את כרטיסי הסיכון ששימשו להערכת הסיכונים בתהליך ה-</w:t>
      </w:r>
      <w:r w:rsidRPr="00F40B60">
        <w:rPr>
          <w:szCs w:val="22"/>
        </w:rPr>
        <w:t>SREP</w:t>
      </w:r>
      <w:r w:rsidRPr="00F40B60">
        <w:rPr>
          <w:rFonts w:hint="cs"/>
          <w:rtl/>
        </w:rPr>
        <w:t xml:space="preserve"> האחרון</w:t>
      </w:r>
      <w:r w:rsidR="003C0EF7" w:rsidRPr="00F40B60">
        <w:rPr>
          <w:rFonts w:hint="cs"/>
          <w:rtl/>
        </w:rPr>
        <w:t xml:space="preserve"> (</w:t>
      </w:r>
      <w:r w:rsidR="004E62D5">
        <w:rPr>
          <w:rFonts w:hint="cs"/>
          <w:rtl/>
        </w:rPr>
        <w:t>ב-</w:t>
      </w:r>
      <w:r w:rsidRPr="00F40B60">
        <w:rPr>
          <w:rFonts w:hint="cs"/>
          <w:rtl/>
        </w:rPr>
        <w:t>2018</w:t>
      </w:r>
      <w:r w:rsidR="003C0EF7" w:rsidRPr="00F40B60">
        <w:rPr>
          <w:rFonts w:hint="cs"/>
          <w:rtl/>
        </w:rPr>
        <w:t>)</w:t>
      </w:r>
      <w:r w:rsidRPr="00F40B60">
        <w:rPr>
          <w:rFonts w:hint="cs"/>
          <w:rtl/>
        </w:rPr>
        <w:t>.</w:t>
      </w:r>
      <w:r w:rsidR="003C0EF7" w:rsidRPr="00F40B60">
        <w:rPr>
          <w:rFonts w:hint="cs"/>
          <w:kern w:val="28"/>
          <w:rtl/>
        </w:rPr>
        <w:t xml:space="preserve"> </w:t>
      </w:r>
    </w:p>
    <w:p w:rsidR="005C69CB" w:rsidRPr="00F40B60" w:rsidRDefault="005C69CB" w:rsidP="005C69CB">
      <w:pPr>
        <w:tabs>
          <w:tab w:val="clear" w:pos="567"/>
          <w:tab w:val="clear" w:pos="1134"/>
        </w:tabs>
        <w:outlineLvl w:val="0"/>
        <w:rPr>
          <w:rFonts w:hint="cs"/>
          <w:kern w:val="28"/>
          <w:rtl/>
        </w:rPr>
      </w:pPr>
    </w:p>
    <w:tbl>
      <w:tblPr>
        <w:bidiVisual/>
        <w:tblW w:w="3554" w:type="pct"/>
        <w:tblInd w:w="560" w:type="dxa"/>
        <w:tblLook w:val="0420" w:firstRow="1" w:lastRow="0" w:firstColumn="0" w:lastColumn="0" w:noHBand="0" w:noVBand="1"/>
      </w:tblPr>
      <w:tblGrid>
        <w:gridCol w:w="2841"/>
        <w:gridCol w:w="1888"/>
        <w:gridCol w:w="1784"/>
        <w:gridCol w:w="7"/>
      </w:tblGrid>
      <w:tr w:rsidR="00CD4325" w:rsidTr="004900B6">
        <w:trPr>
          <w:gridAfter w:val="1"/>
          <w:wAfter w:w="7" w:type="dxa"/>
          <w:trHeight w:val="273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  <w:hideMark/>
          </w:tcPr>
          <w:p w:rsidR="005C69CB" w:rsidRPr="00F40B60" w:rsidRDefault="005C69CB" w:rsidP="004900B6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  <w:hideMark/>
          </w:tcPr>
          <w:p w:rsidR="005C69CB" w:rsidRPr="00F40B60" w:rsidRDefault="00D97C41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jc w:val="center"/>
              <w:rPr>
                <w:b/>
                <w:bCs/>
                <w:color w:val="FFFFFF"/>
                <w:sz w:val="24"/>
                <w:szCs w:val="20"/>
              </w:rPr>
            </w:pPr>
            <w:r w:rsidRPr="00F40B60">
              <w:rPr>
                <w:rFonts w:hint="cs"/>
                <w:b/>
                <w:bCs/>
                <w:color w:val="FFFFFF"/>
                <w:sz w:val="24"/>
                <w:szCs w:val="20"/>
                <w:rtl/>
              </w:rPr>
              <w:t>ה</w:t>
            </w:r>
            <w:r w:rsidR="00CD4325" w:rsidRPr="00F40B60">
              <w:rPr>
                <w:rFonts w:hint="cs"/>
                <w:b/>
                <w:bCs/>
                <w:color w:val="FFFFFF"/>
                <w:sz w:val="24"/>
                <w:szCs w:val="20"/>
                <w:rtl/>
              </w:rPr>
              <w:t xml:space="preserve">סיכון </w:t>
            </w:r>
            <w:r w:rsidRPr="00F40B60">
              <w:rPr>
                <w:rFonts w:hint="cs"/>
                <w:b/>
                <w:bCs/>
                <w:color w:val="FFFFFF"/>
                <w:sz w:val="24"/>
                <w:szCs w:val="20"/>
                <w:rtl/>
              </w:rPr>
              <w:t>ה</w:t>
            </w:r>
            <w:r w:rsidR="00CD4325" w:rsidRPr="00F40B60">
              <w:rPr>
                <w:rFonts w:hint="cs"/>
                <w:b/>
                <w:bCs/>
                <w:color w:val="FFFFFF"/>
                <w:sz w:val="24"/>
                <w:szCs w:val="20"/>
                <w:rtl/>
              </w:rPr>
              <w:t>מובנה</w:t>
            </w:r>
            <w:r w:rsidR="005D62A0" w:rsidRPr="00F40B60">
              <w:rPr>
                <w:rFonts w:hint="cs"/>
                <w:b/>
                <w:bCs/>
                <w:color w:val="FFFFFF"/>
                <w:sz w:val="24"/>
                <w:szCs w:val="20"/>
                <w:rtl/>
              </w:rPr>
              <w:t xml:space="preserve"> בפעילות הבנק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  <w:hideMark/>
          </w:tcPr>
          <w:p w:rsidR="005C69CB" w:rsidRPr="00F40B60" w:rsidRDefault="005D62A0" w:rsidP="004A496E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jc w:val="center"/>
              <w:rPr>
                <w:b/>
                <w:bCs/>
                <w:color w:val="FFFFFF"/>
                <w:sz w:val="24"/>
                <w:szCs w:val="20"/>
              </w:rPr>
            </w:pPr>
            <w:r w:rsidRPr="00F40B60">
              <w:rPr>
                <w:rFonts w:hint="cs"/>
                <w:b/>
                <w:bCs/>
                <w:color w:val="FFFFFF"/>
                <w:sz w:val="24"/>
                <w:szCs w:val="20"/>
                <w:rtl/>
              </w:rPr>
              <w:t xml:space="preserve">איכות </w:t>
            </w:r>
            <w:r w:rsidR="00CD4325" w:rsidRPr="00F40B60">
              <w:rPr>
                <w:rFonts w:hint="cs"/>
                <w:b/>
                <w:bCs/>
                <w:color w:val="FFFFFF"/>
                <w:sz w:val="24"/>
                <w:szCs w:val="20"/>
                <w:rtl/>
              </w:rPr>
              <w:t>ניהול</w:t>
            </w:r>
            <w:r w:rsidR="004A496E">
              <w:rPr>
                <w:rFonts w:hint="cs"/>
                <w:b/>
                <w:bCs/>
                <w:color w:val="FFFFFF"/>
                <w:sz w:val="24"/>
                <w:szCs w:val="20"/>
                <w:rtl/>
              </w:rPr>
              <w:t xml:space="preserve"> הסיכון</w:t>
            </w:r>
          </w:p>
        </w:tc>
      </w:tr>
      <w:tr w:rsidR="00CD4325" w:rsidTr="004900B6">
        <w:trPr>
          <w:gridAfter w:val="1"/>
          <w:wAfter w:w="7" w:type="dxa"/>
          <w:trHeight w:val="170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CB" w:rsidRPr="00F40B60" w:rsidRDefault="003C0EF7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rPr>
                <w:b/>
                <w:bCs/>
                <w:sz w:val="24"/>
                <w:szCs w:val="20"/>
              </w:rPr>
            </w:pPr>
            <w:r w:rsidRPr="00042F68">
              <w:rPr>
                <w:rFonts w:hint="cs"/>
                <w:b/>
                <w:bCs/>
                <w:sz w:val="24"/>
                <w:szCs w:val="20"/>
                <w:rtl/>
              </w:rPr>
              <w:t>ה</w:t>
            </w:r>
            <w:r w:rsidR="00CD4325" w:rsidRPr="00042F68">
              <w:rPr>
                <w:rFonts w:hint="cs"/>
                <w:b/>
                <w:bCs/>
                <w:sz w:val="24"/>
                <w:szCs w:val="20"/>
                <w:rtl/>
              </w:rPr>
              <w:t>סיכונים</w:t>
            </w:r>
          </w:p>
        </w:tc>
      </w:tr>
      <w:tr w:rsidR="00CD4325" w:rsidTr="004900B6">
        <w:trPr>
          <w:gridAfter w:val="1"/>
          <w:wAfter w:w="7" w:type="dxa"/>
          <w:trHeight w:val="170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CB" w:rsidRPr="00042F68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ind w:left="159"/>
              <w:rPr>
                <w:sz w:val="24"/>
                <w:szCs w:val="20"/>
              </w:rPr>
            </w:pPr>
            <w:r w:rsidRPr="00042F68">
              <w:rPr>
                <w:rFonts w:hint="cs"/>
                <w:sz w:val="24"/>
                <w:szCs w:val="20"/>
                <w:rtl/>
              </w:rPr>
              <w:t xml:space="preserve">סיכון </w:t>
            </w:r>
            <w:r w:rsidR="003C0EF7" w:rsidRPr="00042F68">
              <w:rPr>
                <w:rFonts w:hint="cs"/>
                <w:sz w:val="24"/>
                <w:szCs w:val="20"/>
                <w:rtl/>
              </w:rPr>
              <w:t>ה</w:t>
            </w:r>
            <w:r w:rsidRPr="00042F68">
              <w:rPr>
                <w:rFonts w:hint="cs"/>
                <w:sz w:val="24"/>
                <w:szCs w:val="20"/>
                <w:rtl/>
              </w:rPr>
              <w:t>אשראי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9CB" w:rsidRPr="00F40B60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jc w:val="center"/>
              <w:rPr>
                <w:b/>
                <w:bCs/>
                <w:sz w:val="24"/>
                <w:szCs w:val="20"/>
              </w:rPr>
            </w:pPr>
            <w:r w:rsidRPr="00F40B60">
              <w:rPr>
                <w:rFonts w:ascii="Wingdings" w:hAnsi="Wingdings"/>
                <w:b/>
                <w:bCs/>
                <w:sz w:val="24"/>
                <w:szCs w:val="20"/>
              </w:rPr>
              <w:sym w:font="Wingdings" w:char="F0FC"/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9CB" w:rsidRPr="00F40B60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jc w:val="center"/>
              <w:rPr>
                <w:b/>
                <w:bCs/>
                <w:sz w:val="24"/>
                <w:szCs w:val="20"/>
              </w:rPr>
            </w:pPr>
            <w:r w:rsidRPr="00F40B60">
              <w:rPr>
                <w:rFonts w:ascii="Wingdings" w:hAnsi="Wingdings"/>
                <w:b/>
                <w:bCs/>
                <w:sz w:val="24"/>
                <w:szCs w:val="20"/>
              </w:rPr>
              <w:sym w:font="Wingdings" w:char="F0FC"/>
            </w:r>
          </w:p>
        </w:tc>
      </w:tr>
      <w:tr w:rsidR="00CD4325" w:rsidTr="004900B6">
        <w:trPr>
          <w:gridAfter w:val="1"/>
          <w:wAfter w:w="7" w:type="dxa"/>
          <w:trHeight w:val="170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CB" w:rsidRPr="00042F68" w:rsidRDefault="00CD4325" w:rsidP="007631EE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ind w:left="159"/>
              <w:rPr>
                <w:sz w:val="24"/>
                <w:szCs w:val="20"/>
              </w:rPr>
            </w:pPr>
            <w:r w:rsidRPr="00042F68">
              <w:rPr>
                <w:rFonts w:hint="cs"/>
                <w:sz w:val="24"/>
                <w:szCs w:val="20"/>
                <w:rtl/>
              </w:rPr>
              <w:t xml:space="preserve">סיכוני </w:t>
            </w:r>
            <w:r w:rsidR="003C0EF7" w:rsidRPr="00042F68">
              <w:rPr>
                <w:rFonts w:hint="cs"/>
                <w:sz w:val="24"/>
                <w:szCs w:val="20"/>
                <w:rtl/>
              </w:rPr>
              <w:t>ה</w:t>
            </w:r>
            <w:r w:rsidRPr="00042F68">
              <w:rPr>
                <w:rFonts w:hint="cs"/>
                <w:sz w:val="24"/>
                <w:szCs w:val="20"/>
                <w:rtl/>
              </w:rPr>
              <w:t>שוק</w:t>
            </w:r>
            <w:r w:rsidR="00DF31E7" w:rsidRPr="00042F68">
              <w:rPr>
                <w:rFonts w:hint="cs"/>
                <w:sz w:val="24"/>
                <w:szCs w:val="20"/>
                <w:vertAlign w:val="superscript"/>
                <w:rtl/>
              </w:rPr>
              <w:t>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9CB" w:rsidRPr="00F40B60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jc w:val="center"/>
              <w:rPr>
                <w:b/>
                <w:bCs/>
                <w:sz w:val="24"/>
                <w:szCs w:val="20"/>
              </w:rPr>
            </w:pPr>
            <w:r w:rsidRPr="00F40B60">
              <w:rPr>
                <w:rFonts w:ascii="Wingdings" w:hAnsi="Wingdings"/>
                <w:b/>
                <w:bCs/>
                <w:sz w:val="24"/>
                <w:szCs w:val="20"/>
              </w:rPr>
              <w:sym w:font="Wingdings" w:char="F0FC"/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9CB" w:rsidRPr="00F40B60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jc w:val="center"/>
              <w:rPr>
                <w:b/>
                <w:bCs/>
                <w:sz w:val="24"/>
                <w:szCs w:val="20"/>
              </w:rPr>
            </w:pPr>
            <w:r w:rsidRPr="00F40B60">
              <w:rPr>
                <w:rFonts w:ascii="Wingdings" w:hAnsi="Wingdings"/>
                <w:b/>
                <w:bCs/>
                <w:sz w:val="24"/>
                <w:szCs w:val="20"/>
              </w:rPr>
              <w:sym w:font="Wingdings" w:char="F0FC"/>
            </w:r>
          </w:p>
        </w:tc>
      </w:tr>
      <w:tr w:rsidR="00CD4325" w:rsidTr="004900B6">
        <w:trPr>
          <w:gridAfter w:val="1"/>
          <w:wAfter w:w="7" w:type="dxa"/>
          <w:trHeight w:val="170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CB" w:rsidRPr="00042F68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ind w:left="159"/>
              <w:rPr>
                <w:sz w:val="24"/>
                <w:szCs w:val="20"/>
              </w:rPr>
            </w:pPr>
            <w:r w:rsidRPr="00042F68">
              <w:rPr>
                <w:rFonts w:hint="cs"/>
                <w:sz w:val="24"/>
                <w:szCs w:val="20"/>
                <w:rtl/>
              </w:rPr>
              <w:t xml:space="preserve">סיכון </w:t>
            </w:r>
            <w:r w:rsidR="003C0EF7" w:rsidRPr="00042F68">
              <w:rPr>
                <w:rFonts w:hint="cs"/>
                <w:sz w:val="24"/>
                <w:szCs w:val="20"/>
                <w:rtl/>
              </w:rPr>
              <w:t>ה</w:t>
            </w:r>
            <w:r w:rsidRPr="00042F68">
              <w:rPr>
                <w:rFonts w:hint="cs"/>
                <w:sz w:val="24"/>
                <w:szCs w:val="20"/>
                <w:rtl/>
              </w:rPr>
              <w:t>נזילות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9CB" w:rsidRPr="00F40B60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jc w:val="center"/>
              <w:rPr>
                <w:b/>
                <w:bCs/>
                <w:sz w:val="24"/>
                <w:szCs w:val="20"/>
              </w:rPr>
            </w:pPr>
            <w:r w:rsidRPr="00F40B60">
              <w:rPr>
                <w:rFonts w:ascii="Wingdings" w:hAnsi="Wingdings"/>
                <w:b/>
                <w:bCs/>
                <w:sz w:val="24"/>
                <w:szCs w:val="20"/>
              </w:rPr>
              <w:sym w:font="Wingdings" w:char="F0FC"/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9CB" w:rsidRPr="00F40B60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jc w:val="center"/>
              <w:rPr>
                <w:b/>
                <w:bCs/>
                <w:sz w:val="24"/>
                <w:szCs w:val="20"/>
              </w:rPr>
            </w:pPr>
            <w:r w:rsidRPr="00F40B60">
              <w:rPr>
                <w:rFonts w:ascii="Wingdings" w:hAnsi="Wingdings"/>
                <w:b/>
                <w:bCs/>
                <w:sz w:val="24"/>
                <w:szCs w:val="20"/>
              </w:rPr>
              <w:sym w:font="Wingdings" w:char="F0FC"/>
            </w:r>
          </w:p>
        </w:tc>
      </w:tr>
      <w:tr w:rsidR="00CD4325" w:rsidTr="004900B6">
        <w:trPr>
          <w:gridAfter w:val="1"/>
          <w:wAfter w:w="7" w:type="dxa"/>
          <w:trHeight w:val="170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CB" w:rsidRPr="00042F68" w:rsidRDefault="003C0EF7" w:rsidP="007631EE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ind w:left="159"/>
              <w:rPr>
                <w:rFonts w:hint="cs"/>
                <w:sz w:val="24"/>
                <w:szCs w:val="20"/>
                <w:rtl/>
              </w:rPr>
            </w:pPr>
            <w:r w:rsidRPr="00042F68">
              <w:rPr>
                <w:rFonts w:hint="cs"/>
                <w:sz w:val="24"/>
                <w:szCs w:val="20"/>
                <w:rtl/>
              </w:rPr>
              <w:t>ה</w:t>
            </w:r>
            <w:r w:rsidR="00CD4325" w:rsidRPr="00042F68">
              <w:rPr>
                <w:rFonts w:hint="cs"/>
                <w:sz w:val="24"/>
                <w:szCs w:val="20"/>
                <w:rtl/>
              </w:rPr>
              <w:t xml:space="preserve">סיכונים </w:t>
            </w:r>
            <w:r w:rsidRPr="00042F68">
              <w:rPr>
                <w:rFonts w:hint="cs"/>
                <w:sz w:val="24"/>
                <w:szCs w:val="20"/>
                <w:rtl/>
              </w:rPr>
              <w:t>ה</w:t>
            </w:r>
            <w:r w:rsidR="00CD4325" w:rsidRPr="00042F68">
              <w:rPr>
                <w:rFonts w:hint="cs"/>
                <w:sz w:val="24"/>
                <w:szCs w:val="20"/>
                <w:rtl/>
              </w:rPr>
              <w:t>תפעוליים</w:t>
            </w:r>
            <w:r w:rsidR="00DF31E7" w:rsidRPr="00042F68">
              <w:rPr>
                <w:rFonts w:hint="cs"/>
                <w:sz w:val="24"/>
                <w:szCs w:val="20"/>
                <w:vertAlign w:val="superscript"/>
                <w:rtl/>
              </w:rPr>
              <w:t>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9CB" w:rsidRPr="00F40B60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jc w:val="center"/>
              <w:rPr>
                <w:b/>
                <w:bCs/>
                <w:sz w:val="24"/>
                <w:szCs w:val="20"/>
              </w:rPr>
            </w:pPr>
            <w:r w:rsidRPr="00F40B60">
              <w:rPr>
                <w:rFonts w:ascii="Wingdings" w:hAnsi="Wingdings"/>
                <w:b/>
                <w:bCs/>
                <w:sz w:val="24"/>
                <w:szCs w:val="20"/>
              </w:rPr>
              <w:sym w:font="Wingdings" w:char="F0FC"/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9CB" w:rsidRPr="00F40B60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jc w:val="center"/>
              <w:rPr>
                <w:b/>
                <w:bCs/>
                <w:sz w:val="24"/>
                <w:szCs w:val="20"/>
              </w:rPr>
            </w:pPr>
            <w:r w:rsidRPr="00F40B60">
              <w:rPr>
                <w:rFonts w:ascii="Wingdings" w:hAnsi="Wingdings"/>
                <w:b/>
                <w:bCs/>
                <w:sz w:val="24"/>
                <w:szCs w:val="20"/>
              </w:rPr>
              <w:sym w:font="Wingdings" w:char="F0FC"/>
            </w:r>
          </w:p>
        </w:tc>
      </w:tr>
      <w:tr w:rsidR="00CD4325" w:rsidTr="004900B6">
        <w:trPr>
          <w:gridAfter w:val="1"/>
          <w:wAfter w:w="7" w:type="dxa"/>
          <w:trHeight w:val="170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CB" w:rsidRPr="00042F68" w:rsidRDefault="00CD4325" w:rsidP="007631EE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ind w:left="159"/>
              <w:rPr>
                <w:sz w:val="24"/>
                <w:szCs w:val="20"/>
              </w:rPr>
            </w:pPr>
            <w:r w:rsidRPr="00042F68">
              <w:rPr>
                <w:rFonts w:hint="cs"/>
                <w:sz w:val="24"/>
                <w:szCs w:val="20"/>
                <w:rtl/>
              </w:rPr>
              <w:t xml:space="preserve">סיכוני </w:t>
            </w:r>
            <w:r w:rsidR="003C0EF7" w:rsidRPr="00042F68">
              <w:rPr>
                <w:rFonts w:hint="cs"/>
                <w:sz w:val="24"/>
                <w:szCs w:val="20"/>
                <w:rtl/>
              </w:rPr>
              <w:t>ה</w:t>
            </w:r>
            <w:r w:rsidRPr="00042F68">
              <w:rPr>
                <w:rFonts w:hint="cs"/>
                <w:sz w:val="24"/>
                <w:szCs w:val="20"/>
                <w:rtl/>
              </w:rPr>
              <w:t>ציות</w:t>
            </w:r>
            <w:r w:rsidR="00DF31E7" w:rsidRPr="00042F68">
              <w:rPr>
                <w:rFonts w:hint="cs"/>
                <w:sz w:val="24"/>
                <w:szCs w:val="20"/>
                <w:vertAlign w:val="superscript"/>
                <w:rtl/>
              </w:rPr>
              <w:t>3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9CB" w:rsidRPr="00F40B60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jc w:val="center"/>
              <w:rPr>
                <w:b/>
                <w:bCs/>
                <w:sz w:val="24"/>
                <w:szCs w:val="20"/>
              </w:rPr>
            </w:pPr>
            <w:r w:rsidRPr="00F40B60">
              <w:rPr>
                <w:rFonts w:ascii="Wingdings" w:hAnsi="Wingdings"/>
                <w:b/>
                <w:bCs/>
                <w:sz w:val="24"/>
                <w:szCs w:val="20"/>
              </w:rPr>
              <w:sym w:font="Wingdings" w:char="F0FC"/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9CB" w:rsidRPr="00F40B60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jc w:val="center"/>
              <w:rPr>
                <w:b/>
                <w:bCs/>
                <w:sz w:val="24"/>
                <w:szCs w:val="20"/>
              </w:rPr>
            </w:pPr>
            <w:r w:rsidRPr="00F40B60">
              <w:rPr>
                <w:rFonts w:ascii="Wingdings" w:hAnsi="Wingdings"/>
                <w:b/>
                <w:bCs/>
                <w:sz w:val="24"/>
                <w:szCs w:val="20"/>
              </w:rPr>
              <w:sym w:font="Wingdings" w:char="F0FC"/>
            </w:r>
          </w:p>
        </w:tc>
      </w:tr>
      <w:tr w:rsidR="00CD4325" w:rsidTr="004900B6">
        <w:trPr>
          <w:gridAfter w:val="1"/>
          <w:wAfter w:w="7" w:type="dxa"/>
          <w:trHeight w:val="170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CB" w:rsidRPr="00042F68" w:rsidRDefault="003C0EF7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ind w:left="159"/>
              <w:rPr>
                <w:sz w:val="24"/>
                <w:szCs w:val="20"/>
              </w:rPr>
            </w:pPr>
            <w:r w:rsidRPr="00042F68">
              <w:rPr>
                <w:rFonts w:hint="cs"/>
                <w:sz w:val="24"/>
                <w:szCs w:val="20"/>
                <w:rtl/>
              </w:rPr>
              <w:t>ה</w:t>
            </w:r>
            <w:r w:rsidR="00CD4325" w:rsidRPr="00042F68">
              <w:rPr>
                <w:rFonts w:hint="cs"/>
                <w:sz w:val="24"/>
                <w:szCs w:val="20"/>
                <w:rtl/>
              </w:rPr>
              <w:t>אסטרטגיה ו</w:t>
            </w:r>
            <w:r w:rsidRPr="00042F68">
              <w:rPr>
                <w:rFonts w:hint="cs"/>
                <w:sz w:val="24"/>
                <w:szCs w:val="20"/>
                <w:rtl/>
              </w:rPr>
              <w:t>ה</w:t>
            </w:r>
            <w:r w:rsidR="00CD4325" w:rsidRPr="00042F68">
              <w:rPr>
                <w:rFonts w:hint="cs"/>
                <w:sz w:val="24"/>
                <w:szCs w:val="20"/>
                <w:rtl/>
              </w:rPr>
              <w:t xml:space="preserve">מודל </w:t>
            </w:r>
            <w:r w:rsidRPr="00042F68">
              <w:rPr>
                <w:rFonts w:hint="cs"/>
                <w:sz w:val="24"/>
                <w:szCs w:val="20"/>
                <w:rtl/>
              </w:rPr>
              <w:t>ה</w:t>
            </w:r>
            <w:r w:rsidR="00CD4325" w:rsidRPr="00042F68">
              <w:rPr>
                <w:rFonts w:hint="cs"/>
                <w:sz w:val="24"/>
                <w:szCs w:val="20"/>
                <w:rtl/>
              </w:rPr>
              <w:t>עסקי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9CB" w:rsidRPr="00F40B60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120"/>
              <w:jc w:val="center"/>
              <w:rPr>
                <w:rFonts w:hint="cs"/>
                <w:b/>
                <w:bCs/>
                <w:sz w:val="24"/>
                <w:szCs w:val="20"/>
                <w:rtl/>
              </w:rPr>
            </w:pPr>
            <w:r w:rsidRPr="00F40B60">
              <w:rPr>
                <w:rFonts w:ascii="Wingdings" w:hAnsi="Wingdings"/>
                <w:b/>
                <w:bCs/>
                <w:sz w:val="24"/>
                <w:szCs w:val="20"/>
              </w:rPr>
              <w:sym w:font="Wingdings" w:char="F0FC"/>
            </w:r>
          </w:p>
        </w:tc>
      </w:tr>
      <w:tr w:rsidR="00CD4325" w:rsidTr="004900B6">
        <w:trPr>
          <w:gridAfter w:val="1"/>
          <w:wAfter w:w="7" w:type="dxa"/>
          <w:trHeight w:val="170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9CB" w:rsidRPr="00F40B60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jc w:val="left"/>
              <w:rPr>
                <w:rFonts w:hint="cs"/>
                <w:b/>
                <w:bCs/>
                <w:sz w:val="24"/>
                <w:szCs w:val="20"/>
                <w:rtl/>
              </w:rPr>
            </w:pPr>
            <w:r w:rsidRPr="00042F68">
              <w:rPr>
                <w:rFonts w:hint="cs"/>
                <w:b/>
                <w:bCs/>
                <w:sz w:val="24"/>
                <w:szCs w:val="20"/>
                <w:rtl/>
              </w:rPr>
              <w:t xml:space="preserve">פונקציות </w:t>
            </w:r>
            <w:r w:rsidR="003C0EF7" w:rsidRPr="00F40B60">
              <w:rPr>
                <w:rFonts w:hint="cs"/>
                <w:b/>
                <w:bCs/>
                <w:sz w:val="24"/>
                <w:szCs w:val="20"/>
                <w:rtl/>
              </w:rPr>
              <w:t>ה</w:t>
            </w:r>
            <w:r w:rsidRPr="00042F68">
              <w:rPr>
                <w:rFonts w:hint="cs"/>
                <w:b/>
                <w:bCs/>
                <w:sz w:val="24"/>
                <w:szCs w:val="20"/>
                <w:rtl/>
              </w:rPr>
              <w:t xml:space="preserve">ממשל </w:t>
            </w:r>
            <w:r w:rsidR="003C0EF7" w:rsidRPr="00F40B60">
              <w:rPr>
                <w:rFonts w:hint="cs"/>
                <w:b/>
                <w:bCs/>
                <w:sz w:val="24"/>
                <w:szCs w:val="20"/>
                <w:rtl/>
              </w:rPr>
              <w:t>ה</w:t>
            </w:r>
            <w:r w:rsidRPr="00042F68">
              <w:rPr>
                <w:rFonts w:hint="cs"/>
                <w:b/>
                <w:bCs/>
                <w:sz w:val="24"/>
                <w:szCs w:val="20"/>
                <w:rtl/>
              </w:rPr>
              <w:t>תאגידי</w:t>
            </w:r>
          </w:p>
        </w:tc>
      </w:tr>
      <w:tr w:rsidR="00CD4325" w:rsidTr="004900B6">
        <w:trPr>
          <w:trHeight w:val="170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CB" w:rsidRPr="00042F68" w:rsidRDefault="003C0EF7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ind w:left="176"/>
              <w:rPr>
                <w:sz w:val="24"/>
                <w:szCs w:val="20"/>
              </w:rPr>
            </w:pPr>
            <w:r w:rsidRPr="00042F68">
              <w:rPr>
                <w:rFonts w:hint="cs"/>
                <w:sz w:val="24"/>
                <w:szCs w:val="20"/>
                <w:rtl/>
              </w:rPr>
              <w:t>ה</w:t>
            </w:r>
            <w:r w:rsidR="00CD4325" w:rsidRPr="00042F68">
              <w:rPr>
                <w:rFonts w:hint="cs"/>
                <w:sz w:val="24"/>
                <w:szCs w:val="20"/>
                <w:rtl/>
              </w:rPr>
              <w:t>דירקטוריון</w:t>
            </w:r>
          </w:p>
        </w:tc>
        <w:tc>
          <w:tcPr>
            <w:tcW w:w="2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9CB" w:rsidRPr="00F40B60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jc w:val="center"/>
              <w:rPr>
                <w:b/>
                <w:bCs/>
                <w:sz w:val="24"/>
                <w:szCs w:val="20"/>
              </w:rPr>
            </w:pPr>
            <w:r w:rsidRPr="00F40B60">
              <w:rPr>
                <w:rFonts w:ascii="Wingdings" w:hAnsi="Wingdings"/>
                <w:b/>
                <w:bCs/>
                <w:sz w:val="24"/>
                <w:szCs w:val="20"/>
              </w:rPr>
              <w:sym w:font="Wingdings" w:char="F0FC"/>
            </w:r>
          </w:p>
        </w:tc>
      </w:tr>
      <w:tr w:rsidR="00CD4325" w:rsidTr="004900B6">
        <w:trPr>
          <w:trHeight w:val="170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CB" w:rsidRPr="00042F68" w:rsidRDefault="003C0EF7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ind w:left="176"/>
              <w:rPr>
                <w:sz w:val="24"/>
                <w:szCs w:val="20"/>
              </w:rPr>
            </w:pPr>
            <w:r w:rsidRPr="00042F68">
              <w:rPr>
                <w:rFonts w:hint="cs"/>
                <w:sz w:val="24"/>
                <w:szCs w:val="20"/>
                <w:rtl/>
              </w:rPr>
              <w:t>ה</w:t>
            </w:r>
            <w:r w:rsidR="00CD4325" w:rsidRPr="00042F68">
              <w:rPr>
                <w:rFonts w:hint="cs"/>
                <w:sz w:val="24"/>
                <w:szCs w:val="20"/>
                <w:rtl/>
              </w:rPr>
              <w:t>הנהלה</w:t>
            </w:r>
          </w:p>
        </w:tc>
        <w:tc>
          <w:tcPr>
            <w:tcW w:w="2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9CB" w:rsidRPr="00F40B60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jc w:val="center"/>
              <w:rPr>
                <w:b/>
                <w:bCs/>
                <w:sz w:val="24"/>
                <w:szCs w:val="20"/>
              </w:rPr>
            </w:pPr>
            <w:r w:rsidRPr="00F40B60">
              <w:rPr>
                <w:rFonts w:ascii="Wingdings" w:hAnsi="Wingdings"/>
                <w:b/>
                <w:bCs/>
                <w:sz w:val="24"/>
                <w:szCs w:val="20"/>
              </w:rPr>
              <w:sym w:font="Wingdings" w:char="F0FC"/>
            </w:r>
          </w:p>
        </w:tc>
      </w:tr>
      <w:tr w:rsidR="00CD4325" w:rsidTr="004900B6">
        <w:trPr>
          <w:trHeight w:val="170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CB" w:rsidRPr="00042F68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ind w:left="176"/>
              <w:rPr>
                <w:sz w:val="24"/>
                <w:szCs w:val="20"/>
              </w:rPr>
            </w:pPr>
            <w:r w:rsidRPr="00042F68">
              <w:rPr>
                <w:rFonts w:hint="cs"/>
                <w:sz w:val="24"/>
                <w:szCs w:val="20"/>
                <w:rtl/>
              </w:rPr>
              <w:t xml:space="preserve">ניהול </w:t>
            </w:r>
            <w:r w:rsidR="003C0EF7" w:rsidRPr="00042F68">
              <w:rPr>
                <w:rFonts w:hint="cs"/>
                <w:sz w:val="24"/>
                <w:szCs w:val="20"/>
                <w:rtl/>
              </w:rPr>
              <w:t>ה</w:t>
            </w:r>
            <w:r w:rsidRPr="00042F68">
              <w:rPr>
                <w:rFonts w:hint="cs"/>
                <w:sz w:val="24"/>
                <w:szCs w:val="20"/>
                <w:rtl/>
              </w:rPr>
              <w:t>סיכונים</w:t>
            </w:r>
          </w:p>
        </w:tc>
        <w:tc>
          <w:tcPr>
            <w:tcW w:w="2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9CB" w:rsidRPr="00F40B60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jc w:val="center"/>
              <w:rPr>
                <w:b/>
                <w:bCs/>
                <w:sz w:val="24"/>
                <w:szCs w:val="20"/>
              </w:rPr>
            </w:pPr>
            <w:r w:rsidRPr="00F40B60">
              <w:rPr>
                <w:rFonts w:ascii="Wingdings" w:hAnsi="Wingdings"/>
                <w:b/>
                <w:bCs/>
                <w:sz w:val="24"/>
                <w:szCs w:val="20"/>
              </w:rPr>
              <w:sym w:font="Wingdings" w:char="F0FC"/>
            </w:r>
          </w:p>
        </w:tc>
      </w:tr>
      <w:tr w:rsidR="00CD4325" w:rsidTr="004900B6">
        <w:trPr>
          <w:trHeight w:val="170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CB" w:rsidRPr="00042F68" w:rsidRDefault="00CD4325" w:rsidP="007631EE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ind w:left="176"/>
              <w:rPr>
                <w:sz w:val="24"/>
                <w:szCs w:val="20"/>
              </w:rPr>
            </w:pPr>
            <w:r w:rsidRPr="00042F68">
              <w:rPr>
                <w:rFonts w:hint="cs"/>
                <w:sz w:val="24"/>
                <w:szCs w:val="20"/>
                <w:rtl/>
              </w:rPr>
              <w:t xml:space="preserve">ביקורת </w:t>
            </w:r>
            <w:r w:rsidR="003C0EF7" w:rsidRPr="00042F68">
              <w:rPr>
                <w:rFonts w:hint="cs"/>
                <w:sz w:val="24"/>
                <w:szCs w:val="20"/>
                <w:rtl/>
              </w:rPr>
              <w:t>ה</w:t>
            </w:r>
            <w:r w:rsidRPr="00042F68">
              <w:rPr>
                <w:rFonts w:hint="cs"/>
                <w:sz w:val="24"/>
                <w:szCs w:val="20"/>
                <w:rtl/>
              </w:rPr>
              <w:t>פני</w:t>
            </w:r>
            <w:r w:rsidR="003C0EF7" w:rsidRPr="00042F68">
              <w:rPr>
                <w:rFonts w:hint="cs"/>
                <w:sz w:val="24"/>
                <w:szCs w:val="20"/>
                <w:rtl/>
              </w:rPr>
              <w:t>ם</w:t>
            </w:r>
          </w:p>
        </w:tc>
        <w:tc>
          <w:tcPr>
            <w:tcW w:w="2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9CB" w:rsidRPr="00F40B60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jc w:val="center"/>
              <w:rPr>
                <w:b/>
                <w:bCs/>
                <w:sz w:val="24"/>
                <w:szCs w:val="20"/>
              </w:rPr>
            </w:pPr>
            <w:r w:rsidRPr="00F40B60">
              <w:rPr>
                <w:rFonts w:ascii="Wingdings" w:hAnsi="Wingdings"/>
                <w:b/>
                <w:bCs/>
                <w:sz w:val="24"/>
                <w:szCs w:val="20"/>
              </w:rPr>
              <w:sym w:font="Wingdings" w:char="F0FC"/>
            </w:r>
          </w:p>
        </w:tc>
      </w:tr>
      <w:tr w:rsidR="00CD4325" w:rsidTr="004900B6">
        <w:trPr>
          <w:trHeight w:val="170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CB" w:rsidRPr="00042F68" w:rsidRDefault="00CD4325" w:rsidP="00D0298C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rPr>
                <w:b/>
                <w:bCs/>
                <w:color w:val="000000"/>
                <w:sz w:val="24"/>
                <w:szCs w:val="20"/>
              </w:rPr>
            </w:pPr>
            <w:r w:rsidRPr="00042F68">
              <w:rPr>
                <w:rFonts w:hint="cs"/>
                <w:b/>
                <w:bCs/>
                <w:color w:val="000000"/>
                <w:sz w:val="24"/>
                <w:szCs w:val="20"/>
                <w:rtl/>
              </w:rPr>
              <w:t xml:space="preserve">נאותות </w:t>
            </w:r>
            <w:r w:rsidR="0099419D" w:rsidRPr="00042F68">
              <w:rPr>
                <w:rFonts w:hint="cs"/>
                <w:b/>
                <w:bCs/>
                <w:color w:val="000000"/>
                <w:sz w:val="24"/>
                <w:szCs w:val="20"/>
                <w:rtl/>
              </w:rPr>
              <w:t xml:space="preserve">ההון </w:t>
            </w:r>
          </w:p>
        </w:tc>
        <w:tc>
          <w:tcPr>
            <w:tcW w:w="2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9CB" w:rsidRPr="00F40B60" w:rsidRDefault="00CD4325" w:rsidP="004900B6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60"/>
              <w:jc w:val="center"/>
              <w:rPr>
                <w:b/>
                <w:bCs/>
                <w:sz w:val="24"/>
                <w:szCs w:val="20"/>
              </w:rPr>
            </w:pPr>
            <w:r w:rsidRPr="00F40B60">
              <w:rPr>
                <w:rFonts w:ascii="Wingdings" w:hAnsi="Wingdings"/>
                <w:b/>
                <w:bCs/>
                <w:sz w:val="24"/>
                <w:szCs w:val="20"/>
              </w:rPr>
              <w:sym w:font="Wingdings" w:char="F0FC"/>
            </w:r>
          </w:p>
        </w:tc>
      </w:tr>
    </w:tbl>
    <w:p w:rsidR="005C69CB" w:rsidRPr="00F40B60" w:rsidRDefault="005C69CB" w:rsidP="005C69CB">
      <w:pPr>
        <w:tabs>
          <w:tab w:val="clear" w:pos="567"/>
          <w:tab w:val="clear" w:pos="1134"/>
        </w:tabs>
        <w:outlineLvl w:val="0"/>
        <w:rPr>
          <w:rFonts w:hint="cs"/>
          <w:kern w:val="28"/>
          <w:rtl/>
        </w:rPr>
      </w:pPr>
    </w:p>
    <w:p w:rsidR="00DF31E7" w:rsidRPr="00F40B60" w:rsidRDefault="007631EE" w:rsidP="002C0393">
      <w:pPr>
        <w:tabs>
          <w:tab w:val="clear" w:pos="567"/>
          <w:tab w:val="clear" w:pos="1134"/>
        </w:tabs>
        <w:outlineLvl w:val="0"/>
        <w:rPr>
          <w:kern w:val="28"/>
          <w:szCs w:val="20"/>
          <w:rtl/>
        </w:rPr>
      </w:pPr>
      <w:r w:rsidRPr="00042F68">
        <w:rPr>
          <w:rFonts w:hint="cs"/>
          <w:kern w:val="28"/>
          <w:szCs w:val="20"/>
          <w:vertAlign w:val="superscript"/>
          <w:rtl/>
        </w:rPr>
        <w:t>1</w:t>
      </w:r>
      <w:r w:rsidRPr="00F40B60">
        <w:rPr>
          <w:rFonts w:hint="cs"/>
          <w:kern w:val="28"/>
          <w:szCs w:val="20"/>
          <w:rtl/>
        </w:rPr>
        <w:t xml:space="preserve"> הפיקוח בוחן</w:t>
      </w:r>
      <w:r w:rsidR="00CD4325" w:rsidRPr="00F40B60">
        <w:rPr>
          <w:rFonts w:hint="cs"/>
          <w:kern w:val="28"/>
          <w:szCs w:val="20"/>
          <w:rtl/>
        </w:rPr>
        <w:t xml:space="preserve"> בין היתר </w:t>
      </w:r>
      <w:r w:rsidRPr="00F40B60">
        <w:rPr>
          <w:rFonts w:hint="cs"/>
          <w:kern w:val="28"/>
          <w:szCs w:val="20"/>
          <w:rtl/>
        </w:rPr>
        <w:t xml:space="preserve">את </w:t>
      </w:r>
      <w:r w:rsidR="00CD4325" w:rsidRPr="00F40B60">
        <w:rPr>
          <w:rFonts w:hint="cs"/>
          <w:kern w:val="28"/>
          <w:szCs w:val="20"/>
          <w:rtl/>
        </w:rPr>
        <w:t>חשיפות הבנק לשינויים במדד המחירים לצרכן, בשערי מט"ח ובשיעור הריבית</w:t>
      </w:r>
      <w:r w:rsidR="00D97C41" w:rsidRPr="00F40B60">
        <w:rPr>
          <w:rFonts w:hint="cs"/>
          <w:kern w:val="28"/>
          <w:szCs w:val="20"/>
          <w:rtl/>
        </w:rPr>
        <w:t>, ו</w:t>
      </w:r>
      <w:r w:rsidRPr="00F40B60">
        <w:rPr>
          <w:rFonts w:hint="cs"/>
          <w:kern w:val="28"/>
          <w:szCs w:val="20"/>
          <w:rtl/>
        </w:rPr>
        <w:t xml:space="preserve">כן את </w:t>
      </w:r>
      <w:r w:rsidR="002C0393">
        <w:rPr>
          <w:rFonts w:hint="cs"/>
          <w:kern w:val="28"/>
          <w:szCs w:val="20"/>
          <w:rtl/>
        </w:rPr>
        <w:t xml:space="preserve">סיכון </w:t>
      </w:r>
      <w:r w:rsidRPr="00F40B60">
        <w:rPr>
          <w:rFonts w:hint="cs"/>
          <w:kern w:val="28"/>
          <w:szCs w:val="20"/>
          <w:rtl/>
        </w:rPr>
        <w:t>ה</w:t>
      </w:r>
      <w:r w:rsidR="00CD4325" w:rsidRPr="00F40B60">
        <w:rPr>
          <w:rFonts w:hint="cs"/>
          <w:kern w:val="28"/>
          <w:szCs w:val="20"/>
          <w:rtl/>
        </w:rPr>
        <w:t>נוסטרו</w:t>
      </w:r>
      <w:r w:rsidR="002C0393">
        <w:rPr>
          <w:rFonts w:hint="cs"/>
          <w:kern w:val="28"/>
          <w:szCs w:val="20"/>
          <w:rtl/>
        </w:rPr>
        <w:t>, הרכבו</w:t>
      </w:r>
      <w:r w:rsidR="00CD4325" w:rsidRPr="00F40B60">
        <w:rPr>
          <w:rFonts w:hint="cs"/>
          <w:kern w:val="28"/>
          <w:szCs w:val="20"/>
          <w:rtl/>
        </w:rPr>
        <w:t xml:space="preserve"> והיקפו. </w:t>
      </w:r>
      <w:r w:rsidR="0099419D" w:rsidRPr="00F40B60">
        <w:rPr>
          <w:rFonts w:hint="cs"/>
          <w:kern w:val="28"/>
          <w:szCs w:val="20"/>
          <w:rtl/>
        </w:rPr>
        <w:t xml:space="preserve"> </w:t>
      </w:r>
    </w:p>
    <w:p w:rsidR="0099419D" w:rsidRPr="00F40B60" w:rsidRDefault="00D97C41" w:rsidP="00762020">
      <w:pPr>
        <w:tabs>
          <w:tab w:val="clear" w:pos="567"/>
          <w:tab w:val="clear" w:pos="1134"/>
        </w:tabs>
        <w:outlineLvl w:val="0"/>
        <w:rPr>
          <w:kern w:val="28"/>
          <w:szCs w:val="20"/>
          <w:rtl/>
        </w:rPr>
      </w:pPr>
      <w:r w:rsidRPr="00042F68">
        <w:rPr>
          <w:rFonts w:hint="cs"/>
          <w:kern w:val="28"/>
          <w:szCs w:val="20"/>
          <w:vertAlign w:val="superscript"/>
          <w:rtl/>
        </w:rPr>
        <w:t>2</w:t>
      </w:r>
      <w:r w:rsidRPr="00F40B60">
        <w:rPr>
          <w:rFonts w:hint="cs"/>
          <w:kern w:val="28"/>
          <w:szCs w:val="20"/>
          <w:rtl/>
        </w:rPr>
        <w:t xml:space="preserve"> הפיקוח בוחן את </w:t>
      </w:r>
      <w:r w:rsidR="00CD4325" w:rsidRPr="00F40B60">
        <w:rPr>
          <w:rFonts w:hint="cs"/>
          <w:kern w:val="28"/>
          <w:szCs w:val="20"/>
          <w:rtl/>
        </w:rPr>
        <w:t xml:space="preserve">אופי הפעילות העסקית של הבנק </w:t>
      </w:r>
      <w:r w:rsidRPr="00F40B60">
        <w:rPr>
          <w:rFonts w:hint="cs"/>
          <w:kern w:val="28"/>
          <w:szCs w:val="20"/>
          <w:rtl/>
        </w:rPr>
        <w:t xml:space="preserve">ואת מורכבותה ומעריך </w:t>
      </w:r>
      <w:r w:rsidR="00CD4325" w:rsidRPr="00F40B60">
        <w:rPr>
          <w:rFonts w:hint="cs"/>
          <w:kern w:val="28"/>
          <w:szCs w:val="20"/>
          <w:rtl/>
        </w:rPr>
        <w:t>שור</w:t>
      </w:r>
      <w:r w:rsidRPr="00F40B60">
        <w:rPr>
          <w:rFonts w:hint="cs"/>
          <w:kern w:val="28"/>
          <w:szCs w:val="20"/>
          <w:rtl/>
        </w:rPr>
        <w:t xml:space="preserve">ת </w:t>
      </w:r>
      <w:r w:rsidR="00996B4C" w:rsidRPr="00F40B60">
        <w:rPr>
          <w:rFonts w:hint="cs"/>
          <w:kern w:val="28"/>
          <w:szCs w:val="20"/>
          <w:rtl/>
        </w:rPr>
        <w:t>סיכונים</w:t>
      </w:r>
      <w:r w:rsidRPr="00F40B60">
        <w:rPr>
          <w:rFonts w:hint="cs"/>
          <w:kern w:val="28"/>
          <w:szCs w:val="20"/>
          <w:rtl/>
        </w:rPr>
        <w:t xml:space="preserve"> ארוכה</w:t>
      </w:r>
      <w:r w:rsidR="00996B4C" w:rsidRPr="00F40B60">
        <w:rPr>
          <w:rFonts w:hint="cs"/>
          <w:kern w:val="28"/>
          <w:szCs w:val="20"/>
          <w:rtl/>
        </w:rPr>
        <w:t xml:space="preserve">: סיכוני טכנולוגיות </w:t>
      </w:r>
      <w:r w:rsidRPr="00F40B60">
        <w:rPr>
          <w:rFonts w:hint="cs"/>
          <w:kern w:val="28"/>
          <w:szCs w:val="20"/>
          <w:rtl/>
        </w:rPr>
        <w:t>ה</w:t>
      </w:r>
      <w:r w:rsidR="00996B4C" w:rsidRPr="00F40B60">
        <w:rPr>
          <w:rFonts w:hint="cs"/>
          <w:kern w:val="28"/>
          <w:szCs w:val="20"/>
          <w:rtl/>
        </w:rPr>
        <w:t>מידע (</w:t>
      </w:r>
      <w:r w:rsidR="00996B4C" w:rsidRPr="00F40B60">
        <w:rPr>
          <w:kern w:val="28"/>
          <w:szCs w:val="18"/>
        </w:rPr>
        <w:t>IT</w:t>
      </w:r>
      <w:r w:rsidR="00996B4C" w:rsidRPr="00F40B60">
        <w:rPr>
          <w:rFonts w:hint="cs"/>
          <w:kern w:val="28"/>
          <w:szCs w:val="20"/>
          <w:rtl/>
        </w:rPr>
        <w:t>)</w:t>
      </w:r>
      <w:r w:rsidR="00CD4325" w:rsidRPr="00F40B60">
        <w:rPr>
          <w:rFonts w:hint="cs"/>
          <w:kern w:val="28"/>
          <w:szCs w:val="20"/>
          <w:rtl/>
        </w:rPr>
        <w:t xml:space="preserve">, סיכוני </w:t>
      </w:r>
      <w:r w:rsidRPr="00F40B60">
        <w:rPr>
          <w:rFonts w:hint="cs"/>
          <w:kern w:val="28"/>
          <w:szCs w:val="20"/>
          <w:rtl/>
        </w:rPr>
        <w:t>ה</w:t>
      </w:r>
      <w:r w:rsidR="00CD4325" w:rsidRPr="00F40B60">
        <w:rPr>
          <w:rFonts w:hint="cs"/>
          <w:kern w:val="28"/>
          <w:szCs w:val="20"/>
          <w:rtl/>
        </w:rPr>
        <w:t xml:space="preserve">סייבר ואבטחת </w:t>
      </w:r>
      <w:r w:rsidRPr="00F40B60">
        <w:rPr>
          <w:rFonts w:hint="cs"/>
          <w:kern w:val="28"/>
          <w:szCs w:val="20"/>
          <w:rtl/>
        </w:rPr>
        <w:t>ה</w:t>
      </w:r>
      <w:r w:rsidR="00CD4325" w:rsidRPr="00F40B60">
        <w:rPr>
          <w:rFonts w:hint="cs"/>
          <w:kern w:val="28"/>
          <w:szCs w:val="20"/>
          <w:rtl/>
        </w:rPr>
        <w:t xml:space="preserve">מידע, סיכוני </w:t>
      </w:r>
      <w:r w:rsidRPr="00F40B60">
        <w:rPr>
          <w:rFonts w:hint="cs"/>
          <w:kern w:val="28"/>
          <w:szCs w:val="20"/>
          <w:rtl/>
        </w:rPr>
        <w:t>ה</w:t>
      </w:r>
      <w:r w:rsidR="00CD4325" w:rsidRPr="00F40B60">
        <w:rPr>
          <w:rFonts w:hint="cs"/>
          <w:kern w:val="28"/>
          <w:szCs w:val="20"/>
          <w:rtl/>
        </w:rPr>
        <w:t xml:space="preserve">המשכיות </w:t>
      </w:r>
      <w:r w:rsidRPr="00F40B60">
        <w:rPr>
          <w:rFonts w:hint="cs"/>
          <w:kern w:val="28"/>
          <w:szCs w:val="20"/>
          <w:rtl/>
        </w:rPr>
        <w:t>ה</w:t>
      </w:r>
      <w:r w:rsidR="00CD4325" w:rsidRPr="00F40B60">
        <w:rPr>
          <w:rFonts w:hint="cs"/>
          <w:kern w:val="28"/>
          <w:szCs w:val="20"/>
          <w:rtl/>
        </w:rPr>
        <w:t xml:space="preserve">עסקית, </w:t>
      </w:r>
      <w:r w:rsidRPr="00F40B60">
        <w:rPr>
          <w:rFonts w:hint="cs"/>
          <w:kern w:val="28"/>
          <w:szCs w:val="20"/>
          <w:rtl/>
        </w:rPr>
        <w:t>סיכוני ה</w:t>
      </w:r>
      <w:r w:rsidR="00CD4325" w:rsidRPr="00F40B60">
        <w:rPr>
          <w:rFonts w:hint="cs"/>
          <w:kern w:val="28"/>
          <w:szCs w:val="20"/>
          <w:rtl/>
        </w:rPr>
        <w:t>מעילות ו</w:t>
      </w:r>
      <w:r w:rsidRPr="00F40B60">
        <w:rPr>
          <w:rFonts w:hint="cs"/>
          <w:kern w:val="28"/>
          <w:szCs w:val="20"/>
          <w:rtl/>
        </w:rPr>
        <w:t>ה</w:t>
      </w:r>
      <w:r w:rsidR="00CD4325" w:rsidRPr="00F40B60">
        <w:rPr>
          <w:rFonts w:hint="cs"/>
          <w:kern w:val="28"/>
          <w:szCs w:val="20"/>
          <w:rtl/>
        </w:rPr>
        <w:t xml:space="preserve">הונאות, </w:t>
      </w:r>
      <w:r w:rsidRPr="00F40B60">
        <w:rPr>
          <w:rFonts w:hint="cs"/>
          <w:kern w:val="28"/>
          <w:szCs w:val="20"/>
          <w:rtl/>
        </w:rPr>
        <w:t>ה</w:t>
      </w:r>
      <w:r w:rsidR="00CD4325" w:rsidRPr="00F40B60">
        <w:rPr>
          <w:rFonts w:hint="cs"/>
          <w:kern w:val="28"/>
          <w:szCs w:val="20"/>
          <w:rtl/>
        </w:rPr>
        <w:t>סיכון</w:t>
      </w:r>
      <w:r w:rsidR="008A4DCB" w:rsidRPr="00F40B60">
        <w:rPr>
          <w:rFonts w:hint="cs"/>
          <w:kern w:val="28"/>
          <w:szCs w:val="20"/>
          <w:rtl/>
        </w:rPr>
        <w:t xml:space="preserve"> </w:t>
      </w:r>
      <w:r w:rsidRPr="00F40B60">
        <w:rPr>
          <w:rFonts w:hint="cs"/>
          <w:kern w:val="28"/>
          <w:szCs w:val="20"/>
          <w:rtl/>
        </w:rPr>
        <w:t>ה</w:t>
      </w:r>
      <w:r w:rsidR="008A4DCB" w:rsidRPr="00F40B60">
        <w:rPr>
          <w:rFonts w:hint="cs"/>
          <w:kern w:val="28"/>
          <w:szCs w:val="20"/>
          <w:rtl/>
        </w:rPr>
        <w:t xml:space="preserve">משפטי, סיכון מיקור </w:t>
      </w:r>
      <w:r w:rsidRPr="00F40B60">
        <w:rPr>
          <w:rFonts w:hint="cs"/>
          <w:kern w:val="28"/>
          <w:szCs w:val="20"/>
          <w:rtl/>
        </w:rPr>
        <w:t>ה</w:t>
      </w:r>
      <w:r w:rsidR="008A4DCB" w:rsidRPr="00F40B60">
        <w:rPr>
          <w:rFonts w:hint="cs"/>
          <w:kern w:val="28"/>
          <w:szCs w:val="20"/>
          <w:rtl/>
        </w:rPr>
        <w:t>חוץ, סיכון</w:t>
      </w:r>
      <w:r w:rsidR="00CD4325" w:rsidRPr="00F40B60">
        <w:rPr>
          <w:rFonts w:hint="cs"/>
          <w:kern w:val="28"/>
          <w:szCs w:val="20"/>
          <w:rtl/>
        </w:rPr>
        <w:t xml:space="preserve"> משאבי </w:t>
      </w:r>
      <w:r w:rsidRPr="00F40B60">
        <w:rPr>
          <w:rFonts w:hint="cs"/>
          <w:kern w:val="28"/>
          <w:szCs w:val="20"/>
          <w:rtl/>
        </w:rPr>
        <w:t>ה</w:t>
      </w:r>
      <w:r w:rsidR="00CD4325" w:rsidRPr="00F40B60">
        <w:rPr>
          <w:rFonts w:hint="cs"/>
          <w:kern w:val="28"/>
          <w:szCs w:val="20"/>
          <w:rtl/>
        </w:rPr>
        <w:t>אנוש</w:t>
      </w:r>
      <w:r w:rsidRPr="00F40B60">
        <w:rPr>
          <w:rFonts w:hint="cs"/>
          <w:kern w:val="28"/>
          <w:szCs w:val="20"/>
          <w:rtl/>
        </w:rPr>
        <w:t>,</w:t>
      </w:r>
      <w:r w:rsidR="00CD4325" w:rsidRPr="00F40B60">
        <w:rPr>
          <w:rFonts w:hint="cs"/>
          <w:kern w:val="28"/>
          <w:szCs w:val="20"/>
          <w:rtl/>
        </w:rPr>
        <w:t xml:space="preserve"> ועוד.</w:t>
      </w:r>
    </w:p>
    <w:p w:rsidR="00DF31E7" w:rsidRPr="00F40B60" w:rsidRDefault="00D97C41" w:rsidP="00F40B60">
      <w:pPr>
        <w:tabs>
          <w:tab w:val="clear" w:pos="567"/>
          <w:tab w:val="clear" w:pos="1134"/>
        </w:tabs>
        <w:outlineLvl w:val="0"/>
        <w:rPr>
          <w:rFonts w:hint="cs"/>
          <w:kern w:val="28"/>
          <w:szCs w:val="20"/>
          <w:rtl/>
        </w:rPr>
      </w:pPr>
      <w:r w:rsidRPr="00042F68">
        <w:rPr>
          <w:rFonts w:hint="cs"/>
          <w:kern w:val="28"/>
          <w:szCs w:val="20"/>
          <w:vertAlign w:val="superscript"/>
          <w:rtl/>
        </w:rPr>
        <w:t>3</w:t>
      </w:r>
      <w:r w:rsidRPr="00F40B60">
        <w:rPr>
          <w:rFonts w:hint="cs"/>
          <w:kern w:val="28"/>
          <w:szCs w:val="20"/>
          <w:rtl/>
        </w:rPr>
        <w:t xml:space="preserve"> הפיקוח בוחן </w:t>
      </w:r>
      <w:r w:rsidR="00C06525" w:rsidRPr="00F40B60">
        <w:rPr>
          <w:rFonts w:hint="cs"/>
          <w:kern w:val="28"/>
          <w:szCs w:val="20"/>
          <w:rtl/>
        </w:rPr>
        <w:t xml:space="preserve">בין היתר </w:t>
      </w:r>
      <w:r w:rsidRPr="00F40B60">
        <w:rPr>
          <w:rFonts w:hint="cs"/>
          <w:kern w:val="28"/>
          <w:szCs w:val="20"/>
          <w:rtl/>
        </w:rPr>
        <w:t xml:space="preserve">את </w:t>
      </w:r>
      <w:r w:rsidR="00C06525" w:rsidRPr="00F40B60">
        <w:rPr>
          <w:rFonts w:hint="cs"/>
          <w:kern w:val="28"/>
          <w:szCs w:val="20"/>
          <w:rtl/>
        </w:rPr>
        <w:t>הנושאים הבאים: איסור הלבנת הון ומימון טרור; בנקאות חוצה-גבולות (</w:t>
      </w:r>
      <w:r w:rsidR="00C06525" w:rsidRPr="00F40B60">
        <w:rPr>
          <w:kern w:val="28"/>
          <w:szCs w:val="18"/>
        </w:rPr>
        <w:t>Cross-Border</w:t>
      </w:r>
      <w:r w:rsidR="00C06525" w:rsidRPr="00F40B60">
        <w:rPr>
          <w:rFonts w:hint="cs"/>
          <w:kern w:val="28"/>
          <w:szCs w:val="20"/>
          <w:rtl/>
        </w:rPr>
        <w:t xml:space="preserve">); סיכון </w:t>
      </w:r>
      <w:r w:rsidRPr="00F40B60">
        <w:rPr>
          <w:rFonts w:hint="cs"/>
          <w:kern w:val="28"/>
          <w:szCs w:val="20"/>
          <w:rtl/>
        </w:rPr>
        <w:t>ה</w:t>
      </w:r>
      <w:r w:rsidR="00C06525" w:rsidRPr="00F40B60">
        <w:rPr>
          <w:rFonts w:hint="cs"/>
          <w:kern w:val="28"/>
          <w:szCs w:val="20"/>
          <w:rtl/>
        </w:rPr>
        <w:t>התנהלות (</w:t>
      </w:r>
      <w:r w:rsidR="00C06525" w:rsidRPr="00F40B60">
        <w:rPr>
          <w:kern w:val="28"/>
          <w:szCs w:val="18"/>
        </w:rPr>
        <w:t>Conduct</w:t>
      </w:r>
      <w:r w:rsidR="00C06525" w:rsidRPr="00F40B60">
        <w:rPr>
          <w:rFonts w:hint="cs"/>
          <w:kern w:val="28"/>
          <w:szCs w:val="20"/>
          <w:rtl/>
        </w:rPr>
        <w:t>) וציות בפן הצרכני (בנק-לקוח).</w:t>
      </w:r>
    </w:p>
    <w:p w:rsidR="0099419D" w:rsidRPr="00F40B60" w:rsidRDefault="00CD4325" w:rsidP="0099419D">
      <w:pPr>
        <w:tabs>
          <w:tab w:val="clear" w:pos="567"/>
          <w:tab w:val="clear" w:pos="1134"/>
        </w:tabs>
        <w:outlineLvl w:val="0"/>
        <w:rPr>
          <w:rFonts w:hint="cs"/>
          <w:kern w:val="28"/>
          <w:rtl/>
        </w:rPr>
      </w:pPr>
      <w:r w:rsidRPr="00F40B60">
        <w:rPr>
          <w:rFonts w:hint="cs"/>
          <w:kern w:val="28"/>
          <w:rtl/>
        </w:rPr>
        <w:t xml:space="preserve"> </w:t>
      </w:r>
    </w:p>
    <w:p w:rsidR="00037812" w:rsidRPr="00F40B60" w:rsidRDefault="00D97C41" w:rsidP="00762020">
      <w:pPr>
        <w:rPr>
          <w:rtl/>
        </w:rPr>
      </w:pPr>
      <w:r w:rsidRPr="00F40B60">
        <w:rPr>
          <w:rFonts w:hint="cs"/>
          <w:rtl/>
        </w:rPr>
        <w:t xml:space="preserve">כפי שמראה </w:t>
      </w:r>
      <w:r w:rsidR="005A47AA" w:rsidRPr="00F40B60">
        <w:rPr>
          <w:rFonts w:hint="cs"/>
          <w:rtl/>
        </w:rPr>
        <w:t>הלוח</w:t>
      </w:r>
      <w:r w:rsidRPr="00F40B60">
        <w:rPr>
          <w:rFonts w:hint="cs"/>
          <w:rtl/>
        </w:rPr>
        <w:t>, ל</w:t>
      </w:r>
      <w:r w:rsidR="00CD4325" w:rsidRPr="00F40B60">
        <w:rPr>
          <w:rFonts w:hint="cs"/>
          <w:rtl/>
        </w:rPr>
        <w:t xml:space="preserve">כל סיכון </w:t>
      </w:r>
      <w:r w:rsidR="001F33C0">
        <w:rPr>
          <w:rFonts w:hint="cs"/>
          <w:rtl/>
        </w:rPr>
        <w:t xml:space="preserve">יש </w:t>
      </w:r>
      <w:r w:rsidR="007621ED" w:rsidRPr="00F40B60">
        <w:rPr>
          <w:rFonts w:hint="cs"/>
          <w:rtl/>
        </w:rPr>
        <w:t>שני כרטיסי</w:t>
      </w:r>
      <w:r w:rsidRPr="00F40B60">
        <w:rPr>
          <w:rFonts w:hint="cs"/>
          <w:rtl/>
        </w:rPr>
        <w:t>ם</w:t>
      </w:r>
      <w:r w:rsidR="005A47AA" w:rsidRPr="00F40B60">
        <w:rPr>
          <w:rFonts w:hint="cs"/>
          <w:rtl/>
        </w:rPr>
        <w:t>:</w:t>
      </w:r>
      <w:r w:rsidR="00CD4325" w:rsidRPr="00F40B60">
        <w:rPr>
          <w:rFonts w:hint="cs"/>
          <w:rtl/>
        </w:rPr>
        <w:t xml:space="preserve"> האחד בוחן את </w:t>
      </w:r>
      <w:r w:rsidR="00CD4325" w:rsidRPr="00042F68">
        <w:rPr>
          <w:rFonts w:hint="cs"/>
          <w:rtl/>
        </w:rPr>
        <w:t>הסיכון המובנה</w:t>
      </w:r>
      <w:r w:rsidR="00CD4325" w:rsidRPr="00F40B60">
        <w:rPr>
          <w:rFonts w:hint="cs"/>
          <w:rtl/>
        </w:rPr>
        <w:t xml:space="preserve"> והשני </w:t>
      </w:r>
      <w:r w:rsidR="005A47AA" w:rsidRPr="00F40B60">
        <w:rPr>
          <w:rtl/>
        </w:rPr>
        <w:t>–</w:t>
      </w:r>
      <w:r w:rsidR="005A47AA" w:rsidRPr="00F40B60">
        <w:rPr>
          <w:rFonts w:hint="cs"/>
          <w:rtl/>
        </w:rPr>
        <w:t xml:space="preserve"> </w:t>
      </w:r>
      <w:r w:rsidR="00CD4325" w:rsidRPr="00F40B60">
        <w:rPr>
          <w:rFonts w:hint="cs"/>
          <w:rtl/>
        </w:rPr>
        <w:t xml:space="preserve">את </w:t>
      </w:r>
      <w:r w:rsidR="00CD4325" w:rsidRPr="00042F68">
        <w:rPr>
          <w:rFonts w:hint="cs"/>
          <w:rtl/>
        </w:rPr>
        <w:t>איכות ניהול</w:t>
      </w:r>
      <w:r w:rsidR="005A47AA" w:rsidRPr="00042F68">
        <w:rPr>
          <w:rFonts w:hint="cs"/>
          <w:rtl/>
        </w:rPr>
        <w:t>ו</w:t>
      </w:r>
      <w:r w:rsidR="00CD4325" w:rsidRPr="00F40B60">
        <w:rPr>
          <w:rFonts w:hint="cs"/>
          <w:rtl/>
        </w:rPr>
        <w:t xml:space="preserve">. </w:t>
      </w:r>
      <w:r w:rsidR="005A47AA" w:rsidRPr="00F40B60">
        <w:rPr>
          <w:rFonts w:hint="cs"/>
          <w:rtl/>
        </w:rPr>
        <w:t>הפיקוח מצפה כי עם העלייה ב</w:t>
      </w:r>
      <w:r w:rsidR="0047055A" w:rsidRPr="00F40B60">
        <w:rPr>
          <w:rFonts w:hint="cs"/>
          <w:rtl/>
        </w:rPr>
        <w:t xml:space="preserve">סיכון המובנה בפעילות מסוימת </w:t>
      </w:r>
      <w:r w:rsidR="005A47AA" w:rsidRPr="00F40B60">
        <w:rPr>
          <w:rFonts w:hint="cs"/>
          <w:rtl/>
        </w:rPr>
        <w:t>תעלה</w:t>
      </w:r>
      <w:r w:rsidR="000D281C" w:rsidRPr="00F40B60">
        <w:rPr>
          <w:rFonts w:hint="cs"/>
          <w:rtl/>
        </w:rPr>
        <w:t xml:space="preserve"> </w:t>
      </w:r>
      <w:r w:rsidR="005A47AA" w:rsidRPr="00F40B60">
        <w:rPr>
          <w:rFonts w:hint="cs"/>
          <w:rtl/>
        </w:rPr>
        <w:t xml:space="preserve">גם </w:t>
      </w:r>
      <w:r w:rsidR="0047055A" w:rsidRPr="00F40B60">
        <w:rPr>
          <w:rFonts w:hint="cs"/>
          <w:rtl/>
        </w:rPr>
        <w:t>איכות ניהול</w:t>
      </w:r>
      <w:r w:rsidR="005A47AA" w:rsidRPr="00F40B60">
        <w:rPr>
          <w:rFonts w:hint="cs"/>
          <w:rtl/>
        </w:rPr>
        <w:t>ו</w:t>
      </w:r>
      <w:r w:rsidR="0047055A" w:rsidRPr="00F40B60">
        <w:rPr>
          <w:rFonts w:hint="cs"/>
          <w:rtl/>
        </w:rPr>
        <w:t>.</w:t>
      </w:r>
    </w:p>
    <w:p w:rsidR="008B2EEC" w:rsidRPr="00F40B60" w:rsidRDefault="00C62FEE" w:rsidP="0027242B">
      <w:pPr>
        <w:rPr>
          <w:rtl/>
        </w:rPr>
      </w:pPr>
      <w:r w:rsidRPr="00042F68">
        <w:rPr>
          <w:rFonts w:hint="cs"/>
          <w:rtl/>
        </w:rPr>
        <w:t xml:space="preserve">כרטיסי </w:t>
      </w:r>
      <w:r w:rsidR="00037812" w:rsidRPr="00042F68">
        <w:rPr>
          <w:rFonts w:hint="cs"/>
          <w:rtl/>
        </w:rPr>
        <w:t>הסיכון המובנה</w:t>
      </w:r>
      <w:r w:rsidR="00622604" w:rsidRPr="00F40B60">
        <w:rPr>
          <w:rFonts w:hint="cs"/>
          <w:rtl/>
        </w:rPr>
        <w:t xml:space="preserve"> </w:t>
      </w:r>
      <w:r w:rsidR="002075FE" w:rsidRPr="00F40B60">
        <w:rPr>
          <w:rFonts w:hint="cs"/>
          <w:rtl/>
        </w:rPr>
        <w:t>כוללים</w:t>
      </w:r>
      <w:r w:rsidR="00622604" w:rsidRPr="00F40B60">
        <w:rPr>
          <w:rFonts w:hint="cs"/>
          <w:rtl/>
        </w:rPr>
        <w:t xml:space="preserve"> </w:t>
      </w:r>
      <w:r w:rsidR="002075FE" w:rsidRPr="00F40B60">
        <w:rPr>
          <w:rFonts w:hint="cs"/>
          <w:rtl/>
        </w:rPr>
        <w:t>ל</w:t>
      </w:r>
      <w:r w:rsidR="00622604" w:rsidRPr="00F40B60">
        <w:rPr>
          <w:rFonts w:hint="cs"/>
          <w:rtl/>
        </w:rPr>
        <w:t>רוב</w:t>
      </w:r>
      <w:r w:rsidR="00037812" w:rsidRPr="00F40B60">
        <w:rPr>
          <w:rFonts w:hint="cs"/>
          <w:rtl/>
        </w:rPr>
        <w:t xml:space="preserve"> מאפיינים ומדדים</w:t>
      </w:r>
      <w:r w:rsidR="00037812" w:rsidRPr="00F40B60">
        <w:rPr>
          <w:rFonts w:hint="cs"/>
          <w:b/>
          <w:bCs/>
          <w:rtl/>
        </w:rPr>
        <w:t xml:space="preserve"> </w:t>
      </w:r>
      <w:r w:rsidR="00037812" w:rsidRPr="00042F68">
        <w:rPr>
          <w:rFonts w:hint="cs"/>
          <w:rtl/>
        </w:rPr>
        <w:t>כמותיים</w:t>
      </w:r>
      <w:r w:rsidR="00642B41" w:rsidRPr="00F40B60">
        <w:rPr>
          <w:rFonts w:hint="cs"/>
          <w:rtl/>
        </w:rPr>
        <w:t xml:space="preserve"> רלוונטיים </w:t>
      </w:r>
      <w:r w:rsidR="002075FE" w:rsidRPr="00F40B60">
        <w:rPr>
          <w:rFonts w:hint="cs"/>
          <w:rtl/>
        </w:rPr>
        <w:t>ל</w:t>
      </w:r>
      <w:r w:rsidR="00642B41" w:rsidRPr="00F40B60">
        <w:rPr>
          <w:rFonts w:hint="cs"/>
          <w:rtl/>
        </w:rPr>
        <w:t xml:space="preserve">סיכון, </w:t>
      </w:r>
      <w:r w:rsidR="00B84137" w:rsidRPr="00F40B60">
        <w:rPr>
          <w:rFonts w:hint="cs"/>
          <w:rtl/>
        </w:rPr>
        <w:t>במנותק מ</w:t>
      </w:r>
      <w:r w:rsidR="00EC368D" w:rsidRPr="00F40B60">
        <w:rPr>
          <w:rFonts w:hint="cs"/>
          <w:rtl/>
        </w:rPr>
        <w:t>איכות ניהול</w:t>
      </w:r>
      <w:r w:rsidR="002075FE" w:rsidRPr="00F40B60">
        <w:rPr>
          <w:rFonts w:hint="cs"/>
          <w:rtl/>
        </w:rPr>
        <w:t>ו</w:t>
      </w:r>
      <w:r w:rsidR="00EC368D" w:rsidRPr="00F40B60">
        <w:rPr>
          <w:rFonts w:hint="cs"/>
          <w:rtl/>
        </w:rPr>
        <w:t xml:space="preserve"> ומפעולות</w:t>
      </w:r>
      <w:r w:rsidR="00642B41" w:rsidRPr="00F40B60">
        <w:rPr>
          <w:rFonts w:hint="cs"/>
          <w:rtl/>
        </w:rPr>
        <w:t xml:space="preserve"> </w:t>
      </w:r>
      <w:r w:rsidR="002075FE" w:rsidRPr="00F40B60">
        <w:rPr>
          <w:rFonts w:hint="cs"/>
          <w:rtl/>
        </w:rPr>
        <w:t>ש</w:t>
      </w:r>
      <w:r w:rsidR="00EC368D" w:rsidRPr="00F40B60">
        <w:rPr>
          <w:rFonts w:hint="cs"/>
          <w:rtl/>
        </w:rPr>
        <w:t>ההנהלה</w:t>
      </w:r>
      <w:r w:rsidR="002075FE" w:rsidRPr="00F40B60">
        <w:rPr>
          <w:rFonts w:hint="cs"/>
          <w:rtl/>
        </w:rPr>
        <w:t xml:space="preserve"> יכולה לנקוט</w:t>
      </w:r>
      <w:r w:rsidR="00EC368D" w:rsidRPr="00F40B60">
        <w:rPr>
          <w:rFonts w:hint="cs"/>
          <w:rtl/>
        </w:rPr>
        <w:t>.</w:t>
      </w:r>
      <w:r w:rsidR="0050392B" w:rsidRPr="00F40B60">
        <w:rPr>
          <w:rFonts w:hint="cs"/>
          <w:rtl/>
        </w:rPr>
        <w:t xml:space="preserve"> </w:t>
      </w:r>
      <w:r w:rsidR="00CA6DB8" w:rsidRPr="00042F68">
        <w:rPr>
          <w:rFonts w:hint="cs"/>
          <w:rtl/>
        </w:rPr>
        <w:t>כרטיסי ניהול הסיכון</w:t>
      </w:r>
      <w:r w:rsidR="003078C5" w:rsidRPr="00F40B60">
        <w:rPr>
          <w:rFonts w:hint="cs"/>
          <w:rtl/>
        </w:rPr>
        <w:t xml:space="preserve"> </w:t>
      </w:r>
      <w:r w:rsidR="005D0F41" w:rsidRPr="00F40B60">
        <w:rPr>
          <w:rFonts w:hint="cs"/>
          <w:rtl/>
        </w:rPr>
        <w:t>מתייחסים ל</w:t>
      </w:r>
      <w:r w:rsidR="00CA6DB8" w:rsidRPr="00F40B60">
        <w:rPr>
          <w:rFonts w:hint="cs"/>
          <w:rtl/>
        </w:rPr>
        <w:t xml:space="preserve">תהליכים </w:t>
      </w:r>
      <w:r w:rsidR="002075FE" w:rsidRPr="00F40B60">
        <w:rPr>
          <w:rFonts w:hint="cs"/>
          <w:rtl/>
        </w:rPr>
        <w:t>שה</w:t>
      </w:r>
      <w:r w:rsidRPr="00F40B60">
        <w:rPr>
          <w:rFonts w:hint="cs"/>
          <w:rtl/>
        </w:rPr>
        <w:t xml:space="preserve">בנק </w:t>
      </w:r>
      <w:r w:rsidR="002075FE" w:rsidRPr="00F40B60">
        <w:rPr>
          <w:rFonts w:hint="cs"/>
          <w:rtl/>
        </w:rPr>
        <w:t xml:space="preserve">מקיים כדי לתמוך </w:t>
      </w:r>
      <w:r w:rsidRPr="00F40B60">
        <w:rPr>
          <w:rFonts w:hint="cs"/>
          <w:rtl/>
        </w:rPr>
        <w:t>ב</w:t>
      </w:r>
      <w:r w:rsidR="00CA6DB8" w:rsidRPr="00F40B60">
        <w:rPr>
          <w:rFonts w:hint="cs"/>
          <w:rtl/>
        </w:rPr>
        <w:t>ניהול ה</w:t>
      </w:r>
      <w:r w:rsidRPr="00F40B60">
        <w:rPr>
          <w:rFonts w:hint="cs"/>
          <w:rtl/>
        </w:rPr>
        <w:t>סיכון</w:t>
      </w:r>
      <w:r w:rsidR="002075FE" w:rsidRPr="00F40B60">
        <w:rPr>
          <w:rFonts w:hint="cs"/>
          <w:rtl/>
        </w:rPr>
        <w:t>, ביניהם</w:t>
      </w:r>
      <w:r w:rsidR="00CD4325" w:rsidRPr="00F40B60">
        <w:rPr>
          <w:rFonts w:hint="cs"/>
          <w:rtl/>
        </w:rPr>
        <w:t xml:space="preserve"> </w:t>
      </w:r>
      <w:r w:rsidR="004A496E">
        <w:rPr>
          <w:rFonts w:hint="cs"/>
          <w:rtl/>
        </w:rPr>
        <w:t xml:space="preserve">קביעת </w:t>
      </w:r>
      <w:r w:rsidR="00CD4325" w:rsidRPr="00F40B60">
        <w:rPr>
          <w:rFonts w:hint="cs"/>
          <w:rtl/>
        </w:rPr>
        <w:t>תיאבון הסיכון, האסטרטגיה והמדיניות;</w:t>
      </w:r>
      <w:r w:rsidR="003C5424" w:rsidRPr="00F40B60">
        <w:rPr>
          <w:rFonts w:hint="cs"/>
          <w:rtl/>
        </w:rPr>
        <w:t xml:space="preserve"> מעקב הדירקטוריון אחר הסיכון</w:t>
      </w:r>
      <w:r w:rsidR="002075FE" w:rsidRPr="00F40B60">
        <w:rPr>
          <w:rFonts w:hint="cs"/>
          <w:rtl/>
        </w:rPr>
        <w:t xml:space="preserve"> ופיקוחו עליו</w:t>
      </w:r>
      <w:r w:rsidR="003C5424" w:rsidRPr="00F40B60">
        <w:rPr>
          <w:rFonts w:hint="cs"/>
          <w:rtl/>
        </w:rPr>
        <w:t>;</w:t>
      </w:r>
      <w:r w:rsidR="00CD4325" w:rsidRPr="00F40B60">
        <w:rPr>
          <w:rFonts w:hint="cs"/>
          <w:rtl/>
        </w:rPr>
        <w:t xml:space="preserve"> המסגרת הארגונית</w:t>
      </w:r>
      <w:r w:rsidR="003C5424" w:rsidRPr="00F40B60">
        <w:rPr>
          <w:rFonts w:hint="cs"/>
          <w:rtl/>
        </w:rPr>
        <w:t xml:space="preserve"> התומכת </w:t>
      </w:r>
      <w:r w:rsidR="002075FE" w:rsidRPr="00F40B60">
        <w:rPr>
          <w:rFonts w:hint="cs"/>
          <w:rtl/>
        </w:rPr>
        <w:t>בניהול ה</w:t>
      </w:r>
      <w:r w:rsidR="003C5424" w:rsidRPr="00F40B60">
        <w:rPr>
          <w:rFonts w:hint="cs"/>
          <w:rtl/>
        </w:rPr>
        <w:t>סיכון</w:t>
      </w:r>
      <w:r w:rsidR="00CD4325" w:rsidRPr="00F40B60">
        <w:rPr>
          <w:rFonts w:hint="cs"/>
          <w:rtl/>
        </w:rPr>
        <w:t xml:space="preserve"> (</w:t>
      </w:r>
      <w:r w:rsidR="002075FE" w:rsidRPr="00F40B60">
        <w:rPr>
          <w:rFonts w:hint="cs"/>
          <w:rtl/>
        </w:rPr>
        <w:t>ה</w:t>
      </w:r>
      <w:r w:rsidR="003C5424" w:rsidRPr="00F40B60">
        <w:rPr>
          <w:rFonts w:hint="cs"/>
          <w:rtl/>
        </w:rPr>
        <w:t xml:space="preserve">מבנה </w:t>
      </w:r>
      <w:r w:rsidR="002075FE" w:rsidRPr="00F40B60">
        <w:rPr>
          <w:rFonts w:hint="cs"/>
          <w:rtl/>
        </w:rPr>
        <w:t>ה</w:t>
      </w:r>
      <w:r w:rsidR="003C5424" w:rsidRPr="00F40B60">
        <w:rPr>
          <w:rFonts w:hint="cs"/>
          <w:rtl/>
        </w:rPr>
        <w:t xml:space="preserve">ארגוני, הגדרת </w:t>
      </w:r>
      <w:r w:rsidR="002075FE" w:rsidRPr="00F40B60">
        <w:rPr>
          <w:rFonts w:hint="cs"/>
          <w:rtl/>
        </w:rPr>
        <w:t xml:space="preserve">התפקידים </w:t>
      </w:r>
      <w:r w:rsidR="003C5424" w:rsidRPr="00F40B60">
        <w:rPr>
          <w:rFonts w:hint="cs"/>
          <w:rtl/>
        </w:rPr>
        <w:t>והפרדת</w:t>
      </w:r>
      <w:r w:rsidR="002075FE" w:rsidRPr="00F40B60">
        <w:rPr>
          <w:rFonts w:hint="cs"/>
          <w:rtl/>
        </w:rPr>
        <w:t>ם</w:t>
      </w:r>
      <w:r w:rsidR="003C5424" w:rsidRPr="00F40B60">
        <w:rPr>
          <w:rFonts w:hint="cs"/>
          <w:rtl/>
        </w:rPr>
        <w:t xml:space="preserve">, </w:t>
      </w:r>
      <w:r w:rsidR="002075FE" w:rsidRPr="00F40B60">
        <w:rPr>
          <w:rFonts w:hint="cs"/>
          <w:rtl/>
        </w:rPr>
        <w:t>ה</w:t>
      </w:r>
      <w:r w:rsidR="00D8156C" w:rsidRPr="00F40B60">
        <w:rPr>
          <w:rFonts w:hint="cs"/>
          <w:rtl/>
        </w:rPr>
        <w:t xml:space="preserve">נהלים, מדרג </w:t>
      </w:r>
      <w:r w:rsidR="002075FE" w:rsidRPr="00F40B60">
        <w:rPr>
          <w:rFonts w:hint="cs"/>
          <w:rtl/>
        </w:rPr>
        <w:t>ה</w:t>
      </w:r>
      <w:r w:rsidR="00D8156C" w:rsidRPr="00F40B60">
        <w:rPr>
          <w:rFonts w:hint="cs"/>
          <w:rtl/>
        </w:rPr>
        <w:t xml:space="preserve">סמכויות, </w:t>
      </w:r>
      <w:r w:rsidR="002075FE" w:rsidRPr="00F40B60">
        <w:rPr>
          <w:rFonts w:hint="cs"/>
          <w:rtl/>
        </w:rPr>
        <w:t>ה</w:t>
      </w:r>
      <w:r w:rsidR="003C5424" w:rsidRPr="00F40B60">
        <w:rPr>
          <w:rFonts w:hint="cs"/>
          <w:rtl/>
        </w:rPr>
        <w:t xml:space="preserve">מערכות </w:t>
      </w:r>
      <w:r w:rsidR="002075FE" w:rsidRPr="00F40B60">
        <w:rPr>
          <w:rFonts w:hint="cs"/>
          <w:rtl/>
        </w:rPr>
        <w:t>ה</w:t>
      </w:r>
      <w:r w:rsidR="003C5424" w:rsidRPr="00F40B60">
        <w:rPr>
          <w:rFonts w:hint="cs"/>
          <w:rtl/>
        </w:rPr>
        <w:t>תומכות</w:t>
      </w:r>
      <w:r w:rsidR="002075FE" w:rsidRPr="00F40B60">
        <w:rPr>
          <w:rFonts w:hint="cs"/>
          <w:rtl/>
        </w:rPr>
        <w:t>,</w:t>
      </w:r>
      <w:r w:rsidR="003C5424" w:rsidRPr="00F40B60">
        <w:rPr>
          <w:rFonts w:hint="cs"/>
          <w:rtl/>
        </w:rPr>
        <w:t xml:space="preserve"> ועוד)</w:t>
      </w:r>
      <w:r w:rsidR="00D8156C" w:rsidRPr="00F40B60">
        <w:rPr>
          <w:rFonts w:hint="cs"/>
          <w:rtl/>
        </w:rPr>
        <w:t>;</w:t>
      </w:r>
      <w:r w:rsidR="003C5424" w:rsidRPr="00F40B60">
        <w:rPr>
          <w:rFonts w:hint="cs"/>
          <w:rtl/>
        </w:rPr>
        <w:t xml:space="preserve"> </w:t>
      </w:r>
      <w:r w:rsidR="005D0F41" w:rsidRPr="00F40B60">
        <w:rPr>
          <w:rFonts w:hint="cs"/>
          <w:rtl/>
        </w:rPr>
        <w:t>ה</w:t>
      </w:r>
      <w:r w:rsidR="003C5424" w:rsidRPr="00F40B60">
        <w:rPr>
          <w:rFonts w:hint="cs"/>
          <w:rtl/>
        </w:rPr>
        <w:t xml:space="preserve">פעולות </w:t>
      </w:r>
      <w:r w:rsidR="005D0F41" w:rsidRPr="00F40B60">
        <w:rPr>
          <w:rFonts w:hint="cs"/>
          <w:rtl/>
        </w:rPr>
        <w:t xml:space="preserve">שננקטות </w:t>
      </w:r>
      <w:r w:rsidR="003C5424" w:rsidRPr="00F40B60">
        <w:rPr>
          <w:rFonts w:hint="cs"/>
          <w:rtl/>
        </w:rPr>
        <w:t>לזיהוי הסיכון</w:t>
      </w:r>
      <w:r w:rsidR="005D0F41" w:rsidRPr="00F40B60">
        <w:rPr>
          <w:rFonts w:hint="cs"/>
          <w:rtl/>
        </w:rPr>
        <w:t xml:space="preserve"> ולהערכתו</w:t>
      </w:r>
      <w:r w:rsidR="00D8156C" w:rsidRPr="00F40B60">
        <w:rPr>
          <w:rFonts w:hint="cs"/>
          <w:rtl/>
        </w:rPr>
        <w:t xml:space="preserve"> (בפרט תהליכים לפיתוח </w:t>
      </w:r>
      <w:r w:rsidR="005D0F41" w:rsidRPr="00F40B60">
        <w:rPr>
          <w:rFonts w:hint="cs"/>
          <w:rtl/>
        </w:rPr>
        <w:t xml:space="preserve">מודלים </w:t>
      </w:r>
      <w:r w:rsidR="00D8156C" w:rsidRPr="00F40B60">
        <w:rPr>
          <w:rFonts w:hint="cs"/>
          <w:rtl/>
        </w:rPr>
        <w:t>ולתיקו</w:t>
      </w:r>
      <w:r w:rsidR="005D0F41" w:rsidRPr="00F40B60">
        <w:rPr>
          <w:rFonts w:hint="cs"/>
          <w:rtl/>
        </w:rPr>
        <w:t>פם</w:t>
      </w:r>
      <w:r w:rsidR="00D8156C" w:rsidRPr="00F40B60">
        <w:rPr>
          <w:rFonts w:hint="cs"/>
          <w:rtl/>
        </w:rPr>
        <w:t>)</w:t>
      </w:r>
      <w:r w:rsidR="003C5424" w:rsidRPr="00F40B60">
        <w:rPr>
          <w:rFonts w:hint="cs"/>
          <w:rtl/>
        </w:rPr>
        <w:t xml:space="preserve">; פעולות </w:t>
      </w:r>
      <w:r w:rsidR="005D0F41" w:rsidRPr="00F40B60">
        <w:rPr>
          <w:rFonts w:hint="cs"/>
          <w:rtl/>
        </w:rPr>
        <w:t>ה</w:t>
      </w:r>
      <w:r w:rsidR="003C5424" w:rsidRPr="00F40B60">
        <w:rPr>
          <w:rFonts w:hint="cs"/>
          <w:rtl/>
        </w:rPr>
        <w:t>ניטור ו</w:t>
      </w:r>
      <w:r w:rsidR="005D0F41" w:rsidRPr="00F40B60">
        <w:rPr>
          <w:rFonts w:hint="cs"/>
          <w:rtl/>
        </w:rPr>
        <w:t>ה</w:t>
      </w:r>
      <w:r w:rsidR="003C5424" w:rsidRPr="00F40B60">
        <w:rPr>
          <w:rFonts w:hint="cs"/>
          <w:rtl/>
        </w:rPr>
        <w:t xml:space="preserve">דיווח; </w:t>
      </w:r>
      <w:r w:rsidR="00345D1E" w:rsidRPr="00F40B60">
        <w:rPr>
          <w:rFonts w:hint="cs"/>
          <w:rtl/>
        </w:rPr>
        <w:t>ו</w:t>
      </w:r>
      <w:r w:rsidR="003C5424" w:rsidRPr="00F40B60">
        <w:rPr>
          <w:rFonts w:hint="cs"/>
          <w:rtl/>
        </w:rPr>
        <w:t>איכות</w:t>
      </w:r>
      <w:r w:rsidR="005D0F41" w:rsidRPr="00F40B60">
        <w:rPr>
          <w:rFonts w:hint="cs"/>
          <w:rtl/>
        </w:rPr>
        <w:t>ה של</w:t>
      </w:r>
      <w:r w:rsidR="003C5424" w:rsidRPr="00F40B60">
        <w:rPr>
          <w:rFonts w:hint="cs"/>
          <w:rtl/>
        </w:rPr>
        <w:t xml:space="preserve"> סביבת הבקרה.</w:t>
      </w:r>
      <w:r w:rsidR="00CD4325" w:rsidRPr="00F40B60">
        <w:rPr>
          <w:rFonts w:hint="cs"/>
          <w:rtl/>
        </w:rPr>
        <w:t xml:space="preserve"> </w:t>
      </w:r>
      <w:r w:rsidR="00CA6DB8" w:rsidRPr="00F40B60">
        <w:rPr>
          <w:rFonts w:hint="cs"/>
          <w:rtl/>
        </w:rPr>
        <w:t>תהליכים אלה</w:t>
      </w:r>
      <w:r w:rsidR="003C5424" w:rsidRPr="00F40B60">
        <w:rPr>
          <w:rFonts w:hint="cs"/>
          <w:rtl/>
        </w:rPr>
        <w:t xml:space="preserve"> נבחנים</w:t>
      </w:r>
      <w:r w:rsidR="00D8156C" w:rsidRPr="00F40B60">
        <w:rPr>
          <w:rFonts w:hint="cs"/>
          <w:rtl/>
        </w:rPr>
        <w:t xml:space="preserve">, </w:t>
      </w:r>
      <w:r w:rsidR="0027242B">
        <w:rPr>
          <w:rFonts w:hint="cs"/>
          <w:rtl/>
        </w:rPr>
        <w:t>אם</w:t>
      </w:r>
      <w:r w:rsidR="0027242B" w:rsidRPr="00F40B60">
        <w:rPr>
          <w:rFonts w:hint="cs"/>
          <w:rtl/>
        </w:rPr>
        <w:t xml:space="preserve"> </w:t>
      </w:r>
      <w:r w:rsidR="00D8156C" w:rsidRPr="00F40B60">
        <w:rPr>
          <w:rFonts w:hint="cs"/>
          <w:rtl/>
        </w:rPr>
        <w:t xml:space="preserve">הדבר רלוונטי, </w:t>
      </w:r>
      <w:r w:rsidR="005D0F41" w:rsidRPr="00F40B60">
        <w:rPr>
          <w:rFonts w:hint="cs"/>
          <w:rtl/>
        </w:rPr>
        <w:t xml:space="preserve">בכל </w:t>
      </w:r>
      <w:r w:rsidR="00CA6DB8" w:rsidRPr="00F40B60">
        <w:rPr>
          <w:rFonts w:hint="cs"/>
          <w:rtl/>
        </w:rPr>
        <w:t>שלושת</w:t>
      </w:r>
      <w:r w:rsidR="003C5424" w:rsidRPr="00F40B60">
        <w:rPr>
          <w:rFonts w:hint="cs"/>
          <w:rtl/>
        </w:rPr>
        <w:t xml:space="preserve"> </w:t>
      </w:r>
      <w:r w:rsidRPr="00F40B60">
        <w:rPr>
          <w:rFonts w:hint="cs"/>
          <w:rtl/>
        </w:rPr>
        <w:t>קווי ההגנה</w:t>
      </w:r>
      <w:r w:rsidR="003939EF" w:rsidRPr="00F40B60">
        <w:rPr>
          <w:rFonts w:hint="cs"/>
          <w:rtl/>
        </w:rPr>
        <w:t xml:space="preserve"> של הבנק</w:t>
      </w:r>
      <w:r w:rsidRPr="00F40B60">
        <w:rPr>
          <w:rFonts w:hint="cs"/>
          <w:rtl/>
        </w:rPr>
        <w:t xml:space="preserve"> (</w:t>
      </w:r>
      <w:r w:rsidR="003C5424" w:rsidRPr="004A496E">
        <w:rPr>
          <w:rFonts w:hint="cs"/>
          <w:rtl/>
        </w:rPr>
        <w:t>הגורם</w:t>
      </w:r>
      <w:r w:rsidRPr="004A496E">
        <w:rPr>
          <w:rFonts w:hint="cs"/>
          <w:rtl/>
        </w:rPr>
        <w:t xml:space="preserve"> העסקי</w:t>
      </w:r>
      <w:r w:rsidR="004A496E">
        <w:rPr>
          <w:rFonts w:hint="cs"/>
          <w:rtl/>
        </w:rPr>
        <w:t xml:space="preserve"> בבנק</w:t>
      </w:r>
      <w:r w:rsidR="003C5424" w:rsidRPr="004A496E">
        <w:rPr>
          <w:rFonts w:hint="cs"/>
          <w:rtl/>
        </w:rPr>
        <w:t>, פונקציית ניהול הסיכונים</w:t>
      </w:r>
      <w:r w:rsidRPr="004A496E">
        <w:rPr>
          <w:rFonts w:hint="cs"/>
          <w:rtl/>
        </w:rPr>
        <w:t xml:space="preserve"> </w:t>
      </w:r>
      <w:r w:rsidR="003C5424" w:rsidRPr="004A496E">
        <w:rPr>
          <w:rFonts w:hint="cs"/>
          <w:rtl/>
        </w:rPr>
        <w:t>ו</w:t>
      </w:r>
      <w:r w:rsidRPr="004A496E">
        <w:rPr>
          <w:rFonts w:hint="cs"/>
          <w:rtl/>
        </w:rPr>
        <w:t>ביקורת הפני</w:t>
      </w:r>
      <w:r w:rsidR="005D0F41" w:rsidRPr="004A496E">
        <w:rPr>
          <w:rFonts w:hint="cs"/>
          <w:rtl/>
        </w:rPr>
        <w:t>ם</w:t>
      </w:r>
      <w:r w:rsidRPr="004A496E">
        <w:rPr>
          <w:rFonts w:hint="cs"/>
          <w:rtl/>
        </w:rPr>
        <w:t>).</w:t>
      </w:r>
      <w:r w:rsidR="00356529" w:rsidRPr="00F40B60">
        <w:rPr>
          <w:rFonts w:hint="cs"/>
          <w:rtl/>
        </w:rPr>
        <w:t xml:space="preserve"> </w:t>
      </w:r>
    </w:p>
    <w:p w:rsidR="001F33C0" w:rsidRDefault="001F33C0" w:rsidP="007E4512">
      <w:pPr>
        <w:rPr>
          <w:rFonts w:hint="cs"/>
          <w:rtl/>
        </w:rPr>
      </w:pPr>
    </w:p>
    <w:p w:rsidR="00703C84" w:rsidRDefault="00CD4325" w:rsidP="00A6636C">
      <w:pPr>
        <w:rPr>
          <w:rtl/>
        </w:rPr>
      </w:pPr>
      <w:r>
        <w:rPr>
          <w:rFonts w:hint="cs"/>
          <w:rtl/>
        </w:rPr>
        <w:t xml:space="preserve">כאמור, </w:t>
      </w:r>
      <w:r w:rsidR="004E62D5">
        <w:rPr>
          <w:rFonts w:hint="cs"/>
          <w:rtl/>
        </w:rPr>
        <w:t>הפיקוח בוחן</w:t>
      </w:r>
      <w:r>
        <w:rPr>
          <w:rFonts w:hint="cs"/>
          <w:rtl/>
        </w:rPr>
        <w:t xml:space="preserve"> באמצעות כרטיסי הערכה</w:t>
      </w:r>
      <w:r w:rsidR="004E62D5">
        <w:rPr>
          <w:rFonts w:hint="cs"/>
          <w:rtl/>
        </w:rPr>
        <w:t xml:space="preserve"> </w:t>
      </w:r>
      <w:r w:rsidR="001F33C0">
        <w:rPr>
          <w:rFonts w:hint="cs"/>
          <w:rtl/>
        </w:rPr>
        <w:t xml:space="preserve">גם </w:t>
      </w:r>
      <w:r w:rsidR="004E62D5">
        <w:rPr>
          <w:rFonts w:hint="cs"/>
          <w:rtl/>
        </w:rPr>
        <w:t xml:space="preserve">את </w:t>
      </w:r>
      <w:r w:rsidR="00CA6DB8" w:rsidRPr="00042F68">
        <w:rPr>
          <w:rFonts w:hint="cs"/>
          <w:rtl/>
        </w:rPr>
        <w:t>פונקציות הממשל התאגידי</w:t>
      </w:r>
      <w:r w:rsidR="00CA6DB8" w:rsidRPr="00F40B60">
        <w:rPr>
          <w:rFonts w:hint="cs"/>
          <w:rtl/>
        </w:rPr>
        <w:t xml:space="preserve"> המרכזיות: </w:t>
      </w:r>
      <w:r w:rsidR="004E62D5">
        <w:rPr>
          <w:rFonts w:hint="cs"/>
          <w:rtl/>
        </w:rPr>
        <w:t>ה</w:t>
      </w:r>
      <w:r w:rsidR="00CA6DB8" w:rsidRPr="00F40B60">
        <w:rPr>
          <w:rFonts w:hint="cs"/>
          <w:rtl/>
        </w:rPr>
        <w:t xml:space="preserve">דירקטוריון, </w:t>
      </w:r>
      <w:r w:rsidR="004E62D5">
        <w:rPr>
          <w:rFonts w:hint="cs"/>
          <w:rtl/>
        </w:rPr>
        <w:t>ה</w:t>
      </w:r>
      <w:r w:rsidR="00CA6DB8" w:rsidRPr="00F40B60">
        <w:rPr>
          <w:rFonts w:hint="cs"/>
          <w:rtl/>
        </w:rPr>
        <w:t xml:space="preserve">הנהלה, ניהול </w:t>
      </w:r>
      <w:r w:rsidR="004E62D5">
        <w:rPr>
          <w:rFonts w:hint="cs"/>
          <w:rtl/>
        </w:rPr>
        <w:t>ה</w:t>
      </w:r>
      <w:r w:rsidR="00CA6DB8" w:rsidRPr="00F40B60">
        <w:rPr>
          <w:rFonts w:hint="cs"/>
          <w:rtl/>
        </w:rPr>
        <w:t xml:space="preserve">סיכונים </w:t>
      </w:r>
      <w:r w:rsidR="007E4512" w:rsidRPr="00F40B60">
        <w:rPr>
          <w:rFonts w:hint="cs"/>
          <w:rtl/>
        </w:rPr>
        <w:t>ו</w:t>
      </w:r>
      <w:r w:rsidR="00CA6DB8" w:rsidRPr="00F40B60">
        <w:rPr>
          <w:rFonts w:hint="cs"/>
          <w:rtl/>
        </w:rPr>
        <w:t xml:space="preserve">ביקורת </w:t>
      </w:r>
      <w:r w:rsidR="004E62D5">
        <w:rPr>
          <w:rFonts w:hint="cs"/>
          <w:rtl/>
        </w:rPr>
        <w:t>ה</w:t>
      </w:r>
      <w:r w:rsidR="00CA6DB8" w:rsidRPr="00F40B60">
        <w:rPr>
          <w:rFonts w:hint="cs"/>
          <w:rtl/>
        </w:rPr>
        <w:t>פני</w:t>
      </w:r>
      <w:r w:rsidR="004E62D5">
        <w:rPr>
          <w:rFonts w:hint="cs"/>
          <w:rtl/>
        </w:rPr>
        <w:t>ם</w:t>
      </w:r>
      <w:r w:rsidR="00CA6DB8" w:rsidRPr="00F40B60">
        <w:rPr>
          <w:rFonts w:hint="cs"/>
          <w:rtl/>
        </w:rPr>
        <w:t>.</w:t>
      </w:r>
      <w:r w:rsidR="007E4512" w:rsidRPr="00F40B60">
        <w:rPr>
          <w:rFonts w:hint="cs"/>
          <w:rtl/>
        </w:rPr>
        <w:t xml:space="preserve"> </w:t>
      </w:r>
      <w:r w:rsidR="00110699" w:rsidRPr="00F40B60">
        <w:rPr>
          <w:rFonts w:hint="cs"/>
          <w:rtl/>
        </w:rPr>
        <w:t xml:space="preserve">בין השאר </w:t>
      </w:r>
      <w:r w:rsidR="007E4512" w:rsidRPr="00F40B60">
        <w:rPr>
          <w:rFonts w:hint="cs"/>
          <w:rtl/>
        </w:rPr>
        <w:t>נבחנים מאפייני הפונקציה (לדוגמה עצמאות</w:t>
      </w:r>
      <w:r w:rsidR="004E62D5">
        <w:rPr>
          <w:rFonts w:hint="cs"/>
          <w:rtl/>
        </w:rPr>
        <w:t>ה</w:t>
      </w:r>
      <w:r w:rsidR="007E4512" w:rsidRPr="00F40B60">
        <w:rPr>
          <w:rFonts w:hint="cs"/>
          <w:rtl/>
        </w:rPr>
        <w:t>, מעמד</w:t>
      </w:r>
      <w:r w:rsidR="004E62D5">
        <w:rPr>
          <w:rFonts w:hint="cs"/>
          <w:rtl/>
        </w:rPr>
        <w:t>ה</w:t>
      </w:r>
      <w:r w:rsidR="007E4512" w:rsidRPr="00F40B60">
        <w:rPr>
          <w:rFonts w:hint="cs"/>
          <w:rtl/>
        </w:rPr>
        <w:t>, נאותות המשאבים</w:t>
      </w:r>
      <w:r w:rsidR="004E62D5">
        <w:rPr>
          <w:rFonts w:hint="cs"/>
          <w:rtl/>
        </w:rPr>
        <w:t xml:space="preserve"> המוקצים לה</w:t>
      </w:r>
      <w:r w:rsidR="007E4512" w:rsidRPr="00F40B60">
        <w:rPr>
          <w:rFonts w:hint="cs"/>
          <w:rtl/>
        </w:rPr>
        <w:t>) ואפקטיביות עבודתה.</w:t>
      </w:r>
    </w:p>
    <w:p w:rsidR="00703C84" w:rsidRDefault="00703C84" w:rsidP="00703C84">
      <w:pPr>
        <w:rPr>
          <w:rtl/>
        </w:rPr>
      </w:pPr>
    </w:p>
    <w:p w:rsidR="006B2461" w:rsidRPr="00F40B60" w:rsidRDefault="00703C84" w:rsidP="00375F5A">
      <w:pPr>
        <w:rPr>
          <w:rtl/>
        </w:rPr>
      </w:pPr>
      <w:r>
        <w:rPr>
          <w:rFonts w:hint="cs"/>
          <w:rtl/>
        </w:rPr>
        <w:t xml:space="preserve">נוסף על כך </w:t>
      </w:r>
      <w:r w:rsidR="00A6636C">
        <w:rPr>
          <w:rFonts w:hint="cs"/>
          <w:rtl/>
        </w:rPr>
        <w:t xml:space="preserve">הפיקוח מעריך את </w:t>
      </w:r>
      <w:r>
        <w:rPr>
          <w:rFonts w:hint="cs"/>
          <w:rtl/>
        </w:rPr>
        <w:t>נאותות ההון העצמי של הבנק</w:t>
      </w:r>
      <w:r w:rsidR="002E054E">
        <w:rPr>
          <w:rFonts w:hint="cs"/>
          <w:rtl/>
        </w:rPr>
        <w:t>. הון משמש גורם מפחית סיכון</w:t>
      </w:r>
      <w:r w:rsidR="00A6636C">
        <w:rPr>
          <w:rFonts w:hint="cs"/>
          <w:rtl/>
        </w:rPr>
        <w:t xml:space="preserve"> היות </w:t>
      </w:r>
      <w:r w:rsidR="002E054E">
        <w:rPr>
          <w:rFonts w:hint="cs"/>
          <w:rtl/>
        </w:rPr>
        <w:t>שהוא מהווה כאמור כרית לספיגת הפסדים בלתי צפויים</w:t>
      </w:r>
      <w:r>
        <w:rPr>
          <w:rFonts w:hint="cs"/>
          <w:rtl/>
        </w:rPr>
        <w:t xml:space="preserve">. במסגרת כרטיס ההון </w:t>
      </w:r>
      <w:r w:rsidR="00A6636C">
        <w:rPr>
          <w:rFonts w:hint="cs"/>
          <w:rtl/>
        </w:rPr>
        <w:t xml:space="preserve">הפיקוח בוחן את </w:t>
      </w:r>
      <w:r>
        <w:rPr>
          <w:rFonts w:hint="cs"/>
          <w:rtl/>
        </w:rPr>
        <w:t>רמת ההון ואיכותו</w:t>
      </w:r>
      <w:r w:rsidR="00375F5A">
        <w:rPr>
          <w:rFonts w:hint="cs"/>
          <w:rtl/>
        </w:rPr>
        <w:t>,</w:t>
      </w:r>
      <w:r w:rsidR="002E054E">
        <w:rPr>
          <w:rFonts w:hint="cs"/>
          <w:rtl/>
        </w:rPr>
        <w:t xml:space="preserve"> </w:t>
      </w:r>
      <w:r w:rsidR="00A6636C">
        <w:rPr>
          <w:rFonts w:hint="cs"/>
          <w:rtl/>
        </w:rPr>
        <w:t xml:space="preserve">ומעריך את </w:t>
      </w:r>
      <w:r w:rsidR="002E054E">
        <w:rPr>
          <w:rFonts w:hint="cs"/>
          <w:rtl/>
        </w:rPr>
        <w:t>אופן ניהול</w:t>
      </w:r>
      <w:r w:rsidR="00A6636C">
        <w:rPr>
          <w:rFonts w:hint="cs"/>
          <w:rtl/>
        </w:rPr>
        <w:t>ו</w:t>
      </w:r>
      <w:r w:rsidR="002E054E">
        <w:rPr>
          <w:rFonts w:hint="cs"/>
          <w:rtl/>
        </w:rPr>
        <w:t xml:space="preserve"> </w:t>
      </w:r>
      <w:r w:rsidR="00A6636C">
        <w:rPr>
          <w:rFonts w:hint="cs"/>
          <w:rtl/>
        </w:rPr>
        <w:t>ו</w:t>
      </w:r>
      <w:r w:rsidR="00375F5A">
        <w:rPr>
          <w:rFonts w:hint="cs"/>
          <w:rtl/>
        </w:rPr>
        <w:t>את ה</w:t>
      </w:r>
      <w:r w:rsidR="00A6636C">
        <w:rPr>
          <w:rFonts w:hint="cs"/>
          <w:rtl/>
        </w:rPr>
        <w:t>מידה</w:t>
      </w:r>
      <w:r w:rsidR="00375F5A">
        <w:rPr>
          <w:rFonts w:hint="cs"/>
          <w:rtl/>
        </w:rPr>
        <w:t xml:space="preserve"> שבה</w:t>
      </w:r>
      <w:r w:rsidR="00A6636C">
        <w:rPr>
          <w:rFonts w:hint="cs"/>
          <w:rtl/>
        </w:rPr>
        <w:t xml:space="preserve"> יש ל</w:t>
      </w:r>
      <w:r w:rsidR="002E054E">
        <w:rPr>
          <w:rFonts w:hint="cs"/>
          <w:rtl/>
        </w:rPr>
        <w:t xml:space="preserve">בנק </w:t>
      </w:r>
      <w:r w:rsidR="00A6636C">
        <w:rPr>
          <w:rFonts w:hint="cs"/>
          <w:rtl/>
        </w:rPr>
        <w:t xml:space="preserve">גישה </w:t>
      </w:r>
      <w:r w:rsidR="002E054E">
        <w:rPr>
          <w:rFonts w:hint="cs"/>
          <w:rtl/>
        </w:rPr>
        <w:t>להון נוסף במידת הצורך.</w:t>
      </w:r>
      <w:r>
        <w:rPr>
          <w:rFonts w:hint="cs"/>
          <w:rtl/>
        </w:rPr>
        <w:t xml:space="preserve"> </w:t>
      </w:r>
      <w:r w:rsidR="004E62D5">
        <w:rPr>
          <w:rFonts w:hint="cs"/>
          <w:rtl/>
        </w:rPr>
        <w:t xml:space="preserve"> </w:t>
      </w:r>
    </w:p>
    <w:p w:rsidR="007E4512" w:rsidRPr="00F40B60" w:rsidRDefault="007E4512" w:rsidP="00106938">
      <w:pPr>
        <w:rPr>
          <w:rtl/>
        </w:rPr>
      </w:pPr>
    </w:p>
    <w:p w:rsidR="00C62FEE" w:rsidRPr="00F40B60" w:rsidRDefault="004A496E" w:rsidP="00B450E2">
      <w:pPr>
        <w:rPr>
          <w:rtl/>
        </w:rPr>
      </w:pPr>
      <w:r>
        <w:rPr>
          <w:rFonts w:hint="cs"/>
          <w:rtl/>
        </w:rPr>
        <w:t xml:space="preserve">בסוף התהליך </w:t>
      </w:r>
      <w:r w:rsidR="0027242B">
        <w:rPr>
          <w:rFonts w:hint="cs"/>
          <w:rtl/>
        </w:rPr>
        <w:t xml:space="preserve">מוענק </w:t>
      </w:r>
      <w:r>
        <w:rPr>
          <w:rFonts w:hint="cs"/>
          <w:rtl/>
        </w:rPr>
        <w:t xml:space="preserve">לבנק </w:t>
      </w:r>
      <w:r w:rsidR="006A1543" w:rsidRPr="00F40B60">
        <w:rPr>
          <w:rFonts w:hint="cs"/>
          <w:rtl/>
        </w:rPr>
        <w:t xml:space="preserve">ציון הערכה </w:t>
      </w:r>
      <w:r w:rsidR="0047055A" w:rsidRPr="00F40B60">
        <w:rPr>
          <w:rFonts w:hint="cs"/>
          <w:rtl/>
        </w:rPr>
        <w:t>כולל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47055A" w:rsidRPr="00F40B60">
        <w:rPr>
          <w:rFonts w:hint="cs"/>
          <w:rtl/>
        </w:rPr>
        <w:t>תוצאה של שקלול הציונים</w:t>
      </w:r>
      <w:r w:rsidR="00106938" w:rsidRPr="00F40B60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106938" w:rsidRPr="00F40B60">
        <w:rPr>
          <w:rFonts w:hint="cs"/>
          <w:rtl/>
        </w:rPr>
        <w:t>כ</w:t>
      </w:r>
      <w:r w:rsidR="0047055A" w:rsidRPr="00F40B60">
        <w:rPr>
          <w:rFonts w:hint="cs"/>
          <w:rtl/>
        </w:rPr>
        <w:t>ל כרטיסי הסיכון</w:t>
      </w:r>
      <w:r>
        <w:rPr>
          <w:rFonts w:hint="cs"/>
          <w:rtl/>
        </w:rPr>
        <w:t>/ ההערכה</w:t>
      </w:r>
      <w:r w:rsidR="0047055A" w:rsidRPr="00F40B60">
        <w:rPr>
          <w:rFonts w:hint="cs"/>
          <w:rtl/>
        </w:rPr>
        <w:t>.</w:t>
      </w:r>
      <w:r w:rsidR="00AB0054" w:rsidRPr="00F40B60">
        <w:rPr>
          <w:rFonts w:hint="cs"/>
          <w:rtl/>
        </w:rPr>
        <w:t xml:space="preserve"> </w:t>
      </w:r>
      <w:r>
        <w:rPr>
          <w:rFonts w:hint="cs"/>
          <w:rtl/>
        </w:rPr>
        <w:t xml:space="preserve">משקל </w:t>
      </w:r>
      <w:r w:rsidR="00AB0054" w:rsidRPr="004A496E">
        <w:rPr>
          <w:rFonts w:hint="cs"/>
          <w:rtl/>
        </w:rPr>
        <w:t>כל כרטיס</w:t>
      </w:r>
      <w:r>
        <w:rPr>
          <w:rFonts w:hint="cs"/>
          <w:rtl/>
        </w:rPr>
        <w:t xml:space="preserve"> נקבע לפי</w:t>
      </w:r>
      <w:r w:rsidR="00AB0054" w:rsidRPr="004A496E">
        <w:rPr>
          <w:rFonts w:hint="cs"/>
          <w:rtl/>
        </w:rPr>
        <w:t xml:space="preserve"> מהותיות הסיכון ושיקולים </w:t>
      </w:r>
      <w:r w:rsidR="00AB0054" w:rsidRPr="004A496E">
        <w:rPr>
          <w:rFonts w:hint="cs"/>
          <w:rtl/>
        </w:rPr>
        <w:lastRenderedPageBreak/>
        <w:t>נוספים</w:t>
      </w:r>
      <w:r>
        <w:rPr>
          <w:rFonts w:hint="cs"/>
          <w:rtl/>
        </w:rPr>
        <w:t>,</w:t>
      </w:r>
      <w:r w:rsidR="00AB0054" w:rsidRPr="004A496E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="00AB0054" w:rsidRPr="004A496E">
        <w:rPr>
          <w:rFonts w:hint="cs"/>
          <w:rtl/>
        </w:rPr>
        <w:t>חלוקת המשקלים בין הכרטיסים נבחנת מעת לעת ומשתנה בהתאם לצורך.</w:t>
      </w:r>
      <w:r w:rsidR="00AB0054" w:rsidRPr="00F40B60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4A496E">
        <w:rPr>
          <w:rFonts w:hint="cs"/>
          <w:rtl/>
        </w:rPr>
        <w:t xml:space="preserve">ציון </w:t>
      </w:r>
      <w:r>
        <w:rPr>
          <w:rFonts w:hint="cs"/>
          <w:rtl/>
        </w:rPr>
        <w:t xml:space="preserve">הכולל </w:t>
      </w:r>
      <w:r w:rsidRPr="004A496E">
        <w:rPr>
          <w:rFonts w:hint="cs"/>
          <w:rtl/>
        </w:rPr>
        <w:t>נבחן הן לפני השפעת ההון העצמי הן לאחריה</w:t>
      </w:r>
      <w:r>
        <w:rPr>
          <w:rFonts w:hint="cs"/>
          <w:rtl/>
        </w:rPr>
        <w:t xml:space="preserve">, שכן ההון העצמי </w:t>
      </w:r>
      <w:r w:rsidR="0027242B">
        <w:rPr>
          <w:rFonts w:hint="cs"/>
          <w:rtl/>
        </w:rPr>
        <w:t>משמש מ</w:t>
      </w:r>
      <w:r>
        <w:rPr>
          <w:rFonts w:hint="cs"/>
          <w:rtl/>
        </w:rPr>
        <w:t>פחית סיכון</w:t>
      </w:r>
      <w:r w:rsidRPr="004A496E">
        <w:rPr>
          <w:rFonts w:hint="cs"/>
          <w:rtl/>
        </w:rPr>
        <w:t>.</w:t>
      </w:r>
    </w:p>
    <w:p w:rsidR="00531E53" w:rsidRPr="00F40B60" w:rsidRDefault="00531E53" w:rsidP="008B2EEC">
      <w:pPr>
        <w:rPr>
          <w:rtl/>
        </w:rPr>
      </w:pPr>
    </w:p>
    <w:p w:rsidR="000B44E0" w:rsidRDefault="00CF0323" w:rsidP="000B44E0">
      <w:pPr>
        <w:rPr>
          <w:rtl/>
        </w:rPr>
      </w:pPr>
      <w:r>
        <w:rPr>
          <w:rFonts w:hint="cs"/>
          <w:rtl/>
        </w:rPr>
        <w:t>הודות ל</w:t>
      </w:r>
      <w:r w:rsidR="00CD4325">
        <w:rPr>
          <w:rFonts w:hint="cs"/>
          <w:rtl/>
        </w:rPr>
        <w:t>שלל תהליכי המעקב והפיקוח, לרבות תהליך ה-</w:t>
      </w:r>
      <w:r w:rsidR="00CD4325">
        <w:rPr>
          <w:rFonts w:hint="cs"/>
        </w:rPr>
        <w:t>SREP</w:t>
      </w:r>
      <w:r w:rsidR="00CD4325">
        <w:rPr>
          <w:rFonts w:hint="cs"/>
          <w:rtl/>
        </w:rPr>
        <w:t xml:space="preserve"> והפעולות האחרות שפורטו לעיל, </w:t>
      </w:r>
      <w:r w:rsidR="00CD4325" w:rsidRPr="00F40B60">
        <w:rPr>
          <w:rFonts w:hint="cs"/>
          <w:rtl/>
        </w:rPr>
        <w:t>הבנקים משפרים את ניהול הסיכונים</w:t>
      </w:r>
      <w:r w:rsidR="00CD4325">
        <w:rPr>
          <w:rFonts w:hint="cs"/>
          <w:rtl/>
        </w:rPr>
        <w:t>, מחזקים את הממשל התאגידי,</w:t>
      </w:r>
      <w:r w:rsidR="00CD4325" w:rsidRPr="00F40B60">
        <w:rPr>
          <w:rFonts w:hint="cs"/>
          <w:rtl/>
        </w:rPr>
        <w:t xml:space="preserve"> </w:t>
      </w:r>
      <w:r w:rsidR="00CD4325">
        <w:rPr>
          <w:rFonts w:hint="cs"/>
          <w:rtl/>
        </w:rPr>
        <w:t xml:space="preserve">ונערכים טוב יותר לאירועי הפסד </w:t>
      </w:r>
      <w:r w:rsidR="00234220" w:rsidRPr="001C276F">
        <w:rPr>
          <w:rFonts w:hint="cs"/>
          <w:rtl/>
        </w:rPr>
        <w:t>ו</w:t>
      </w:r>
      <w:r w:rsidR="00CD4325">
        <w:rPr>
          <w:rFonts w:hint="cs"/>
          <w:rtl/>
        </w:rPr>
        <w:t xml:space="preserve">לתקופות משבר. </w:t>
      </w:r>
      <w:r w:rsidR="00234220">
        <w:rPr>
          <w:rFonts w:hint="cs"/>
          <w:rtl/>
        </w:rPr>
        <w:t xml:space="preserve">שיפורים </w:t>
      </w:r>
      <w:r w:rsidR="00CD4325">
        <w:rPr>
          <w:rFonts w:hint="cs"/>
          <w:rtl/>
        </w:rPr>
        <w:t xml:space="preserve">אלה מושגים, בין היתר, על רקע דרישות והתערבות מוקדמת של הפיקוח במקומות </w:t>
      </w:r>
      <w:r>
        <w:rPr>
          <w:rFonts w:hint="cs"/>
          <w:rtl/>
        </w:rPr>
        <w:t>ש</w:t>
      </w:r>
      <w:r w:rsidR="00CD4325">
        <w:rPr>
          <w:rFonts w:hint="cs"/>
          <w:rtl/>
        </w:rPr>
        <w:t xml:space="preserve">בהם פעולות המעקב והבקרה </w:t>
      </w:r>
      <w:r w:rsidR="00234220">
        <w:rPr>
          <w:rFonts w:hint="cs"/>
          <w:rtl/>
        </w:rPr>
        <w:t>שלו</w:t>
      </w:r>
      <w:r w:rsidR="00CD4325">
        <w:rPr>
          <w:rFonts w:hint="cs"/>
          <w:rtl/>
        </w:rPr>
        <w:t xml:space="preserve"> זיהו צורך בכך. להלן מספר דוגמאות להתערבויות כאלה, מן השנים האחרונות (רשימה חלקית):</w:t>
      </w:r>
    </w:p>
    <w:p w:rsidR="000B44E0" w:rsidRDefault="00CD4325" w:rsidP="000B44E0">
      <w:pPr>
        <w:numPr>
          <w:ilvl w:val="0"/>
          <w:numId w:val="10"/>
        </w:numPr>
        <w:rPr>
          <w:rFonts w:hint="cs"/>
          <w:rtl/>
        </w:rPr>
      </w:pPr>
      <w:r>
        <w:rPr>
          <w:rFonts w:hint="cs"/>
          <w:rtl/>
        </w:rPr>
        <w:t>דרישות להגדלת יחסי ההון של הבנקים</w:t>
      </w:r>
      <w:r w:rsidR="00CF0323">
        <w:rPr>
          <w:rFonts w:hint="cs"/>
          <w:rtl/>
        </w:rPr>
        <w:t>;</w:t>
      </w:r>
    </w:p>
    <w:p w:rsidR="000B44E0" w:rsidRDefault="00CD4325" w:rsidP="000B44E0">
      <w:pPr>
        <w:numPr>
          <w:ilvl w:val="0"/>
          <w:numId w:val="10"/>
        </w:numPr>
        <w:rPr>
          <w:rFonts w:hint="cs"/>
          <w:rtl/>
        </w:rPr>
      </w:pPr>
      <w:r>
        <w:rPr>
          <w:rFonts w:hint="cs"/>
          <w:rtl/>
        </w:rPr>
        <w:t>דרישות לעצירת חלוקת דיבידנד</w:t>
      </w:r>
      <w:r w:rsidR="00CF0323">
        <w:rPr>
          <w:rFonts w:hint="cs"/>
          <w:rtl/>
        </w:rPr>
        <w:t>;</w:t>
      </w:r>
    </w:p>
    <w:p w:rsidR="000B44E0" w:rsidRDefault="00CD4325" w:rsidP="001C276F">
      <w:pPr>
        <w:numPr>
          <w:ilvl w:val="0"/>
          <w:numId w:val="10"/>
        </w:numPr>
        <w:rPr>
          <w:rtl/>
        </w:rPr>
      </w:pPr>
      <w:r>
        <w:rPr>
          <w:rFonts w:hint="cs"/>
          <w:rtl/>
        </w:rPr>
        <w:t>דרישות לצמצום פעילות עסקית בחו"ל</w:t>
      </w:r>
      <w:r w:rsidR="00CF0323">
        <w:rPr>
          <w:rFonts w:hint="cs"/>
          <w:rtl/>
        </w:rPr>
        <w:t>;</w:t>
      </w:r>
    </w:p>
    <w:p w:rsidR="000B44E0" w:rsidRDefault="00CD4325" w:rsidP="000B44E0">
      <w:pPr>
        <w:numPr>
          <w:ilvl w:val="0"/>
          <w:numId w:val="10"/>
        </w:numPr>
        <w:rPr>
          <w:rFonts w:hint="cs"/>
          <w:rtl/>
        </w:rPr>
      </w:pPr>
      <w:r>
        <w:rPr>
          <w:rFonts w:hint="cs"/>
          <w:rtl/>
        </w:rPr>
        <w:t>התערבות בכהונה של נושאי משרה</w:t>
      </w:r>
      <w:r w:rsidR="00CF0323">
        <w:rPr>
          <w:rFonts w:hint="cs"/>
          <w:rtl/>
        </w:rPr>
        <w:t>;</w:t>
      </w:r>
    </w:p>
    <w:p w:rsidR="000B44E0" w:rsidRDefault="00CD4325" w:rsidP="001C276F">
      <w:pPr>
        <w:numPr>
          <w:ilvl w:val="0"/>
          <w:numId w:val="10"/>
        </w:numPr>
        <w:rPr>
          <w:rFonts w:hint="cs"/>
          <w:rtl/>
        </w:rPr>
      </w:pPr>
      <w:r>
        <w:rPr>
          <w:rFonts w:hint="cs"/>
          <w:rtl/>
        </w:rPr>
        <w:t xml:space="preserve">דרישה לצמצום ריכוזיות </w:t>
      </w:r>
      <w:r w:rsidR="001C276F">
        <w:rPr>
          <w:rFonts w:hint="cs"/>
          <w:rtl/>
        </w:rPr>
        <w:t>ל</w:t>
      </w:r>
      <w:r>
        <w:rPr>
          <w:rFonts w:hint="cs"/>
          <w:rtl/>
        </w:rPr>
        <w:t>ווים וקבוצות לווים</w:t>
      </w:r>
      <w:r w:rsidR="00CF0323">
        <w:rPr>
          <w:rFonts w:hint="cs"/>
          <w:rtl/>
        </w:rPr>
        <w:t>;</w:t>
      </w:r>
    </w:p>
    <w:p w:rsidR="000B44E0" w:rsidRDefault="00CD4325" w:rsidP="001C276F">
      <w:pPr>
        <w:numPr>
          <w:ilvl w:val="0"/>
          <w:numId w:val="10"/>
        </w:numPr>
        <w:rPr>
          <w:rFonts w:hint="cs"/>
          <w:rtl/>
        </w:rPr>
      </w:pPr>
      <w:r>
        <w:rPr>
          <w:rFonts w:hint="cs"/>
          <w:rtl/>
        </w:rPr>
        <w:t>דרישה לצמצום חשיפה לחברות החזקה</w:t>
      </w:r>
      <w:r w:rsidR="00CF0323">
        <w:rPr>
          <w:rFonts w:hint="cs"/>
          <w:rtl/>
        </w:rPr>
        <w:t>;</w:t>
      </w:r>
    </w:p>
    <w:p w:rsidR="000B44E0" w:rsidRDefault="00CD4325" w:rsidP="000B44E0">
      <w:pPr>
        <w:numPr>
          <w:ilvl w:val="0"/>
          <w:numId w:val="10"/>
        </w:numPr>
        <w:rPr>
          <w:rFonts w:hint="cs"/>
          <w:rtl/>
        </w:rPr>
      </w:pPr>
      <w:r>
        <w:rPr>
          <w:rFonts w:hint="cs"/>
          <w:rtl/>
        </w:rPr>
        <w:t>דרישות לשיפור תפקוד</w:t>
      </w:r>
      <w:r w:rsidR="001C276F">
        <w:rPr>
          <w:rFonts w:hint="cs"/>
          <w:rtl/>
        </w:rPr>
        <w:t xml:space="preserve"> </w:t>
      </w:r>
      <w:r>
        <w:rPr>
          <w:rFonts w:hint="cs"/>
          <w:rtl/>
        </w:rPr>
        <w:t>הדירקטוריון</w:t>
      </w:r>
      <w:r w:rsidR="00CF0323">
        <w:rPr>
          <w:rFonts w:hint="cs"/>
          <w:rtl/>
        </w:rPr>
        <w:t>;</w:t>
      </w:r>
    </w:p>
    <w:p w:rsidR="000B44E0" w:rsidRDefault="00CD4325" w:rsidP="001C276F">
      <w:pPr>
        <w:numPr>
          <w:ilvl w:val="0"/>
          <w:numId w:val="10"/>
        </w:numPr>
        <w:rPr>
          <w:rFonts w:hint="cs"/>
          <w:rtl/>
        </w:rPr>
      </w:pPr>
      <w:r>
        <w:rPr>
          <w:rFonts w:hint="cs"/>
          <w:rtl/>
        </w:rPr>
        <w:t>דרישות לחיזוק אפקטיביות עבודת שומרי הסף</w:t>
      </w:r>
      <w:r w:rsidR="00CF0323">
        <w:rPr>
          <w:rFonts w:hint="cs"/>
          <w:rtl/>
        </w:rPr>
        <w:t>;</w:t>
      </w:r>
    </w:p>
    <w:p w:rsidR="000B44E0" w:rsidRDefault="00CD4325" w:rsidP="000B44E0">
      <w:pPr>
        <w:numPr>
          <w:ilvl w:val="0"/>
          <w:numId w:val="10"/>
        </w:numPr>
        <w:rPr>
          <w:rFonts w:hint="cs"/>
          <w:rtl/>
        </w:rPr>
      </w:pPr>
      <w:r>
        <w:rPr>
          <w:rFonts w:hint="cs"/>
          <w:rtl/>
        </w:rPr>
        <w:t>דרישות למתן מענה לסיכונים מתפתחים (סיכוני ציות, טכנולוגיה, סייבר ו</w:t>
      </w:r>
      <w:r w:rsidR="00CF0323">
        <w:rPr>
          <w:rFonts w:hint="cs"/>
          <w:rtl/>
        </w:rPr>
        <w:t>עוד</w:t>
      </w:r>
      <w:r>
        <w:rPr>
          <w:rFonts w:hint="cs"/>
          <w:rtl/>
        </w:rPr>
        <w:t>)</w:t>
      </w:r>
      <w:r w:rsidR="00CF0323">
        <w:rPr>
          <w:rFonts w:hint="cs"/>
          <w:rtl/>
        </w:rPr>
        <w:t>;</w:t>
      </w:r>
    </w:p>
    <w:p w:rsidR="000B44E0" w:rsidRPr="00F40B60" w:rsidRDefault="00CD4325" w:rsidP="000B44E0">
      <w:pPr>
        <w:numPr>
          <w:ilvl w:val="0"/>
          <w:numId w:val="10"/>
        </w:numPr>
        <w:rPr>
          <w:rFonts w:hint="cs"/>
          <w:rtl/>
        </w:rPr>
      </w:pPr>
      <w:r>
        <w:rPr>
          <w:rFonts w:hint="cs"/>
          <w:rtl/>
        </w:rPr>
        <w:t>קידום ת</w:t>
      </w:r>
      <w:r w:rsidR="00CF0323">
        <w:rPr>
          <w:rFonts w:hint="cs"/>
          <w:rtl/>
        </w:rPr>
        <w:t>ו</w:t>
      </w:r>
      <w:r>
        <w:rPr>
          <w:rFonts w:hint="cs"/>
          <w:rtl/>
        </w:rPr>
        <w:t>כניות התייעלות בבנקים.</w:t>
      </w:r>
    </w:p>
    <w:p w:rsidR="00A44BAC" w:rsidRPr="00F40B60" w:rsidRDefault="00A44BAC" w:rsidP="0099419D">
      <w:pPr>
        <w:rPr>
          <w:rFonts w:hint="cs"/>
          <w:rtl/>
        </w:rPr>
      </w:pPr>
    </w:p>
    <w:p w:rsidR="00F1591A" w:rsidRPr="00F40B60" w:rsidRDefault="00F1591A" w:rsidP="00F1591A">
      <w:pPr>
        <w:rPr>
          <w:rFonts w:hint="cs"/>
          <w:b/>
          <w:bCs/>
          <w:rtl/>
        </w:rPr>
      </w:pPr>
    </w:p>
    <w:sectPr w:rsidR="00F1591A" w:rsidRPr="00F40B60" w:rsidSect="00F543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lowerLetter"/>
      </w:endnotePr>
      <w:pgSz w:w="11906" w:h="16838" w:code="9"/>
      <w:pgMar w:top="284" w:right="1588" w:bottom="1134" w:left="1361" w:header="964" w:footer="561" w:gutter="0"/>
      <w:cols w:space="720"/>
      <w:bidi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4E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A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A0" w:rsidRDefault="009E5FA0">
      <w:pPr>
        <w:spacing w:line="240" w:lineRule="auto"/>
      </w:pPr>
      <w:r>
        <w:separator/>
      </w:r>
    </w:p>
  </w:endnote>
  <w:endnote w:type="continuationSeparator" w:id="0">
    <w:p w:rsidR="009E5FA0" w:rsidRDefault="009E5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546" w:rsidRDefault="00CD4325" w:rsidP="0064358E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rtl/>
      </w:rPr>
      <w:fldChar w:fldCharType="end"/>
    </w:r>
  </w:p>
  <w:p w:rsidR="000F5546" w:rsidRDefault="000F55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11" w:rsidRDefault="00F54311">
    <w:pPr>
      <w:pStyle w:val="a3"/>
      <w:jc w:val="center"/>
      <w:rPr>
        <w:cs/>
      </w:rPr>
    </w:pPr>
    <w:r>
      <w:fldChar w:fldCharType="begin"/>
    </w:r>
    <w:r>
      <w:rPr>
        <w:cs/>
      </w:rPr>
      <w:instrText>PAGE   \* MERGEFORMAT</w:instrText>
    </w:r>
    <w:r>
      <w:fldChar w:fldCharType="separate"/>
    </w:r>
    <w:r w:rsidR="00C7587D" w:rsidRPr="00C7587D">
      <w:rPr>
        <w:noProof/>
        <w:rtl/>
        <w:lang w:val="he-IL"/>
      </w:rPr>
      <w:t>1</w:t>
    </w:r>
    <w:r>
      <w:fldChar w:fldCharType="end"/>
    </w:r>
  </w:p>
  <w:p w:rsidR="000F5546" w:rsidRDefault="000F554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DocOpen"/>
  <w:bookmarkEnd w:id="4"/>
  <w:p w:rsidR="00F54311" w:rsidRDefault="00F54311">
    <w:pPr>
      <w:pStyle w:val="a3"/>
      <w:jc w:val="center"/>
      <w:rPr>
        <w:cs/>
      </w:rPr>
    </w:pPr>
    <w:r>
      <w:fldChar w:fldCharType="begin"/>
    </w:r>
    <w:r>
      <w:rPr>
        <w:cs/>
      </w:rPr>
      <w:instrText>PAGE   \* MERGEFORMAT</w:instrText>
    </w:r>
    <w:r>
      <w:fldChar w:fldCharType="separate"/>
    </w:r>
    <w:r w:rsidRPr="00F54311">
      <w:rPr>
        <w:noProof/>
        <w:rtl/>
        <w:lang w:val="he-IL"/>
      </w:rPr>
      <w:t>1</w:t>
    </w:r>
    <w:r>
      <w:fldChar w:fldCharType="end"/>
    </w:r>
  </w:p>
  <w:p w:rsidR="000F5546" w:rsidRPr="00D340F3" w:rsidRDefault="000F5546" w:rsidP="00EF237D">
    <w:pPr>
      <w:jc w:val="center"/>
      <w:rPr>
        <w:rFonts w:hint="cs"/>
        <w:color w:val="FFFFFF"/>
        <w:sz w:val="2"/>
        <w:szCs w:val="2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A0" w:rsidRDefault="009E5FA0">
      <w:r>
        <w:separator/>
      </w:r>
    </w:p>
  </w:footnote>
  <w:footnote w:type="continuationSeparator" w:id="0">
    <w:p w:rsidR="009E5FA0" w:rsidRDefault="009E5FA0">
      <w:r>
        <w:continuationSeparator/>
      </w:r>
    </w:p>
  </w:footnote>
  <w:footnote w:id="1">
    <w:p w:rsidR="000F5546" w:rsidRDefault="00CD4325">
      <w:pPr>
        <w:pStyle w:val="a8"/>
        <w:rPr>
          <w:rFonts w:hint="cs"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בנקים עצמאיים, חברות בנות בנקאיות, חברות כרטיסי אשראי, שלוחות של בנקים ישראליים בחו"ל, סניפים של בנקים זרים, חברות בנות שאינן בנקאיות וכו'.</w:t>
      </w:r>
    </w:p>
  </w:footnote>
  <w:footnote w:id="2">
    <w:p w:rsidR="000F5546" w:rsidRDefault="00CD4325" w:rsidP="001A2828">
      <w:pPr>
        <w:pStyle w:val="a8"/>
        <w:rPr>
          <w:rFonts w:hint="cs"/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t>Internal Capital Adequacy and Assessment Process</w:t>
      </w:r>
      <w:r>
        <w:rPr>
          <w:rFonts w:hint="cs"/>
          <w:rtl/>
        </w:rPr>
        <w:t>. בקיצור נמרץ, מדובר במסמך פנימי שהבנק מפיק ובו הוא מעריך אם ההון העצמי שלו נאות יחסית לרמת הסיכון.</w:t>
      </w:r>
      <w:r w:rsidRPr="001F67DF">
        <w:rPr>
          <w:rFonts w:hint="cs"/>
          <w:rtl/>
        </w:rPr>
        <w:t xml:space="preserve"> </w:t>
      </w:r>
      <w:r>
        <w:rPr>
          <w:rFonts w:hint="cs"/>
          <w:rtl/>
        </w:rPr>
        <w:t>הדרישה לגבש הערכה פנימית לנאותות ההון מוסדרת בהוראות הפיקוח ומבוססת על הנחיות ועדת באזל בנושא הלימות הון.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546" w:rsidRDefault="00CD4325" w:rsidP="0028590F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0F5546" w:rsidRDefault="000F55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546" w:rsidRDefault="000F5546" w:rsidP="0028590F">
    <w:pPr>
      <w:pStyle w:val="a6"/>
      <w:framePr w:wrap="around" w:vAnchor="text" w:hAnchor="margin" w:xAlign="center" w:y="1"/>
      <w:rPr>
        <w:rStyle w:val="a5"/>
      </w:rPr>
    </w:pPr>
  </w:p>
  <w:p w:rsidR="000F5546" w:rsidRPr="00F54311" w:rsidRDefault="000F554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3746"/>
      <w:gridCol w:w="936"/>
      <w:gridCol w:w="3840"/>
    </w:tblGrid>
    <w:tr w:rsidR="00F54311" w:rsidRPr="00123C42" w:rsidTr="00464E4F">
      <w:tc>
        <w:tcPr>
          <w:tcW w:w="3746" w:type="dxa"/>
          <w:tcBorders>
            <w:bottom w:val="single" w:sz="4" w:space="0" w:color="auto"/>
          </w:tcBorders>
        </w:tcPr>
        <w:p w:rsidR="00F54311" w:rsidRPr="00123C42" w:rsidRDefault="00F54311" w:rsidP="00F54311">
          <w:pPr>
            <w:tabs>
              <w:tab w:val="clear" w:pos="1134"/>
              <w:tab w:val="clear" w:pos="1814"/>
              <w:tab w:val="clear" w:pos="2665"/>
              <w:tab w:val="right" w:pos="3530"/>
            </w:tabs>
            <w:spacing w:line="240" w:lineRule="auto"/>
            <w:rPr>
              <w:rFonts w:ascii="Arial" w:eastAsia="Calibri" w:hAnsi="Arial"/>
              <w:b/>
              <w:bCs/>
              <w:rtl/>
            </w:rPr>
          </w:pPr>
          <w:bookmarkStart w:id="1" w:name="T004"/>
          <w:bookmarkEnd w:id="1"/>
          <w:r w:rsidRPr="00123C42">
            <w:rPr>
              <w:rFonts w:ascii="Arial" w:eastAsia="Calibri" w:hAnsi="Arial"/>
              <w:b/>
              <w:bCs/>
              <w:rtl/>
            </w:rPr>
            <w:t>בנק ישראל</w:t>
          </w:r>
          <w:r>
            <w:rPr>
              <w:rFonts w:ascii="Arial" w:eastAsia="Calibri" w:hAnsi="Arial"/>
              <w:b/>
              <w:bCs/>
              <w:rtl/>
            </w:rPr>
            <w:tab/>
          </w:r>
        </w:p>
        <w:p w:rsidR="00F54311" w:rsidRPr="00123C42" w:rsidRDefault="00F54311" w:rsidP="00F54311">
          <w:pPr>
            <w:spacing w:line="240" w:lineRule="auto"/>
            <w:rPr>
              <w:rFonts w:ascii="Arial" w:eastAsia="Calibri" w:hAnsi="Arial"/>
              <w:b/>
              <w:bCs/>
              <w:rtl/>
            </w:rPr>
          </w:pPr>
          <w:r w:rsidRPr="00123C42">
            <w:rPr>
              <w:rFonts w:ascii="Arial" w:eastAsia="Calibri" w:hAnsi="Arial"/>
              <w:b/>
              <w:bCs/>
              <w:rtl/>
            </w:rPr>
            <w:t>חטיבת הפיקוח על הבנקים</w:t>
          </w:r>
        </w:p>
        <w:p w:rsidR="00F54311" w:rsidRPr="00123C42" w:rsidRDefault="00F54311" w:rsidP="00F54311">
          <w:pPr>
            <w:spacing w:line="240" w:lineRule="auto"/>
            <w:rPr>
              <w:rFonts w:eastAsia="Calibri"/>
              <w:sz w:val="16"/>
              <w:szCs w:val="16"/>
              <w:rtl/>
            </w:rPr>
          </w:pPr>
        </w:p>
      </w:tc>
      <w:tc>
        <w:tcPr>
          <w:tcW w:w="936" w:type="dxa"/>
          <w:vMerge w:val="restart"/>
        </w:tcPr>
        <w:p w:rsidR="00F54311" w:rsidRPr="00123C42" w:rsidRDefault="00F54311" w:rsidP="00F54311">
          <w:pPr>
            <w:spacing w:line="240" w:lineRule="auto"/>
            <w:rPr>
              <w:rFonts w:eastAsia="Calibri"/>
              <w:sz w:val="16"/>
              <w:szCs w:val="16"/>
              <w:rtl/>
            </w:rPr>
          </w:pPr>
        </w:p>
        <w:p w:rsidR="00F54311" w:rsidRPr="00123C42" w:rsidRDefault="00F54311" w:rsidP="00F54311">
          <w:pPr>
            <w:spacing w:line="240" w:lineRule="auto"/>
            <w:rPr>
              <w:rFonts w:eastAsia="Calibri"/>
              <w:sz w:val="16"/>
              <w:szCs w:val="16"/>
              <w:rtl/>
            </w:rPr>
          </w:pPr>
        </w:p>
        <w:p w:rsidR="00F54311" w:rsidRPr="00123C42" w:rsidRDefault="00C7587D" w:rsidP="00F54311">
          <w:pPr>
            <w:spacing w:line="240" w:lineRule="auto"/>
            <w:rPr>
              <w:rFonts w:eastAsia="Calibri"/>
              <w:sz w:val="16"/>
              <w:szCs w:val="16"/>
            </w:rPr>
          </w:pPr>
          <w:r w:rsidRPr="00F54311">
            <w:rPr>
              <w:rFonts w:eastAsia="Calibri"/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2" name="תמונה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tcBorders>
            <w:bottom w:val="single" w:sz="4" w:space="0" w:color="auto"/>
          </w:tcBorders>
        </w:tcPr>
        <w:p w:rsidR="00F54311" w:rsidRPr="00123C42" w:rsidRDefault="00F54311" w:rsidP="00F54311">
          <w:pPr>
            <w:spacing w:line="240" w:lineRule="auto"/>
            <w:jc w:val="right"/>
            <w:rPr>
              <w:rFonts w:eastAsia="Calibri"/>
              <w:b/>
              <w:bCs/>
              <w:rtl/>
            </w:rPr>
          </w:pPr>
          <w:r w:rsidRPr="00123C42">
            <w:rPr>
              <w:rFonts w:eastAsia="Calibri"/>
              <w:b/>
              <w:bCs/>
            </w:rPr>
            <w:t>Bank of Israel</w:t>
          </w:r>
        </w:p>
        <w:p w:rsidR="00F54311" w:rsidRPr="00123C42" w:rsidRDefault="00F54311" w:rsidP="00F54311">
          <w:pPr>
            <w:spacing w:line="240" w:lineRule="auto"/>
            <w:jc w:val="right"/>
            <w:rPr>
              <w:rFonts w:eastAsia="Calibri"/>
              <w:b/>
              <w:bCs/>
              <w:rtl/>
            </w:rPr>
          </w:pPr>
          <w:r w:rsidRPr="00123C42">
            <w:rPr>
              <w:rFonts w:eastAsia="Calibri"/>
              <w:b/>
              <w:bCs/>
            </w:rPr>
            <w:t>Banking Supervision Department</w:t>
          </w:r>
        </w:p>
        <w:p w:rsidR="00F54311" w:rsidRPr="00123C42" w:rsidRDefault="00F54311" w:rsidP="00F54311">
          <w:pPr>
            <w:spacing w:line="240" w:lineRule="auto"/>
            <w:jc w:val="right"/>
            <w:rPr>
              <w:rFonts w:eastAsia="Calibri"/>
              <w:rtl/>
            </w:rPr>
          </w:pPr>
        </w:p>
      </w:tc>
    </w:tr>
    <w:tr w:rsidR="00F54311" w:rsidRPr="00123C42" w:rsidTr="00464E4F">
      <w:tc>
        <w:tcPr>
          <w:tcW w:w="3746" w:type="dxa"/>
          <w:tcBorders>
            <w:top w:val="single" w:sz="4" w:space="0" w:color="auto"/>
          </w:tcBorders>
        </w:tcPr>
        <w:p w:rsidR="00F54311" w:rsidRPr="00123C42" w:rsidRDefault="00F54311" w:rsidP="00F54311">
          <w:pPr>
            <w:spacing w:line="240" w:lineRule="auto"/>
            <w:rPr>
              <w:rFonts w:eastAsia="Calibri"/>
              <w:sz w:val="16"/>
              <w:szCs w:val="16"/>
            </w:rPr>
          </w:pPr>
        </w:p>
      </w:tc>
      <w:tc>
        <w:tcPr>
          <w:tcW w:w="936" w:type="dxa"/>
          <w:vMerge/>
        </w:tcPr>
        <w:p w:rsidR="00F54311" w:rsidRPr="00123C42" w:rsidRDefault="00F54311" w:rsidP="00F54311">
          <w:pPr>
            <w:spacing w:line="240" w:lineRule="auto"/>
            <w:rPr>
              <w:rFonts w:eastAsia="Calibri"/>
              <w:sz w:val="16"/>
              <w:szCs w:val="16"/>
            </w:rPr>
          </w:pPr>
        </w:p>
      </w:tc>
      <w:tc>
        <w:tcPr>
          <w:tcW w:w="3840" w:type="dxa"/>
          <w:tcBorders>
            <w:top w:val="single" w:sz="4" w:space="0" w:color="auto"/>
          </w:tcBorders>
        </w:tcPr>
        <w:p w:rsidR="00F54311" w:rsidRPr="00123C42" w:rsidRDefault="00F54311" w:rsidP="00F54311">
          <w:pPr>
            <w:spacing w:line="240" w:lineRule="auto"/>
            <w:jc w:val="right"/>
            <w:rPr>
              <w:rFonts w:eastAsia="Calibri"/>
              <w:sz w:val="16"/>
              <w:szCs w:val="16"/>
            </w:rPr>
          </w:pPr>
        </w:p>
      </w:tc>
    </w:tr>
  </w:tbl>
  <w:p w:rsidR="00F54311" w:rsidRDefault="00F54311" w:rsidP="00F54311">
    <w:pPr>
      <w:pStyle w:val="a6"/>
    </w:pPr>
  </w:p>
  <w:p w:rsidR="000F5546" w:rsidRPr="00CF2125" w:rsidRDefault="000F5546" w:rsidP="003B43FE">
    <w:pPr>
      <w:pStyle w:val="a6"/>
      <w:rPr>
        <w:rFonts w:hint="cs"/>
        <w:sz w:val="2"/>
        <w:szCs w:val="2"/>
      </w:rPr>
    </w:pPr>
    <w:bookmarkStart w:id="2" w:name="T005"/>
    <w:bookmarkStart w:id="3" w:name="Flag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5717"/>
    <w:multiLevelType w:val="hybridMultilevel"/>
    <w:tmpl w:val="D0946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5FA"/>
    <w:multiLevelType w:val="hybridMultilevel"/>
    <w:tmpl w:val="0BEA5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1815"/>
    <w:multiLevelType w:val="hybridMultilevel"/>
    <w:tmpl w:val="207C79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F6262"/>
    <w:multiLevelType w:val="hybridMultilevel"/>
    <w:tmpl w:val="4C389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07851"/>
    <w:multiLevelType w:val="multilevel"/>
    <w:tmpl w:val="8F9AB302"/>
    <w:lvl w:ilvl="0">
      <w:start w:val="1"/>
      <w:numFmt w:val="decimal"/>
      <w:pStyle w:val="1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8"/>
        </w:tabs>
        <w:ind w:left="1138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5" w15:restartNumberingAfterBreak="0">
    <w:nsid w:val="6ABB5B7F"/>
    <w:multiLevelType w:val="hybridMultilevel"/>
    <w:tmpl w:val="439E708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573B7"/>
    <w:multiLevelType w:val="hybridMultilevel"/>
    <w:tmpl w:val="0DBE9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64"/>
    <w:rsid w:val="000009F1"/>
    <w:rsid w:val="0000619D"/>
    <w:rsid w:val="00007B3A"/>
    <w:rsid w:val="00007C4B"/>
    <w:rsid w:val="0001164B"/>
    <w:rsid w:val="00013569"/>
    <w:rsid w:val="000138B6"/>
    <w:rsid w:val="00013C79"/>
    <w:rsid w:val="000141C0"/>
    <w:rsid w:val="000260BF"/>
    <w:rsid w:val="00035F57"/>
    <w:rsid w:val="00037812"/>
    <w:rsid w:val="000401B0"/>
    <w:rsid w:val="00041900"/>
    <w:rsid w:val="00042F68"/>
    <w:rsid w:val="0004453D"/>
    <w:rsid w:val="00044E75"/>
    <w:rsid w:val="000454F4"/>
    <w:rsid w:val="000458B3"/>
    <w:rsid w:val="00045FE5"/>
    <w:rsid w:val="0005118E"/>
    <w:rsid w:val="0005120D"/>
    <w:rsid w:val="00057218"/>
    <w:rsid w:val="0006325B"/>
    <w:rsid w:val="0006475C"/>
    <w:rsid w:val="00071316"/>
    <w:rsid w:val="00073855"/>
    <w:rsid w:val="00074D82"/>
    <w:rsid w:val="0007611F"/>
    <w:rsid w:val="000776FF"/>
    <w:rsid w:val="00080F31"/>
    <w:rsid w:val="00081137"/>
    <w:rsid w:val="000817AA"/>
    <w:rsid w:val="000821B2"/>
    <w:rsid w:val="00082403"/>
    <w:rsid w:val="000845B5"/>
    <w:rsid w:val="00084E9A"/>
    <w:rsid w:val="000861D4"/>
    <w:rsid w:val="00086CA6"/>
    <w:rsid w:val="00086E6E"/>
    <w:rsid w:val="0008722A"/>
    <w:rsid w:val="00087C8A"/>
    <w:rsid w:val="00094BA3"/>
    <w:rsid w:val="00095E0A"/>
    <w:rsid w:val="00096D9E"/>
    <w:rsid w:val="000976BD"/>
    <w:rsid w:val="000A2739"/>
    <w:rsid w:val="000A5714"/>
    <w:rsid w:val="000A6855"/>
    <w:rsid w:val="000A7D1A"/>
    <w:rsid w:val="000B4065"/>
    <w:rsid w:val="000B44E0"/>
    <w:rsid w:val="000B46DD"/>
    <w:rsid w:val="000B47D0"/>
    <w:rsid w:val="000C3299"/>
    <w:rsid w:val="000C491E"/>
    <w:rsid w:val="000D0E49"/>
    <w:rsid w:val="000D197F"/>
    <w:rsid w:val="000D281C"/>
    <w:rsid w:val="000D68C4"/>
    <w:rsid w:val="000E0CD4"/>
    <w:rsid w:val="000E4353"/>
    <w:rsid w:val="000E655A"/>
    <w:rsid w:val="000F0F14"/>
    <w:rsid w:val="000F308D"/>
    <w:rsid w:val="000F4ABC"/>
    <w:rsid w:val="000F5546"/>
    <w:rsid w:val="000F6C4F"/>
    <w:rsid w:val="000F6FB6"/>
    <w:rsid w:val="000F785B"/>
    <w:rsid w:val="00100643"/>
    <w:rsid w:val="00100AC3"/>
    <w:rsid w:val="00101288"/>
    <w:rsid w:val="00102044"/>
    <w:rsid w:val="00103060"/>
    <w:rsid w:val="00105D15"/>
    <w:rsid w:val="00106938"/>
    <w:rsid w:val="00106E34"/>
    <w:rsid w:val="0010741A"/>
    <w:rsid w:val="00110699"/>
    <w:rsid w:val="00110CC5"/>
    <w:rsid w:val="00111567"/>
    <w:rsid w:val="00113229"/>
    <w:rsid w:val="00114069"/>
    <w:rsid w:val="00115537"/>
    <w:rsid w:val="001171D2"/>
    <w:rsid w:val="001211C1"/>
    <w:rsid w:val="0012372B"/>
    <w:rsid w:val="00125EE5"/>
    <w:rsid w:val="00126797"/>
    <w:rsid w:val="001272AD"/>
    <w:rsid w:val="00127926"/>
    <w:rsid w:val="00130B12"/>
    <w:rsid w:val="00131FFE"/>
    <w:rsid w:val="00133D36"/>
    <w:rsid w:val="00135649"/>
    <w:rsid w:val="00137FE4"/>
    <w:rsid w:val="00140C61"/>
    <w:rsid w:val="00141630"/>
    <w:rsid w:val="00142AF8"/>
    <w:rsid w:val="00146716"/>
    <w:rsid w:val="00146D0A"/>
    <w:rsid w:val="00147470"/>
    <w:rsid w:val="0015033E"/>
    <w:rsid w:val="00151B3D"/>
    <w:rsid w:val="00153CF0"/>
    <w:rsid w:val="00155830"/>
    <w:rsid w:val="00155A8A"/>
    <w:rsid w:val="00156C1B"/>
    <w:rsid w:val="00156EA2"/>
    <w:rsid w:val="00160A24"/>
    <w:rsid w:val="00163AF9"/>
    <w:rsid w:val="00165C09"/>
    <w:rsid w:val="00167A84"/>
    <w:rsid w:val="00170266"/>
    <w:rsid w:val="00184124"/>
    <w:rsid w:val="00184A03"/>
    <w:rsid w:val="00184D7A"/>
    <w:rsid w:val="00186466"/>
    <w:rsid w:val="001906A9"/>
    <w:rsid w:val="00194486"/>
    <w:rsid w:val="001945A5"/>
    <w:rsid w:val="00194701"/>
    <w:rsid w:val="0019495D"/>
    <w:rsid w:val="00194AD9"/>
    <w:rsid w:val="00194B92"/>
    <w:rsid w:val="00194FBC"/>
    <w:rsid w:val="001A01E9"/>
    <w:rsid w:val="001A243E"/>
    <w:rsid w:val="001A2828"/>
    <w:rsid w:val="001A2B3D"/>
    <w:rsid w:val="001A3BAA"/>
    <w:rsid w:val="001A405F"/>
    <w:rsid w:val="001A4876"/>
    <w:rsid w:val="001A5EB2"/>
    <w:rsid w:val="001B0BC5"/>
    <w:rsid w:val="001B372B"/>
    <w:rsid w:val="001B6B12"/>
    <w:rsid w:val="001B6C34"/>
    <w:rsid w:val="001C276F"/>
    <w:rsid w:val="001C295C"/>
    <w:rsid w:val="001C59F2"/>
    <w:rsid w:val="001C66FF"/>
    <w:rsid w:val="001C6957"/>
    <w:rsid w:val="001C6A20"/>
    <w:rsid w:val="001C738B"/>
    <w:rsid w:val="001D1534"/>
    <w:rsid w:val="001D6939"/>
    <w:rsid w:val="001D7B56"/>
    <w:rsid w:val="001E1307"/>
    <w:rsid w:val="001E483C"/>
    <w:rsid w:val="001E7C4C"/>
    <w:rsid w:val="001F044E"/>
    <w:rsid w:val="001F1AB8"/>
    <w:rsid w:val="001F33C0"/>
    <w:rsid w:val="001F4677"/>
    <w:rsid w:val="001F59E8"/>
    <w:rsid w:val="001F67DF"/>
    <w:rsid w:val="002002F9"/>
    <w:rsid w:val="002007C5"/>
    <w:rsid w:val="00204A9E"/>
    <w:rsid w:val="00205AF3"/>
    <w:rsid w:val="002075FE"/>
    <w:rsid w:val="00212D83"/>
    <w:rsid w:val="00213AC8"/>
    <w:rsid w:val="002150F7"/>
    <w:rsid w:val="00221338"/>
    <w:rsid w:val="00221541"/>
    <w:rsid w:val="0022198F"/>
    <w:rsid w:val="00221F62"/>
    <w:rsid w:val="002238C8"/>
    <w:rsid w:val="002246EF"/>
    <w:rsid w:val="00225D41"/>
    <w:rsid w:val="00225F5D"/>
    <w:rsid w:val="00227159"/>
    <w:rsid w:val="002316B8"/>
    <w:rsid w:val="00232400"/>
    <w:rsid w:val="00234220"/>
    <w:rsid w:val="0023546C"/>
    <w:rsid w:val="00243271"/>
    <w:rsid w:val="002435F5"/>
    <w:rsid w:val="002437D9"/>
    <w:rsid w:val="00244D5E"/>
    <w:rsid w:val="00245ADD"/>
    <w:rsid w:val="00246763"/>
    <w:rsid w:val="00247AC5"/>
    <w:rsid w:val="00247BBC"/>
    <w:rsid w:val="00251D7B"/>
    <w:rsid w:val="0025451F"/>
    <w:rsid w:val="00254AF8"/>
    <w:rsid w:val="00254E88"/>
    <w:rsid w:val="00255A65"/>
    <w:rsid w:val="002624C4"/>
    <w:rsid w:val="0026456B"/>
    <w:rsid w:val="00270428"/>
    <w:rsid w:val="0027211B"/>
    <w:rsid w:val="0027242B"/>
    <w:rsid w:val="002724DF"/>
    <w:rsid w:val="002755BE"/>
    <w:rsid w:val="00280677"/>
    <w:rsid w:val="00280A4A"/>
    <w:rsid w:val="00281822"/>
    <w:rsid w:val="00282DF6"/>
    <w:rsid w:val="0028590F"/>
    <w:rsid w:val="0028765A"/>
    <w:rsid w:val="002908F2"/>
    <w:rsid w:val="00290A81"/>
    <w:rsid w:val="002931D6"/>
    <w:rsid w:val="00293C7E"/>
    <w:rsid w:val="0029435A"/>
    <w:rsid w:val="00294F93"/>
    <w:rsid w:val="00296CB4"/>
    <w:rsid w:val="002A05C1"/>
    <w:rsid w:val="002A27A9"/>
    <w:rsid w:val="002A2ACB"/>
    <w:rsid w:val="002A4B2D"/>
    <w:rsid w:val="002A5E7C"/>
    <w:rsid w:val="002A6731"/>
    <w:rsid w:val="002A6CA2"/>
    <w:rsid w:val="002B02BE"/>
    <w:rsid w:val="002B1970"/>
    <w:rsid w:val="002B2743"/>
    <w:rsid w:val="002B4577"/>
    <w:rsid w:val="002B5941"/>
    <w:rsid w:val="002B5A3C"/>
    <w:rsid w:val="002B65BC"/>
    <w:rsid w:val="002B7502"/>
    <w:rsid w:val="002B7766"/>
    <w:rsid w:val="002B7DA2"/>
    <w:rsid w:val="002C0393"/>
    <w:rsid w:val="002C0546"/>
    <w:rsid w:val="002C130F"/>
    <w:rsid w:val="002C70F9"/>
    <w:rsid w:val="002C72C8"/>
    <w:rsid w:val="002C7A75"/>
    <w:rsid w:val="002D2E71"/>
    <w:rsid w:val="002D31A3"/>
    <w:rsid w:val="002D3AAD"/>
    <w:rsid w:val="002D3C78"/>
    <w:rsid w:val="002D3F47"/>
    <w:rsid w:val="002D4F2D"/>
    <w:rsid w:val="002D67B5"/>
    <w:rsid w:val="002E054E"/>
    <w:rsid w:val="002E12DD"/>
    <w:rsid w:val="002E1502"/>
    <w:rsid w:val="002E2F23"/>
    <w:rsid w:val="002E4247"/>
    <w:rsid w:val="002E64F3"/>
    <w:rsid w:val="002E7DBA"/>
    <w:rsid w:val="002F12D8"/>
    <w:rsid w:val="002F1725"/>
    <w:rsid w:val="002F2614"/>
    <w:rsid w:val="002F28BA"/>
    <w:rsid w:val="002F3553"/>
    <w:rsid w:val="002F7A8C"/>
    <w:rsid w:val="003000B6"/>
    <w:rsid w:val="00300F86"/>
    <w:rsid w:val="00300FF0"/>
    <w:rsid w:val="00301B09"/>
    <w:rsid w:val="00303455"/>
    <w:rsid w:val="00303734"/>
    <w:rsid w:val="003051CB"/>
    <w:rsid w:val="00306D35"/>
    <w:rsid w:val="003078C5"/>
    <w:rsid w:val="0031140D"/>
    <w:rsid w:val="00316D46"/>
    <w:rsid w:val="00320FA1"/>
    <w:rsid w:val="00321406"/>
    <w:rsid w:val="003254C8"/>
    <w:rsid w:val="00327890"/>
    <w:rsid w:val="00327B85"/>
    <w:rsid w:val="00330D5C"/>
    <w:rsid w:val="00336128"/>
    <w:rsid w:val="00337B6B"/>
    <w:rsid w:val="00337D75"/>
    <w:rsid w:val="0034037E"/>
    <w:rsid w:val="00341BFD"/>
    <w:rsid w:val="00342FFB"/>
    <w:rsid w:val="00345A0C"/>
    <w:rsid w:val="00345D1E"/>
    <w:rsid w:val="00346469"/>
    <w:rsid w:val="00347BF9"/>
    <w:rsid w:val="00347CE0"/>
    <w:rsid w:val="0035052B"/>
    <w:rsid w:val="00351FFC"/>
    <w:rsid w:val="00353B74"/>
    <w:rsid w:val="00355E0B"/>
    <w:rsid w:val="003564D2"/>
    <w:rsid w:val="00356529"/>
    <w:rsid w:val="003622AC"/>
    <w:rsid w:val="00362C64"/>
    <w:rsid w:val="00363249"/>
    <w:rsid w:val="00365066"/>
    <w:rsid w:val="003652B5"/>
    <w:rsid w:val="00366697"/>
    <w:rsid w:val="00366AEF"/>
    <w:rsid w:val="003713AF"/>
    <w:rsid w:val="00372AD5"/>
    <w:rsid w:val="003738DB"/>
    <w:rsid w:val="003754D5"/>
    <w:rsid w:val="00375791"/>
    <w:rsid w:val="003759F0"/>
    <w:rsid w:val="00375F5A"/>
    <w:rsid w:val="00377BCC"/>
    <w:rsid w:val="003823E8"/>
    <w:rsid w:val="00383897"/>
    <w:rsid w:val="00384299"/>
    <w:rsid w:val="00390FDD"/>
    <w:rsid w:val="00391905"/>
    <w:rsid w:val="00391E19"/>
    <w:rsid w:val="00392580"/>
    <w:rsid w:val="0039381A"/>
    <w:rsid w:val="003939EF"/>
    <w:rsid w:val="00393D99"/>
    <w:rsid w:val="00395D98"/>
    <w:rsid w:val="003960D3"/>
    <w:rsid w:val="0039788E"/>
    <w:rsid w:val="00397ABD"/>
    <w:rsid w:val="003A0326"/>
    <w:rsid w:val="003A0F0C"/>
    <w:rsid w:val="003A1AC9"/>
    <w:rsid w:val="003A3260"/>
    <w:rsid w:val="003A58D7"/>
    <w:rsid w:val="003B1566"/>
    <w:rsid w:val="003B1712"/>
    <w:rsid w:val="003B1DC0"/>
    <w:rsid w:val="003B2415"/>
    <w:rsid w:val="003B4241"/>
    <w:rsid w:val="003B43FE"/>
    <w:rsid w:val="003B538C"/>
    <w:rsid w:val="003B6ABC"/>
    <w:rsid w:val="003C0EF7"/>
    <w:rsid w:val="003C1DAB"/>
    <w:rsid w:val="003C28AF"/>
    <w:rsid w:val="003C4F4D"/>
    <w:rsid w:val="003C5424"/>
    <w:rsid w:val="003C7F8F"/>
    <w:rsid w:val="003D05B0"/>
    <w:rsid w:val="003D236D"/>
    <w:rsid w:val="003D3D30"/>
    <w:rsid w:val="003D3E76"/>
    <w:rsid w:val="003D4A05"/>
    <w:rsid w:val="003D6B17"/>
    <w:rsid w:val="003D6F9F"/>
    <w:rsid w:val="003D783C"/>
    <w:rsid w:val="003D7F6A"/>
    <w:rsid w:val="003E1421"/>
    <w:rsid w:val="003E3D97"/>
    <w:rsid w:val="003E4314"/>
    <w:rsid w:val="003E62E0"/>
    <w:rsid w:val="003E740C"/>
    <w:rsid w:val="003E7430"/>
    <w:rsid w:val="003E7E5E"/>
    <w:rsid w:val="003F30A2"/>
    <w:rsid w:val="003F6967"/>
    <w:rsid w:val="00400454"/>
    <w:rsid w:val="0040432E"/>
    <w:rsid w:val="0040551F"/>
    <w:rsid w:val="00414AF3"/>
    <w:rsid w:val="00415587"/>
    <w:rsid w:val="00416064"/>
    <w:rsid w:val="004164F7"/>
    <w:rsid w:val="00417099"/>
    <w:rsid w:val="004172CC"/>
    <w:rsid w:val="00417685"/>
    <w:rsid w:val="00417729"/>
    <w:rsid w:val="00424030"/>
    <w:rsid w:val="004262CB"/>
    <w:rsid w:val="0042636E"/>
    <w:rsid w:val="00430662"/>
    <w:rsid w:val="00431F95"/>
    <w:rsid w:val="00436361"/>
    <w:rsid w:val="0043715E"/>
    <w:rsid w:val="0043742A"/>
    <w:rsid w:val="004406D4"/>
    <w:rsid w:val="00441212"/>
    <w:rsid w:val="00441B3D"/>
    <w:rsid w:val="00441D73"/>
    <w:rsid w:val="004467D4"/>
    <w:rsid w:val="00447019"/>
    <w:rsid w:val="0045002A"/>
    <w:rsid w:val="00451DBC"/>
    <w:rsid w:val="004527A7"/>
    <w:rsid w:val="00454CCF"/>
    <w:rsid w:val="00463749"/>
    <w:rsid w:val="00464929"/>
    <w:rsid w:val="00464C4D"/>
    <w:rsid w:val="00464E4F"/>
    <w:rsid w:val="0047055A"/>
    <w:rsid w:val="00470E3A"/>
    <w:rsid w:val="00473017"/>
    <w:rsid w:val="00475D9E"/>
    <w:rsid w:val="004801ED"/>
    <w:rsid w:val="00481FE7"/>
    <w:rsid w:val="0048355D"/>
    <w:rsid w:val="00483947"/>
    <w:rsid w:val="00484C6E"/>
    <w:rsid w:val="004852C8"/>
    <w:rsid w:val="00485CE3"/>
    <w:rsid w:val="00486397"/>
    <w:rsid w:val="00487119"/>
    <w:rsid w:val="00487EF6"/>
    <w:rsid w:val="004900B6"/>
    <w:rsid w:val="00490A9A"/>
    <w:rsid w:val="00493529"/>
    <w:rsid w:val="00495F98"/>
    <w:rsid w:val="004963B2"/>
    <w:rsid w:val="004A0C15"/>
    <w:rsid w:val="004A3143"/>
    <w:rsid w:val="004A496E"/>
    <w:rsid w:val="004A4DDD"/>
    <w:rsid w:val="004A62B0"/>
    <w:rsid w:val="004B0FE6"/>
    <w:rsid w:val="004B24C5"/>
    <w:rsid w:val="004B31C0"/>
    <w:rsid w:val="004B45D3"/>
    <w:rsid w:val="004B6EF3"/>
    <w:rsid w:val="004C27C9"/>
    <w:rsid w:val="004C431D"/>
    <w:rsid w:val="004C4667"/>
    <w:rsid w:val="004C5AEF"/>
    <w:rsid w:val="004C7CF7"/>
    <w:rsid w:val="004D054E"/>
    <w:rsid w:val="004D0830"/>
    <w:rsid w:val="004D18DC"/>
    <w:rsid w:val="004D2DAC"/>
    <w:rsid w:val="004D3716"/>
    <w:rsid w:val="004D4CA9"/>
    <w:rsid w:val="004D4F93"/>
    <w:rsid w:val="004D6CBF"/>
    <w:rsid w:val="004E0649"/>
    <w:rsid w:val="004E0AA5"/>
    <w:rsid w:val="004E0B60"/>
    <w:rsid w:val="004E28A1"/>
    <w:rsid w:val="004E2B1B"/>
    <w:rsid w:val="004E2F78"/>
    <w:rsid w:val="004E3EBC"/>
    <w:rsid w:val="004E62D5"/>
    <w:rsid w:val="004E70CB"/>
    <w:rsid w:val="004F5D4C"/>
    <w:rsid w:val="004F7168"/>
    <w:rsid w:val="0050392B"/>
    <w:rsid w:val="00504CBC"/>
    <w:rsid w:val="00505A86"/>
    <w:rsid w:val="005064AF"/>
    <w:rsid w:val="005071A0"/>
    <w:rsid w:val="005071D7"/>
    <w:rsid w:val="00510D91"/>
    <w:rsid w:val="00510ECE"/>
    <w:rsid w:val="00516F0F"/>
    <w:rsid w:val="005215C7"/>
    <w:rsid w:val="00521F7B"/>
    <w:rsid w:val="0052348D"/>
    <w:rsid w:val="00524AB4"/>
    <w:rsid w:val="00530042"/>
    <w:rsid w:val="00531324"/>
    <w:rsid w:val="00531E53"/>
    <w:rsid w:val="0053292B"/>
    <w:rsid w:val="0053479A"/>
    <w:rsid w:val="00536569"/>
    <w:rsid w:val="00537327"/>
    <w:rsid w:val="0054089E"/>
    <w:rsid w:val="00540D23"/>
    <w:rsid w:val="00541B1C"/>
    <w:rsid w:val="00542763"/>
    <w:rsid w:val="00547DB2"/>
    <w:rsid w:val="00555FD4"/>
    <w:rsid w:val="005574F4"/>
    <w:rsid w:val="00557ABD"/>
    <w:rsid w:val="0056195F"/>
    <w:rsid w:val="00561ABA"/>
    <w:rsid w:val="0056307E"/>
    <w:rsid w:val="00565159"/>
    <w:rsid w:val="0056548D"/>
    <w:rsid w:val="00566014"/>
    <w:rsid w:val="005752A2"/>
    <w:rsid w:val="00575F6C"/>
    <w:rsid w:val="00575FBA"/>
    <w:rsid w:val="00577F62"/>
    <w:rsid w:val="00580A0A"/>
    <w:rsid w:val="005816F7"/>
    <w:rsid w:val="00583556"/>
    <w:rsid w:val="00583858"/>
    <w:rsid w:val="005850AC"/>
    <w:rsid w:val="00586A2E"/>
    <w:rsid w:val="00591AB8"/>
    <w:rsid w:val="00593476"/>
    <w:rsid w:val="00594AFD"/>
    <w:rsid w:val="0059532C"/>
    <w:rsid w:val="005958DE"/>
    <w:rsid w:val="00595AF8"/>
    <w:rsid w:val="00596C8D"/>
    <w:rsid w:val="00597DF3"/>
    <w:rsid w:val="005A27CD"/>
    <w:rsid w:val="005A2FAD"/>
    <w:rsid w:val="005A3B39"/>
    <w:rsid w:val="005A3F75"/>
    <w:rsid w:val="005A47AA"/>
    <w:rsid w:val="005A7F27"/>
    <w:rsid w:val="005B2A49"/>
    <w:rsid w:val="005B432B"/>
    <w:rsid w:val="005C227B"/>
    <w:rsid w:val="005C2EC2"/>
    <w:rsid w:val="005C3161"/>
    <w:rsid w:val="005C32C3"/>
    <w:rsid w:val="005C4371"/>
    <w:rsid w:val="005C6730"/>
    <w:rsid w:val="005C698D"/>
    <w:rsid w:val="005C69CB"/>
    <w:rsid w:val="005D0D16"/>
    <w:rsid w:val="005D0F41"/>
    <w:rsid w:val="005D1AF1"/>
    <w:rsid w:val="005D3455"/>
    <w:rsid w:val="005D5C84"/>
    <w:rsid w:val="005D62A0"/>
    <w:rsid w:val="005D6B69"/>
    <w:rsid w:val="005D74EF"/>
    <w:rsid w:val="005D7589"/>
    <w:rsid w:val="005E0EEC"/>
    <w:rsid w:val="005E348D"/>
    <w:rsid w:val="005E57AF"/>
    <w:rsid w:val="005E7525"/>
    <w:rsid w:val="005F20A3"/>
    <w:rsid w:val="005F3525"/>
    <w:rsid w:val="005F759E"/>
    <w:rsid w:val="00601DD7"/>
    <w:rsid w:val="00607D06"/>
    <w:rsid w:val="006166ED"/>
    <w:rsid w:val="006212D4"/>
    <w:rsid w:val="0062169B"/>
    <w:rsid w:val="00622604"/>
    <w:rsid w:val="006260B0"/>
    <w:rsid w:val="006268C4"/>
    <w:rsid w:val="00630B8B"/>
    <w:rsid w:val="00631874"/>
    <w:rsid w:val="00632ACA"/>
    <w:rsid w:val="00635DBF"/>
    <w:rsid w:val="006362D8"/>
    <w:rsid w:val="00636B0A"/>
    <w:rsid w:val="0064019E"/>
    <w:rsid w:val="00642A63"/>
    <w:rsid w:val="00642B41"/>
    <w:rsid w:val="0064330A"/>
    <w:rsid w:val="0064358E"/>
    <w:rsid w:val="00644609"/>
    <w:rsid w:val="00651165"/>
    <w:rsid w:val="0065252E"/>
    <w:rsid w:val="00652594"/>
    <w:rsid w:val="00653F69"/>
    <w:rsid w:val="006569B3"/>
    <w:rsid w:val="00662237"/>
    <w:rsid w:val="00666399"/>
    <w:rsid w:val="006669F8"/>
    <w:rsid w:val="00672861"/>
    <w:rsid w:val="006746F6"/>
    <w:rsid w:val="00675107"/>
    <w:rsid w:val="00675725"/>
    <w:rsid w:val="00675C20"/>
    <w:rsid w:val="00677067"/>
    <w:rsid w:val="00677183"/>
    <w:rsid w:val="0067743E"/>
    <w:rsid w:val="00680C43"/>
    <w:rsid w:val="006813AF"/>
    <w:rsid w:val="006819D1"/>
    <w:rsid w:val="00681E54"/>
    <w:rsid w:val="00682641"/>
    <w:rsid w:val="00687BC2"/>
    <w:rsid w:val="006923A4"/>
    <w:rsid w:val="006930D5"/>
    <w:rsid w:val="006943D4"/>
    <w:rsid w:val="00694956"/>
    <w:rsid w:val="00696BFD"/>
    <w:rsid w:val="006A1543"/>
    <w:rsid w:val="006A4A68"/>
    <w:rsid w:val="006A6257"/>
    <w:rsid w:val="006A6B36"/>
    <w:rsid w:val="006A6D0C"/>
    <w:rsid w:val="006A6DFA"/>
    <w:rsid w:val="006B2461"/>
    <w:rsid w:val="006B312E"/>
    <w:rsid w:val="006B6B4D"/>
    <w:rsid w:val="006B6FA5"/>
    <w:rsid w:val="006C1AAC"/>
    <w:rsid w:val="006C223B"/>
    <w:rsid w:val="006C432E"/>
    <w:rsid w:val="006C52F4"/>
    <w:rsid w:val="006C66E8"/>
    <w:rsid w:val="006D0E45"/>
    <w:rsid w:val="006D12B3"/>
    <w:rsid w:val="006D1B14"/>
    <w:rsid w:val="006D2681"/>
    <w:rsid w:val="006D4319"/>
    <w:rsid w:val="006D4E9B"/>
    <w:rsid w:val="006D567B"/>
    <w:rsid w:val="006D7CE2"/>
    <w:rsid w:val="006E15D6"/>
    <w:rsid w:val="006E1963"/>
    <w:rsid w:val="006E299F"/>
    <w:rsid w:val="006E3046"/>
    <w:rsid w:val="006E38D8"/>
    <w:rsid w:val="006F4428"/>
    <w:rsid w:val="006F55CB"/>
    <w:rsid w:val="006F6DA8"/>
    <w:rsid w:val="00701394"/>
    <w:rsid w:val="0070180D"/>
    <w:rsid w:val="00703C84"/>
    <w:rsid w:val="007055DB"/>
    <w:rsid w:val="00707008"/>
    <w:rsid w:val="00707799"/>
    <w:rsid w:val="00710E90"/>
    <w:rsid w:val="00711358"/>
    <w:rsid w:val="00712183"/>
    <w:rsid w:val="0071244D"/>
    <w:rsid w:val="00714974"/>
    <w:rsid w:val="00715F7B"/>
    <w:rsid w:val="007209E3"/>
    <w:rsid w:val="00721D26"/>
    <w:rsid w:val="0072534F"/>
    <w:rsid w:val="007334C5"/>
    <w:rsid w:val="007376C4"/>
    <w:rsid w:val="007402AA"/>
    <w:rsid w:val="0074079C"/>
    <w:rsid w:val="007416B9"/>
    <w:rsid w:val="00742EF3"/>
    <w:rsid w:val="00743BBB"/>
    <w:rsid w:val="007445E1"/>
    <w:rsid w:val="00745DD9"/>
    <w:rsid w:val="007506FE"/>
    <w:rsid w:val="007533F6"/>
    <w:rsid w:val="007535B9"/>
    <w:rsid w:val="007537E9"/>
    <w:rsid w:val="00754D00"/>
    <w:rsid w:val="00762020"/>
    <w:rsid w:val="007621ED"/>
    <w:rsid w:val="007631EE"/>
    <w:rsid w:val="0076368D"/>
    <w:rsid w:val="00766EB9"/>
    <w:rsid w:val="00766F2A"/>
    <w:rsid w:val="007670E4"/>
    <w:rsid w:val="007674EF"/>
    <w:rsid w:val="007708AF"/>
    <w:rsid w:val="00770A4E"/>
    <w:rsid w:val="00770C3C"/>
    <w:rsid w:val="007734BC"/>
    <w:rsid w:val="00775A73"/>
    <w:rsid w:val="00776E33"/>
    <w:rsid w:val="0078147B"/>
    <w:rsid w:val="00781A0F"/>
    <w:rsid w:val="00781DF9"/>
    <w:rsid w:val="00785F0F"/>
    <w:rsid w:val="00793E2A"/>
    <w:rsid w:val="007951B7"/>
    <w:rsid w:val="007961DF"/>
    <w:rsid w:val="00796C23"/>
    <w:rsid w:val="007A0795"/>
    <w:rsid w:val="007A231F"/>
    <w:rsid w:val="007A3BCB"/>
    <w:rsid w:val="007A3C4C"/>
    <w:rsid w:val="007A573E"/>
    <w:rsid w:val="007A62D8"/>
    <w:rsid w:val="007B0A56"/>
    <w:rsid w:val="007B0C36"/>
    <w:rsid w:val="007B2784"/>
    <w:rsid w:val="007B2DFC"/>
    <w:rsid w:val="007B452E"/>
    <w:rsid w:val="007B504A"/>
    <w:rsid w:val="007B77ED"/>
    <w:rsid w:val="007C184E"/>
    <w:rsid w:val="007C3CB3"/>
    <w:rsid w:val="007C5A26"/>
    <w:rsid w:val="007C5B99"/>
    <w:rsid w:val="007D2A34"/>
    <w:rsid w:val="007D3952"/>
    <w:rsid w:val="007D3A50"/>
    <w:rsid w:val="007D544E"/>
    <w:rsid w:val="007D6692"/>
    <w:rsid w:val="007D6ADF"/>
    <w:rsid w:val="007E1239"/>
    <w:rsid w:val="007E1CC5"/>
    <w:rsid w:val="007E1D89"/>
    <w:rsid w:val="007E2E37"/>
    <w:rsid w:val="007E4512"/>
    <w:rsid w:val="007E7899"/>
    <w:rsid w:val="007F0368"/>
    <w:rsid w:val="007F17FF"/>
    <w:rsid w:val="007F36B8"/>
    <w:rsid w:val="007F42F7"/>
    <w:rsid w:val="00802FA2"/>
    <w:rsid w:val="008031C7"/>
    <w:rsid w:val="00810F57"/>
    <w:rsid w:val="00811FFA"/>
    <w:rsid w:val="00817112"/>
    <w:rsid w:val="008216A0"/>
    <w:rsid w:val="00821FAF"/>
    <w:rsid w:val="00824638"/>
    <w:rsid w:val="0082637F"/>
    <w:rsid w:val="0082794B"/>
    <w:rsid w:val="0083202F"/>
    <w:rsid w:val="00833C56"/>
    <w:rsid w:val="008353F4"/>
    <w:rsid w:val="00840225"/>
    <w:rsid w:val="00841212"/>
    <w:rsid w:val="00845606"/>
    <w:rsid w:val="008479A0"/>
    <w:rsid w:val="00850754"/>
    <w:rsid w:val="0085114F"/>
    <w:rsid w:val="008518ED"/>
    <w:rsid w:val="00851B8D"/>
    <w:rsid w:val="008532E8"/>
    <w:rsid w:val="00855754"/>
    <w:rsid w:val="00857A58"/>
    <w:rsid w:val="00857AE9"/>
    <w:rsid w:val="00860D61"/>
    <w:rsid w:val="00863087"/>
    <w:rsid w:val="00864251"/>
    <w:rsid w:val="00865103"/>
    <w:rsid w:val="008655F0"/>
    <w:rsid w:val="008662A8"/>
    <w:rsid w:val="00873C7A"/>
    <w:rsid w:val="00875FCC"/>
    <w:rsid w:val="00876554"/>
    <w:rsid w:val="00881C4A"/>
    <w:rsid w:val="00881E65"/>
    <w:rsid w:val="008833CF"/>
    <w:rsid w:val="00883F14"/>
    <w:rsid w:val="00884162"/>
    <w:rsid w:val="00884AC5"/>
    <w:rsid w:val="00890627"/>
    <w:rsid w:val="008931A8"/>
    <w:rsid w:val="00893A47"/>
    <w:rsid w:val="00894838"/>
    <w:rsid w:val="00897746"/>
    <w:rsid w:val="008A12C6"/>
    <w:rsid w:val="008A25F2"/>
    <w:rsid w:val="008A3BBA"/>
    <w:rsid w:val="008A4DCB"/>
    <w:rsid w:val="008A5120"/>
    <w:rsid w:val="008B15AC"/>
    <w:rsid w:val="008B2EEC"/>
    <w:rsid w:val="008B3476"/>
    <w:rsid w:val="008B37F3"/>
    <w:rsid w:val="008B4267"/>
    <w:rsid w:val="008B556B"/>
    <w:rsid w:val="008B57E3"/>
    <w:rsid w:val="008B5A8D"/>
    <w:rsid w:val="008B6781"/>
    <w:rsid w:val="008C0CB1"/>
    <w:rsid w:val="008C29F5"/>
    <w:rsid w:val="008C7188"/>
    <w:rsid w:val="008D0326"/>
    <w:rsid w:val="008D509E"/>
    <w:rsid w:val="008D7332"/>
    <w:rsid w:val="008E0A22"/>
    <w:rsid w:val="008E2688"/>
    <w:rsid w:val="008E4238"/>
    <w:rsid w:val="008E7E49"/>
    <w:rsid w:val="008F119B"/>
    <w:rsid w:val="008F31C6"/>
    <w:rsid w:val="00900D20"/>
    <w:rsid w:val="00900DD2"/>
    <w:rsid w:val="009042BC"/>
    <w:rsid w:val="009050F7"/>
    <w:rsid w:val="009064CB"/>
    <w:rsid w:val="0090753B"/>
    <w:rsid w:val="00907828"/>
    <w:rsid w:val="00907C0B"/>
    <w:rsid w:val="00910A81"/>
    <w:rsid w:val="00910DD7"/>
    <w:rsid w:val="00916D9E"/>
    <w:rsid w:val="00916E06"/>
    <w:rsid w:val="009207C1"/>
    <w:rsid w:val="00921FC9"/>
    <w:rsid w:val="00923158"/>
    <w:rsid w:val="00926E67"/>
    <w:rsid w:val="009324ED"/>
    <w:rsid w:val="00933B0E"/>
    <w:rsid w:val="009347EB"/>
    <w:rsid w:val="00937C85"/>
    <w:rsid w:val="00937D2E"/>
    <w:rsid w:val="009403E2"/>
    <w:rsid w:val="00940E35"/>
    <w:rsid w:val="00940F52"/>
    <w:rsid w:val="00941568"/>
    <w:rsid w:val="0094172F"/>
    <w:rsid w:val="00943C6E"/>
    <w:rsid w:val="009514E4"/>
    <w:rsid w:val="00952B86"/>
    <w:rsid w:val="0095343F"/>
    <w:rsid w:val="00955B8B"/>
    <w:rsid w:val="009610F7"/>
    <w:rsid w:val="00964664"/>
    <w:rsid w:val="0096543B"/>
    <w:rsid w:val="00965D34"/>
    <w:rsid w:val="00965DA4"/>
    <w:rsid w:val="00965DDB"/>
    <w:rsid w:val="00970EF3"/>
    <w:rsid w:val="00972DE3"/>
    <w:rsid w:val="00974D4E"/>
    <w:rsid w:val="009757FE"/>
    <w:rsid w:val="00976132"/>
    <w:rsid w:val="00977D03"/>
    <w:rsid w:val="00980C3E"/>
    <w:rsid w:val="0098238F"/>
    <w:rsid w:val="009849C9"/>
    <w:rsid w:val="0098701B"/>
    <w:rsid w:val="00987E1F"/>
    <w:rsid w:val="00987EEF"/>
    <w:rsid w:val="00990065"/>
    <w:rsid w:val="009917D4"/>
    <w:rsid w:val="009917DE"/>
    <w:rsid w:val="0099214A"/>
    <w:rsid w:val="0099419D"/>
    <w:rsid w:val="00994751"/>
    <w:rsid w:val="00994FF2"/>
    <w:rsid w:val="00996B4C"/>
    <w:rsid w:val="00997E2B"/>
    <w:rsid w:val="00997EE9"/>
    <w:rsid w:val="009A0E31"/>
    <w:rsid w:val="009A4528"/>
    <w:rsid w:val="009A4A27"/>
    <w:rsid w:val="009A575F"/>
    <w:rsid w:val="009B1FF2"/>
    <w:rsid w:val="009B2115"/>
    <w:rsid w:val="009B23F0"/>
    <w:rsid w:val="009B3860"/>
    <w:rsid w:val="009B5649"/>
    <w:rsid w:val="009B56CA"/>
    <w:rsid w:val="009B65AD"/>
    <w:rsid w:val="009C1582"/>
    <w:rsid w:val="009C66CB"/>
    <w:rsid w:val="009D4EEE"/>
    <w:rsid w:val="009E122B"/>
    <w:rsid w:val="009E1F9F"/>
    <w:rsid w:val="009E215C"/>
    <w:rsid w:val="009E3185"/>
    <w:rsid w:val="009E3250"/>
    <w:rsid w:val="009E3C25"/>
    <w:rsid w:val="009E5FA0"/>
    <w:rsid w:val="009E6234"/>
    <w:rsid w:val="009F018D"/>
    <w:rsid w:val="009F5453"/>
    <w:rsid w:val="009F6520"/>
    <w:rsid w:val="009F6FF2"/>
    <w:rsid w:val="009F7FC2"/>
    <w:rsid w:val="00A0005E"/>
    <w:rsid w:val="00A022AB"/>
    <w:rsid w:val="00A03D0E"/>
    <w:rsid w:val="00A05D20"/>
    <w:rsid w:val="00A06BA5"/>
    <w:rsid w:val="00A11D98"/>
    <w:rsid w:val="00A11EBC"/>
    <w:rsid w:val="00A157E7"/>
    <w:rsid w:val="00A15B99"/>
    <w:rsid w:val="00A171DD"/>
    <w:rsid w:val="00A17DED"/>
    <w:rsid w:val="00A17E41"/>
    <w:rsid w:val="00A2083B"/>
    <w:rsid w:val="00A22973"/>
    <w:rsid w:val="00A26942"/>
    <w:rsid w:val="00A27017"/>
    <w:rsid w:val="00A30997"/>
    <w:rsid w:val="00A3136A"/>
    <w:rsid w:val="00A31A1C"/>
    <w:rsid w:val="00A35F7C"/>
    <w:rsid w:val="00A36EA7"/>
    <w:rsid w:val="00A36F45"/>
    <w:rsid w:val="00A37979"/>
    <w:rsid w:val="00A418B6"/>
    <w:rsid w:val="00A43EB7"/>
    <w:rsid w:val="00A449B8"/>
    <w:rsid w:val="00A44BAC"/>
    <w:rsid w:val="00A44DC0"/>
    <w:rsid w:val="00A44FD7"/>
    <w:rsid w:val="00A45502"/>
    <w:rsid w:val="00A45A92"/>
    <w:rsid w:val="00A4668B"/>
    <w:rsid w:val="00A51601"/>
    <w:rsid w:val="00A517CE"/>
    <w:rsid w:val="00A56B9C"/>
    <w:rsid w:val="00A5721C"/>
    <w:rsid w:val="00A6276C"/>
    <w:rsid w:val="00A62FD0"/>
    <w:rsid w:val="00A64733"/>
    <w:rsid w:val="00A6636C"/>
    <w:rsid w:val="00A66452"/>
    <w:rsid w:val="00A71561"/>
    <w:rsid w:val="00A72351"/>
    <w:rsid w:val="00A72989"/>
    <w:rsid w:val="00A7641F"/>
    <w:rsid w:val="00A809CE"/>
    <w:rsid w:val="00A81604"/>
    <w:rsid w:val="00A81B14"/>
    <w:rsid w:val="00A822F2"/>
    <w:rsid w:val="00A8776F"/>
    <w:rsid w:val="00A9221E"/>
    <w:rsid w:val="00A94A69"/>
    <w:rsid w:val="00A97136"/>
    <w:rsid w:val="00A972E4"/>
    <w:rsid w:val="00AA1425"/>
    <w:rsid w:val="00AA2811"/>
    <w:rsid w:val="00AA5059"/>
    <w:rsid w:val="00AB0054"/>
    <w:rsid w:val="00AB08AA"/>
    <w:rsid w:val="00AB6DD5"/>
    <w:rsid w:val="00AB7881"/>
    <w:rsid w:val="00AB7DD8"/>
    <w:rsid w:val="00AC2C6E"/>
    <w:rsid w:val="00AC3AD1"/>
    <w:rsid w:val="00AC3ADA"/>
    <w:rsid w:val="00AC4AB9"/>
    <w:rsid w:val="00AC6CB2"/>
    <w:rsid w:val="00AC7A94"/>
    <w:rsid w:val="00AD2086"/>
    <w:rsid w:val="00AD319A"/>
    <w:rsid w:val="00AD4876"/>
    <w:rsid w:val="00AD58CC"/>
    <w:rsid w:val="00AD6286"/>
    <w:rsid w:val="00AE02B3"/>
    <w:rsid w:val="00AE0A5C"/>
    <w:rsid w:val="00AE3645"/>
    <w:rsid w:val="00AE5714"/>
    <w:rsid w:val="00AE7224"/>
    <w:rsid w:val="00AF11B0"/>
    <w:rsid w:val="00AF2A21"/>
    <w:rsid w:val="00AF3248"/>
    <w:rsid w:val="00AF338B"/>
    <w:rsid w:val="00AF3785"/>
    <w:rsid w:val="00AF39DD"/>
    <w:rsid w:val="00AF43B1"/>
    <w:rsid w:val="00AF68C9"/>
    <w:rsid w:val="00B0235B"/>
    <w:rsid w:val="00B02532"/>
    <w:rsid w:val="00B025B0"/>
    <w:rsid w:val="00B03C9E"/>
    <w:rsid w:val="00B04E6B"/>
    <w:rsid w:val="00B064B1"/>
    <w:rsid w:val="00B11229"/>
    <w:rsid w:val="00B12FAC"/>
    <w:rsid w:val="00B13ACB"/>
    <w:rsid w:val="00B149DF"/>
    <w:rsid w:val="00B17A1F"/>
    <w:rsid w:val="00B2061B"/>
    <w:rsid w:val="00B218A4"/>
    <w:rsid w:val="00B24B99"/>
    <w:rsid w:val="00B26C00"/>
    <w:rsid w:val="00B27F35"/>
    <w:rsid w:val="00B32016"/>
    <w:rsid w:val="00B32097"/>
    <w:rsid w:val="00B34775"/>
    <w:rsid w:val="00B44243"/>
    <w:rsid w:val="00B4445C"/>
    <w:rsid w:val="00B450E2"/>
    <w:rsid w:val="00B460DB"/>
    <w:rsid w:val="00B4652A"/>
    <w:rsid w:val="00B47531"/>
    <w:rsid w:val="00B51562"/>
    <w:rsid w:val="00B5293C"/>
    <w:rsid w:val="00B5720C"/>
    <w:rsid w:val="00B61358"/>
    <w:rsid w:val="00B61998"/>
    <w:rsid w:val="00B61FFA"/>
    <w:rsid w:val="00B651A1"/>
    <w:rsid w:val="00B65557"/>
    <w:rsid w:val="00B66175"/>
    <w:rsid w:val="00B672F0"/>
    <w:rsid w:val="00B67731"/>
    <w:rsid w:val="00B73672"/>
    <w:rsid w:val="00B73DE9"/>
    <w:rsid w:val="00B74EC2"/>
    <w:rsid w:val="00B76301"/>
    <w:rsid w:val="00B7674B"/>
    <w:rsid w:val="00B77FF8"/>
    <w:rsid w:val="00B81D2E"/>
    <w:rsid w:val="00B84137"/>
    <w:rsid w:val="00B86964"/>
    <w:rsid w:val="00B872B9"/>
    <w:rsid w:val="00B90F6D"/>
    <w:rsid w:val="00B957EB"/>
    <w:rsid w:val="00B95F91"/>
    <w:rsid w:val="00B97C25"/>
    <w:rsid w:val="00BA0AC6"/>
    <w:rsid w:val="00BA237D"/>
    <w:rsid w:val="00BA27D6"/>
    <w:rsid w:val="00BA2F94"/>
    <w:rsid w:val="00BA3101"/>
    <w:rsid w:val="00BA708E"/>
    <w:rsid w:val="00BA70AE"/>
    <w:rsid w:val="00BB282E"/>
    <w:rsid w:val="00BB2915"/>
    <w:rsid w:val="00BB3F32"/>
    <w:rsid w:val="00BC055E"/>
    <w:rsid w:val="00BC1519"/>
    <w:rsid w:val="00BC195E"/>
    <w:rsid w:val="00BC1FC3"/>
    <w:rsid w:val="00BC21A5"/>
    <w:rsid w:val="00BC24EA"/>
    <w:rsid w:val="00BC2994"/>
    <w:rsid w:val="00BC72B8"/>
    <w:rsid w:val="00BD25BB"/>
    <w:rsid w:val="00BD39B9"/>
    <w:rsid w:val="00BD7F73"/>
    <w:rsid w:val="00BD7FAA"/>
    <w:rsid w:val="00BE0CB2"/>
    <w:rsid w:val="00BF1C2A"/>
    <w:rsid w:val="00BF58A5"/>
    <w:rsid w:val="00BF66CD"/>
    <w:rsid w:val="00BF76A9"/>
    <w:rsid w:val="00BF7EBA"/>
    <w:rsid w:val="00C00AF2"/>
    <w:rsid w:val="00C01C86"/>
    <w:rsid w:val="00C03F82"/>
    <w:rsid w:val="00C040C1"/>
    <w:rsid w:val="00C06525"/>
    <w:rsid w:val="00C110B6"/>
    <w:rsid w:val="00C11140"/>
    <w:rsid w:val="00C1292D"/>
    <w:rsid w:val="00C205B7"/>
    <w:rsid w:val="00C20AF1"/>
    <w:rsid w:val="00C21705"/>
    <w:rsid w:val="00C244FF"/>
    <w:rsid w:val="00C24CA3"/>
    <w:rsid w:val="00C276CC"/>
    <w:rsid w:val="00C307E9"/>
    <w:rsid w:val="00C3138B"/>
    <w:rsid w:val="00C33ADE"/>
    <w:rsid w:val="00C36407"/>
    <w:rsid w:val="00C37E43"/>
    <w:rsid w:val="00C411F8"/>
    <w:rsid w:val="00C41B7C"/>
    <w:rsid w:val="00C41DE0"/>
    <w:rsid w:val="00C438FF"/>
    <w:rsid w:val="00C43F61"/>
    <w:rsid w:val="00C448B1"/>
    <w:rsid w:val="00C45AA6"/>
    <w:rsid w:val="00C45F18"/>
    <w:rsid w:val="00C529B5"/>
    <w:rsid w:val="00C52EDF"/>
    <w:rsid w:val="00C57D1E"/>
    <w:rsid w:val="00C6007B"/>
    <w:rsid w:val="00C61E40"/>
    <w:rsid w:val="00C62388"/>
    <w:rsid w:val="00C62FEE"/>
    <w:rsid w:val="00C63FEF"/>
    <w:rsid w:val="00C66DD3"/>
    <w:rsid w:val="00C672B5"/>
    <w:rsid w:val="00C6794C"/>
    <w:rsid w:val="00C67A9C"/>
    <w:rsid w:val="00C72736"/>
    <w:rsid w:val="00C748EA"/>
    <w:rsid w:val="00C750AD"/>
    <w:rsid w:val="00C7587D"/>
    <w:rsid w:val="00C7628A"/>
    <w:rsid w:val="00C804EA"/>
    <w:rsid w:val="00C8358C"/>
    <w:rsid w:val="00C85290"/>
    <w:rsid w:val="00C90471"/>
    <w:rsid w:val="00C908CD"/>
    <w:rsid w:val="00C93834"/>
    <w:rsid w:val="00CA0438"/>
    <w:rsid w:val="00CA04F4"/>
    <w:rsid w:val="00CA1B4E"/>
    <w:rsid w:val="00CA43D0"/>
    <w:rsid w:val="00CA5A72"/>
    <w:rsid w:val="00CA6A00"/>
    <w:rsid w:val="00CA6DB8"/>
    <w:rsid w:val="00CB1A9D"/>
    <w:rsid w:val="00CB5044"/>
    <w:rsid w:val="00CB798D"/>
    <w:rsid w:val="00CC09BD"/>
    <w:rsid w:val="00CC417A"/>
    <w:rsid w:val="00CC5D77"/>
    <w:rsid w:val="00CD0BF9"/>
    <w:rsid w:val="00CD34B3"/>
    <w:rsid w:val="00CD4325"/>
    <w:rsid w:val="00CD4969"/>
    <w:rsid w:val="00CD72D5"/>
    <w:rsid w:val="00CE440A"/>
    <w:rsid w:val="00CE54EE"/>
    <w:rsid w:val="00CE6905"/>
    <w:rsid w:val="00CE7210"/>
    <w:rsid w:val="00CF0323"/>
    <w:rsid w:val="00CF2125"/>
    <w:rsid w:val="00CF3BE1"/>
    <w:rsid w:val="00CF5CE2"/>
    <w:rsid w:val="00CF66EB"/>
    <w:rsid w:val="00CF68D4"/>
    <w:rsid w:val="00CF6DA2"/>
    <w:rsid w:val="00D00071"/>
    <w:rsid w:val="00D026A8"/>
    <w:rsid w:val="00D0298C"/>
    <w:rsid w:val="00D03758"/>
    <w:rsid w:val="00D0432F"/>
    <w:rsid w:val="00D044A1"/>
    <w:rsid w:val="00D2738E"/>
    <w:rsid w:val="00D27972"/>
    <w:rsid w:val="00D30516"/>
    <w:rsid w:val="00D340F3"/>
    <w:rsid w:val="00D35CE2"/>
    <w:rsid w:val="00D35E0E"/>
    <w:rsid w:val="00D4184A"/>
    <w:rsid w:val="00D4588A"/>
    <w:rsid w:val="00D4648D"/>
    <w:rsid w:val="00D47335"/>
    <w:rsid w:val="00D50138"/>
    <w:rsid w:val="00D52C48"/>
    <w:rsid w:val="00D53E6E"/>
    <w:rsid w:val="00D567A1"/>
    <w:rsid w:val="00D567A4"/>
    <w:rsid w:val="00D57F2F"/>
    <w:rsid w:val="00D615CE"/>
    <w:rsid w:val="00D63B0A"/>
    <w:rsid w:val="00D6535B"/>
    <w:rsid w:val="00D66AB4"/>
    <w:rsid w:val="00D67CC8"/>
    <w:rsid w:val="00D70076"/>
    <w:rsid w:val="00D71AA3"/>
    <w:rsid w:val="00D75E7F"/>
    <w:rsid w:val="00D80060"/>
    <w:rsid w:val="00D81113"/>
    <w:rsid w:val="00D8156C"/>
    <w:rsid w:val="00D81B7C"/>
    <w:rsid w:val="00D81B80"/>
    <w:rsid w:val="00D81BE7"/>
    <w:rsid w:val="00D828F4"/>
    <w:rsid w:val="00D840A8"/>
    <w:rsid w:val="00D84668"/>
    <w:rsid w:val="00D84B5C"/>
    <w:rsid w:val="00D86959"/>
    <w:rsid w:val="00D94CA9"/>
    <w:rsid w:val="00D97C41"/>
    <w:rsid w:val="00DA55DF"/>
    <w:rsid w:val="00DA6593"/>
    <w:rsid w:val="00DB2942"/>
    <w:rsid w:val="00DB3B4C"/>
    <w:rsid w:val="00DC00C6"/>
    <w:rsid w:val="00DC4721"/>
    <w:rsid w:val="00DC6684"/>
    <w:rsid w:val="00DC7A2F"/>
    <w:rsid w:val="00DD04C2"/>
    <w:rsid w:val="00DD1A66"/>
    <w:rsid w:val="00DD1B04"/>
    <w:rsid w:val="00DD4313"/>
    <w:rsid w:val="00DD71F9"/>
    <w:rsid w:val="00DE030E"/>
    <w:rsid w:val="00DE14CF"/>
    <w:rsid w:val="00DE567C"/>
    <w:rsid w:val="00DE7799"/>
    <w:rsid w:val="00DF0238"/>
    <w:rsid w:val="00DF1623"/>
    <w:rsid w:val="00DF2A50"/>
    <w:rsid w:val="00DF2AC5"/>
    <w:rsid w:val="00DF2B74"/>
    <w:rsid w:val="00DF31E7"/>
    <w:rsid w:val="00DF325E"/>
    <w:rsid w:val="00DF4BF2"/>
    <w:rsid w:val="00DF5099"/>
    <w:rsid w:val="00DF5FE7"/>
    <w:rsid w:val="00E0146D"/>
    <w:rsid w:val="00E02747"/>
    <w:rsid w:val="00E029DC"/>
    <w:rsid w:val="00E033B9"/>
    <w:rsid w:val="00E050E4"/>
    <w:rsid w:val="00E13192"/>
    <w:rsid w:val="00E13833"/>
    <w:rsid w:val="00E1390A"/>
    <w:rsid w:val="00E147D9"/>
    <w:rsid w:val="00E14BF5"/>
    <w:rsid w:val="00E173CA"/>
    <w:rsid w:val="00E2004B"/>
    <w:rsid w:val="00E2064E"/>
    <w:rsid w:val="00E21E77"/>
    <w:rsid w:val="00E3220C"/>
    <w:rsid w:val="00E32D2B"/>
    <w:rsid w:val="00E33649"/>
    <w:rsid w:val="00E404CE"/>
    <w:rsid w:val="00E46408"/>
    <w:rsid w:val="00E4747E"/>
    <w:rsid w:val="00E51718"/>
    <w:rsid w:val="00E5190B"/>
    <w:rsid w:val="00E53069"/>
    <w:rsid w:val="00E537D0"/>
    <w:rsid w:val="00E574DA"/>
    <w:rsid w:val="00E61A44"/>
    <w:rsid w:val="00E627AB"/>
    <w:rsid w:val="00E62EA2"/>
    <w:rsid w:val="00E6549E"/>
    <w:rsid w:val="00E67BCD"/>
    <w:rsid w:val="00E71778"/>
    <w:rsid w:val="00E72979"/>
    <w:rsid w:val="00E73B96"/>
    <w:rsid w:val="00E73F45"/>
    <w:rsid w:val="00E75943"/>
    <w:rsid w:val="00E77B6D"/>
    <w:rsid w:val="00E80737"/>
    <w:rsid w:val="00E8073D"/>
    <w:rsid w:val="00E807B7"/>
    <w:rsid w:val="00E83FB6"/>
    <w:rsid w:val="00E8555D"/>
    <w:rsid w:val="00E87984"/>
    <w:rsid w:val="00E87F35"/>
    <w:rsid w:val="00E91B3C"/>
    <w:rsid w:val="00E922FA"/>
    <w:rsid w:val="00E93A7E"/>
    <w:rsid w:val="00E94E99"/>
    <w:rsid w:val="00E9550A"/>
    <w:rsid w:val="00EA04D6"/>
    <w:rsid w:val="00EA1F6F"/>
    <w:rsid w:val="00EA3342"/>
    <w:rsid w:val="00EA6237"/>
    <w:rsid w:val="00EB3113"/>
    <w:rsid w:val="00EB5BC5"/>
    <w:rsid w:val="00EB73E3"/>
    <w:rsid w:val="00EC211F"/>
    <w:rsid w:val="00EC28A5"/>
    <w:rsid w:val="00EC2BE2"/>
    <w:rsid w:val="00EC368D"/>
    <w:rsid w:val="00EC38FA"/>
    <w:rsid w:val="00EC3C5C"/>
    <w:rsid w:val="00EC53B0"/>
    <w:rsid w:val="00EC5E60"/>
    <w:rsid w:val="00EC753D"/>
    <w:rsid w:val="00ED1CD4"/>
    <w:rsid w:val="00ED3144"/>
    <w:rsid w:val="00ED3345"/>
    <w:rsid w:val="00ED44FD"/>
    <w:rsid w:val="00ED4EC3"/>
    <w:rsid w:val="00ED5FA7"/>
    <w:rsid w:val="00ED7189"/>
    <w:rsid w:val="00EE2CAD"/>
    <w:rsid w:val="00EE4CC0"/>
    <w:rsid w:val="00EE66C4"/>
    <w:rsid w:val="00EF237D"/>
    <w:rsid w:val="00EF4479"/>
    <w:rsid w:val="00EF4D66"/>
    <w:rsid w:val="00EF5AAA"/>
    <w:rsid w:val="00EF6015"/>
    <w:rsid w:val="00F00D18"/>
    <w:rsid w:val="00F01496"/>
    <w:rsid w:val="00F019B7"/>
    <w:rsid w:val="00F02EBF"/>
    <w:rsid w:val="00F03F92"/>
    <w:rsid w:val="00F046FE"/>
    <w:rsid w:val="00F063F7"/>
    <w:rsid w:val="00F06F1D"/>
    <w:rsid w:val="00F075F4"/>
    <w:rsid w:val="00F07EFD"/>
    <w:rsid w:val="00F10650"/>
    <w:rsid w:val="00F12522"/>
    <w:rsid w:val="00F1565F"/>
    <w:rsid w:val="00F1591A"/>
    <w:rsid w:val="00F15D28"/>
    <w:rsid w:val="00F16AB3"/>
    <w:rsid w:val="00F206D5"/>
    <w:rsid w:val="00F262BF"/>
    <w:rsid w:val="00F304B3"/>
    <w:rsid w:val="00F31487"/>
    <w:rsid w:val="00F322A9"/>
    <w:rsid w:val="00F35A03"/>
    <w:rsid w:val="00F36AEC"/>
    <w:rsid w:val="00F4069F"/>
    <w:rsid w:val="00F40B60"/>
    <w:rsid w:val="00F417F0"/>
    <w:rsid w:val="00F4277E"/>
    <w:rsid w:val="00F432D5"/>
    <w:rsid w:val="00F43720"/>
    <w:rsid w:val="00F43FD7"/>
    <w:rsid w:val="00F4515D"/>
    <w:rsid w:val="00F46651"/>
    <w:rsid w:val="00F476B1"/>
    <w:rsid w:val="00F53FBD"/>
    <w:rsid w:val="00F54295"/>
    <w:rsid w:val="00F54311"/>
    <w:rsid w:val="00F579A5"/>
    <w:rsid w:val="00F60327"/>
    <w:rsid w:val="00F6084C"/>
    <w:rsid w:val="00F60C31"/>
    <w:rsid w:val="00F63AC7"/>
    <w:rsid w:val="00F6561C"/>
    <w:rsid w:val="00F767C6"/>
    <w:rsid w:val="00F767EF"/>
    <w:rsid w:val="00F77C49"/>
    <w:rsid w:val="00F82090"/>
    <w:rsid w:val="00F8387E"/>
    <w:rsid w:val="00F877A3"/>
    <w:rsid w:val="00F8794B"/>
    <w:rsid w:val="00F912DA"/>
    <w:rsid w:val="00F92EBA"/>
    <w:rsid w:val="00F93D01"/>
    <w:rsid w:val="00F979AB"/>
    <w:rsid w:val="00FA0674"/>
    <w:rsid w:val="00FA0E44"/>
    <w:rsid w:val="00FA1D3D"/>
    <w:rsid w:val="00FA5EAD"/>
    <w:rsid w:val="00FA62A6"/>
    <w:rsid w:val="00FB3F86"/>
    <w:rsid w:val="00FC0A7C"/>
    <w:rsid w:val="00FC0C21"/>
    <w:rsid w:val="00FD00D0"/>
    <w:rsid w:val="00FD1563"/>
    <w:rsid w:val="00FD2DEB"/>
    <w:rsid w:val="00FD5BD0"/>
    <w:rsid w:val="00FD76B6"/>
    <w:rsid w:val="00FE0366"/>
    <w:rsid w:val="00FE2025"/>
    <w:rsid w:val="00FE31C1"/>
    <w:rsid w:val="00FE4AFA"/>
    <w:rsid w:val="00FE76B4"/>
    <w:rsid w:val="00FE7A51"/>
    <w:rsid w:val="00FF0295"/>
    <w:rsid w:val="00FF4A38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6F3D16E"/>
  <w15:chartTrackingRefBased/>
  <w15:docId w15:val="{400C36A5-2BE8-4AEB-9CD6-3A98A1D6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C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aliases w:val="H2,Heading 1 תו תו,Heading 1 תו תו תו תו,Heading 1 תו תו תו תו תו תו,Heading 1 תו1,Heading 1 תו1 תו תו תו תו,Heading 1 תו11,כותרת 1 תו תו,כותרת 1 תו תו תו תו,כותרת 1 תו תו תו תו תו תו,כותרת 1 תו תו1,כותרת 1 תו1 תו תו,כותרת 1 תו1 תו תו תו תו"/>
    <w:basedOn w:val="a"/>
    <w:link w:val="10"/>
    <w:qFormat/>
    <w:rsid w:val="00F767C6"/>
    <w:pPr>
      <w:numPr>
        <w:numId w:val="1"/>
      </w:numPr>
      <w:tabs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aliases w:val="Heading 2 תו,Heading 2 תו תו תו,Heading 2 תו1,Heading 2 תו1 תו,l,l2,כותרת 2 ת,כותרת 2 תו תו תו,כותרת 2 תו תו תו תו תו,כותרת 2 תו תו תו תו תו תו תו,כותרת 2 תו1 תו תו תו,כותרת 2 תו1 תו תו תו תו תו,כותרת 2 תו1 תו1 תו תו תו תו תו תו,כותרת 2 תו2 תו"/>
    <w:basedOn w:val="1"/>
    <w:qFormat/>
    <w:rsid w:val="00F767C6"/>
    <w:pPr>
      <w:numPr>
        <w:ilvl w:val="1"/>
      </w:numPr>
      <w:tabs>
        <w:tab w:val="clear" w:pos="1814"/>
        <w:tab w:val="clear" w:pos="2665"/>
      </w:tabs>
      <w:outlineLvl w:val="1"/>
    </w:pPr>
  </w:style>
  <w:style w:type="paragraph" w:styleId="3">
    <w:name w:val="heading 3"/>
    <w:aliases w:val="Head,Heading 3 תו,Heading 3 תו תו תו,Heading 3 תו תו1,Heading 3 תו1 תו,Heading 3 תו1 תו תו תו ת,Heading 3 תו2,Heading 3_0,כותרת 3 תו תו,כותרת 3 תו תו תו,כותרת 3 תו תו תו תו,כותרת 3 תו1 תו,כותרת 3 תו1 תו תו,כותרת 3 תו1 תו תו תו תו,ת"/>
    <w:basedOn w:val="2"/>
    <w:qFormat/>
    <w:rsid w:val="00F767C6"/>
    <w:pPr>
      <w:numPr>
        <w:ilvl w:val="2"/>
      </w:numPr>
      <w:outlineLvl w:val="2"/>
    </w:pPr>
  </w:style>
  <w:style w:type="paragraph" w:styleId="4">
    <w:name w:val="heading 4"/>
    <w:aliases w:val="Heading 4 תו,Heading 4 תו תו,Heading 4 תו תו תו תו,Heading 4 תו תו1 תו,Heading 4 תו1 תו תו,Heading 4 תו1 תו1,Heading 4 תו2,כותרת 4 תו תו,כותרת 4 תו תו תו תו,כותרת 4 תו תו1 תו,כותרת 4 תו1 תו תו,כותרת 4 תו2,כותרת 4 תו2 תו,כותרת 4 תו3"/>
    <w:basedOn w:val="3"/>
    <w:qFormat/>
    <w:rsid w:val="00F767C6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  <w:rsid w:val="00D4184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5">
    <w:name w:val="page number"/>
    <w:basedOn w:val="a0"/>
    <w:rsid w:val="0064358E"/>
  </w:style>
  <w:style w:type="character" w:customStyle="1" w:styleId="10">
    <w:name w:val="כותרת 1 תו"/>
    <w:aliases w:val="H2 תו,Heading 1 תו תו תו,Heading 1 תו תו תו תו תו,Heading 1 תו תו תו תו תו תו תו,Heading 1 תו1 תו,Heading 1 תו1 תו תו תו תו תו,Heading 1 תו11 תו,כותרת 1 תו תו תו,כותרת 1 תו תו תו תו תו,כותרת 1 תו תו תו תו תו תו תו,כותרת 1 תו תו1 תו"/>
    <w:link w:val="1"/>
    <w:rsid w:val="00C448B1"/>
    <w:rPr>
      <w:rFonts w:cs="David"/>
      <w:kern w:val="28"/>
      <w:sz w:val="22"/>
      <w:szCs w:val="24"/>
    </w:rPr>
  </w:style>
  <w:style w:type="paragraph" w:styleId="a6">
    <w:name w:val="header"/>
    <w:basedOn w:val="a"/>
    <w:link w:val="a7"/>
    <w:uiPriority w:val="99"/>
    <w:rsid w:val="009207C1"/>
    <w:pPr>
      <w:tabs>
        <w:tab w:val="center" w:pos="4153"/>
        <w:tab w:val="right" w:pos="8306"/>
      </w:tabs>
    </w:pPr>
  </w:style>
  <w:style w:type="paragraph" w:styleId="a8">
    <w:name w:val="footnote text"/>
    <w:basedOn w:val="a"/>
    <w:link w:val="a9"/>
    <w:rsid w:val="00AE5714"/>
    <w:rPr>
      <w:sz w:val="20"/>
      <w:szCs w:val="20"/>
    </w:rPr>
  </w:style>
  <w:style w:type="character" w:customStyle="1" w:styleId="a9">
    <w:name w:val="טקסט הערת שוליים תו"/>
    <w:link w:val="a8"/>
    <w:rsid w:val="00AE5714"/>
    <w:rPr>
      <w:rFonts w:cs="David"/>
    </w:rPr>
  </w:style>
  <w:style w:type="character" w:styleId="aa">
    <w:name w:val="footnote reference"/>
    <w:rsid w:val="00AE5714"/>
    <w:rPr>
      <w:vertAlign w:val="superscript"/>
    </w:rPr>
  </w:style>
  <w:style w:type="paragraph" w:styleId="ab">
    <w:name w:val="Balloon Text"/>
    <w:basedOn w:val="a"/>
    <w:link w:val="ac"/>
    <w:rsid w:val="00523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link w:val="ab"/>
    <w:rsid w:val="0052348D"/>
    <w:rPr>
      <w:rFonts w:ascii="Tahoma" w:hAnsi="Tahoma" w:cs="Tahoma"/>
      <w:sz w:val="16"/>
      <w:szCs w:val="16"/>
    </w:rPr>
  </w:style>
  <w:style w:type="character" w:customStyle="1" w:styleId="a4">
    <w:name w:val="כותרת תחתונה תו"/>
    <w:link w:val="a3"/>
    <w:uiPriority w:val="99"/>
    <w:rsid w:val="00F82090"/>
    <w:rPr>
      <w:rFonts w:cs="David"/>
      <w:szCs w:val="24"/>
      <w:lang w:eastAsia="he-IL"/>
    </w:rPr>
  </w:style>
  <w:style w:type="paragraph" w:styleId="ad">
    <w:name w:val="Revision"/>
    <w:hidden/>
    <w:uiPriority w:val="99"/>
    <w:semiHidden/>
    <w:rsid w:val="007D544E"/>
    <w:rPr>
      <w:rFonts w:cs="David"/>
      <w:sz w:val="24"/>
      <w:szCs w:val="24"/>
    </w:rPr>
  </w:style>
  <w:style w:type="character" w:styleId="ae">
    <w:name w:val="annotation reference"/>
    <w:rsid w:val="0027242B"/>
    <w:rPr>
      <w:sz w:val="16"/>
      <w:szCs w:val="16"/>
    </w:rPr>
  </w:style>
  <w:style w:type="paragraph" w:styleId="af">
    <w:name w:val="annotation text"/>
    <w:basedOn w:val="a"/>
    <w:link w:val="af0"/>
    <w:rsid w:val="0027242B"/>
    <w:rPr>
      <w:sz w:val="20"/>
      <w:szCs w:val="20"/>
    </w:rPr>
  </w:style>
  <w:style w:type="character" w:customStyle="1" w:styleId="af0">
    <w:name w:val="טקסט הערה תו"/>
    <w:link w:val="af"/>
    <w:rsid w:val="0027242B"/>
    <w:rPr>
      <w:rFonts w:cs="David"/>
    </w:rPr>
  </w:style>
  <w:style w:type="paragraph" w:styleId="af1">
    <w:name w:val="annotation subject"/>
    <w:basedOn w:val="af"/>
    <w:next w:val="af"/>
    <w:link w:val="af2"/>
    <w:rsid w:val="0027242B"/>
    <w:rPr>
      <w:b/>
      <w:bCs/>
    </w:rPr>
  </w:style>
  <w:style w:type="character" w:customStyle="1" w:styleId="af2">
    <w:name w:val="נושא הערה תו"/>
    <w:link w:val="af1"/>
    <w:rsid w:val="0027242B"/>
    <w:rPr>
      <w:rFonts w:cs="David"/>
      <w:b/>
      <w:bCs/>
    </w:rPr>
  </w:style>
  <w:style w:type="character" w:customStyle="1" w:styleId="a7">
    <w:name w:val="כותרת עליונה תו"/>
    <w:link w:val="a6"/>
    <w:uiPriority w:val="99"/>
    <w:rsid w:val="00F54311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5AC2EC-2B5C-4D19-97F1-E4427332775D}"/>
</file>

<file path=customXml/itemProps2.xml><?xml version="1.0" encoding="utf-8"?>
<ds:datastoreItem xmlns:ds="http://schemas.openxmlformats.org/officeDocument/2006/customXml" ds:itemID="{E4B99CC6-A22C-4326-AF63-37CC54432FE4}"/>
</file>

<file path=customXml/itemProps3.xml><?xml version="1.0" encoding="utf-8"?>
<ds:datastoreItem xmlns:ds="http://schemas.openxmlformats.org/officeDocument/2006/customXml" ds:itemID="{33467FE3-034A-4BA4-8B16-7C79A4BC8B2E}"/>
</file>

<file path=customXml/itemProps4.xml><?xml version="1.0" encoding="utf-8"?>
<ds:datastoreItem xmlns:ds="http://schemas.openxmlformats.org/officeDocument/2006/customXml" ds:itemID="{F0181A87-F615-4EB3-8EF6-7AA7705F1F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1848</Words>
  <Characters>9242</Characters>
  <Application>Microsoft Office Word</Application>
  <DocSecurity>4</DocSecurity>
  <Lines>77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ירושלים, ‏ל' כסלו תשס"ז</vt:lpstr>
    </vt:vector>
  </TitlesOfParts>
  <Company>Bank Of Israel</Company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ירושלים, ‏ל' כסלו תשס"ז</dc:title>
  <dc:subject/>
  <dc:creator>Bank Of Israel</dc:creator>
  <cp:keywords/>
  <cp:lastModifiedBy>מיטל רולניצקי</cp:lastModifiedBy>
  <cp:revision>2</cp:revision>
  <cp:lastPrinted>2019-03-27T07:59:00Z</cp:lastPrinted>
  <dcterms:created xsi:type="dcterms:W3CDTF">2019-05-20T07:14:00Z</dcterms:created>
  <dcterms:modified xsi:type="dcterms:W3CDTF">2019-05-20T07:14:00Z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1">
    <vt:lpwstr>m5017410</vt:lpwstr>
  </property>
  <property fmtid="{D5CDD505-2E9C-101B-9397-08002B2CF9AE}" pid="3" name="CDP2">
    <vt:lpwstr>תיבה בנושא מתודולוגיה לסקירת מפקחת</vt:lpwstr>
  </property>
  <property fmtid="{D5CDD505-2E9C-101B-9397-08002B2CF9AE}" pid="4" name="CDP3">
    <vt:lpwstr>במ|00</vt:lpwstr>
  </property>
  <property fmtid="{D5CDD505-2E9C-101B-9397-08002B2CF9AE}" pid="5" name="ContentTypeId">
    <vt:lpwstr>0x0101000644CCD52964FE4BBD8AB8E0B060EA47</vt:lpwstr>
  </property>
</Properties>
</file>