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8FB" w:rsidRDefault="00D208FB" w:rsidP="00D208FB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bookmarkStart w:id="0" w:name="_GoBack"/>
      <w:bookmarkEnd w:id="0"/>
    </w:p>
    <w:p w:rsidR="00894F88" w:rsidRPr="00894F88" w:rsidRDefault="005F1431" w:rsidP="00D208FB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noProof/>
        </w:rPr>
        <w:drawing>
          <wp:inline distT="0" distB="0" distL="0" distR="0" wp14:anchorId="29B55C56" wp14:editId="2DA42B8E">
            <wp:extent cx="1243636" cy="704850"/>
            <wp:effectExtent l="0" t="0" r="0" b="0"/>
            <wp:docPr id="12" name="תמונה 12" descr="C:\Users\u20m\AppData\Local\Microsoft\Windows\Temporary Internet Files\Content.Word\60Y+bank_Color_RGB_72DP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20m\AppData\Local\Microsoft\Windows\Temporary Internet Files\Content.Word\60Y+bank_Color_RGB_72DPI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636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4F88" w:rsidRPr="00894F88" w:rsidRDefault="00894F88" w:rsidP="00894F88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894F88" w:rsidRPr="00894F88" w:rsidRDefault="00894F88" w:rsidP="00894F88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894F88">
        <w:rPr>
          <w:rFonts w:asciiTheme="majorBidi" w:hAnsiTheme="majorBidi" w:cstheme="majorBidi"/>
          <w:b/>
          <w:bCs/>
          <w:sz w:val="24"/>
          <w:szCs w:val="24"/>
        </w:rPr>
        <w:t>BANK OF ISRAEL</w:t>
      </w:r>
    </w:p>
    <w:p w:rsidR="00894F88" w:rsidRPr="00894F88" w:rsidRDefault="00894F88" w:rsidP="00894F88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894F88">
        <w:rPr>
          <w:rFonts w:asciiTheme="majorBidi" w:hAnsiTheme="majorBidi" w:cstheme="majorBidi"/>
          <w:sz w:val="24"/>
          <w:szCs w:val="24"/>
        </w:rPr>
        <w:t>Office of the Spokesperson and Economic Information</w:t>
      </w:r>
    </w:p>
    <w:p w:rsidR="00894F88" w:rsidRDefault="00894F88" w:rsidP="00894F88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935D05" w:rsidRDefault="00935D05" w:rsidP="00894F88">
      <w:pPr>
        <w:spacing w:after="0" w:line="240" w:lineRule="auto"/>
        <w:jc w:val="right"/>
        <w:rPr>
          <w:rFonts w:asciiTheme="majorBidi" w:hAnsiTheme="majorBidi" w:cstheme="majorBidi"/>
          <w:sz w:val="24"/>
          <w:szCs w:val="24"/>
        </w:rPr>
      </w:pPr>
    </w:p>
    <w:p w:rsidR="00894F88" w:rsidRPr="00894F88" w:rsidRDefault="009B18E7" w:rsidP="009C5812">
      <w:pPr>
        <w:spacing w:after="0" w:line="240" w:lineRule="auto"/>
        <w:jc w:val="righ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July 27</w:t>
      </w:r>
      <w:r w:rsidR="00C35305">
        <w:rPr>
          <w:rFonts w:asciiTheme="majorBidi" w:hAnsiTheme="majorBidi" w:cstheme="majorBidi"/>
          <w:sz w:val="24"/>
          <w:szCs w:val="24"/>
        </w:rPr>
        <w:t>, 2014</w:t>
      </w:r>
    </w:p>
    <w:p w:rsidR="00894F88" w:rsidRPr="00894F88" w:rsidRDefault="00894F88" w:rsidP="00894F88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894F88" w:rsidRPr="00894F88" w:rsidRDefault="00894F88" w:rsidP="00894F88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894F88">
        <w:rPr>
          <w:rFonts w:asciiTheme="majorBidi" w:hAnsiTheme="majorBidi" w:cstheme="majorBidi"/>
          <w:b/>
          <w:bCs/>
          <w:sz w:val="24"/>
          <w:szCs w:val="24"/>
        </w:rPr>
        <w:t>Press Release</w:t>
      </w:r>
    </w:p>
    <w:p w:rsidR="00894F88" w:rsidRDefault="00894F88" w:rsidP="00894F88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894F88" w:rsidRPr="00894F88" w:rsidRDefault="00894F88" w:rsidP="009B18E7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894F88">
        <w:rPr>
          <w:rFonts w:asciiTheme="majorBidi" w:hAnsiTheme="majorBidi" w:cstheme="majorBidi"/>
          <w:b/>
          <w:bCs/>
          <w:sz w:val="24"/>
          <w:szCs w:val="24"/>
        </w:rPr>
        <w:t xml:space="preserve">Debt Developments in the Economy, </w:t>
      </w:r>
      <w:r w:rsidR="009B18E7">
        <w:rPr>
          <w:rFonts w:asciiTheme="majorBidi" w:hAnsiTheme="majorBidi" w:cstheme="majorBidi"/>
          <w:b/>
          <w:bCs/>
          <w:sz w:val="24"/>
          <w:szCs w:val="24"/>
        </w:rPr>
        <w:t>May-June</w:t>
      </w:r>
      <w:r w:rsidRPr="00894F88">
        <w:rPr>
          <w:rFonts w:asciiTheme="majorBidi" w:hAnsiTheme="majorBidi" w:cstheme="majorBidi"/>
          <w:b/>
          <w:bCs/>
          <w:sz w:val="24"/>
          <w:szCs w:val="24"/>
        </w:rPr>
        <w:t xml:space="preserve"> 201</w:t>
      </w:r>
      <w:r w:rsidR="00825CDE">
        <w:rPr>
          <w:rFonts w:asciiTheme="majorBidi" w:hAnsiTheme="majorBidi" w:cstheme="majorBidi"/>
          <w:b/>
          <w:bCs/>
          <w:sz w:val="24"/>
          <w:szCs w:val="24"/>
        </w:rPr>
        <w:t>4</w:t>
      </w:r>
    </w:p>
    <w:p w:rsidR="00894F88" w:rsidRDefault="00894F88" w:rsidP="00894F88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894F88" w:rsidRPr="00894F88" w:rsidRDefault="00894F88" w:rsidP="00894F88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894F88" w:rsidRDefault="00894F88" w:rsidP="009B18E7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894F88">
        <w:rPr>
          <w:rFonts w:asciiTheme="majorBidi" w:hAnsiTheme="majorBidi" w:cstheme="majorBidi"/>
          <w:b/>
          <w:bCs/>
          <w:sz w:val="24"/>
          <w:szCs w:val="24"/>
        </w:rPr>
        <w:t>Business sector debt</w:t>
      </w:r>
      <w:r w:rsidRPr="00894F88">
        <w:rPr>
          <w:rFonts w:asciiTheme="majorBidi" w:hAnsiTheme="majorBidi" w:cstheme="majorBidi"/>
          <w:sz w:val="24"/>
          <w:szCs w:val="24"/>
        </w:rPr>
        <w:t xml:space="preserve"> </w:t>
      </w:r>
      <w:r w:rsidR="00E94CC0">
        <w:rPr>
          <w:rFonts w:asciiTheme="majorBidi" w:hAnsiTheme="majorBidi" w:cstheme="majorBidi"/>
          <w:sz w:val="24"/>
          <w:szCs w:val="24"/>
        </w:rPr>
        <w:t>increased</w:t>
      </w:r>
      <w:r w:rsidR="009C5812">
        <w:rPr>
          <w:rFonts w:asciiTheme="majorBidi" w:hAnsiTheme="majorBidi" w:cstheme="majorBidi"/>
          <w:sz w:val="24"/>
          <w:szCs w:val="24"/>
        </w:rPr>
        <w:t xml:space="preserve"> </w:t>
      </w:r>
      <w:r w:rsidR="00AF5887">
        <w:rPr>
          <w:rFonts w:asciiTheme="majorBidi" w:hAnsiTheme="majorBidi" w:cstheme="majorBidi"/>
          <w:sz w:val="24"/>
          <w:szCs w:val="24"/>
        </w:rPr>
        <w:t>by 0.</w:t>
      </w:r>
      <w:r w:rsidR="009B18E7">
        <w:rPr>
          <w:rFonts w:asciiTheme="majorBidi" w:hAnsiTheme="majorBidi" w:cstheme="majorBidi"/>
          <w:sz w:val="24"/>
          <w:szCs w:val="24"/>
        </w:rPr>
        <w:t>7</w:t>
      </w:r>
      <w:r w:rsidR="00AF5887">
        <w:rPr>
          <w:rFonts w:asciiTheme="majorBidi" w:hAnsiTheme="majorBidi" w:cstheme="majorBidi"/>
          <w:sz w:val="24"/>
          <w:szCs w:val="24"/>
        </w:rPr>
        <w:t xml:space="preserve"> percent</w:t>
      </w:r>
      <w:r w:rsidR="00D85C19">
        <w:rPr>
          <w:rFonts w:asciiTheme="majorBidi" w:hAnsiTheme="majorBidi" w:cstheme="majorBidi"/>
          <w:sz w:val="24"/>
          <w:szCs w:val="24"/>
        </w:rPr>
        <w:t xml:space="preserve"> </w:t>
      </w:r>
      <w:r w:rsidR="00AF5887">
        <w:rPr>
          <w:rFonts w:asciiTheme="majorBidi" w:hAnsiTheme="majorBidi" w:cstheme="majorBidi"/>
          <w:sz w:val="24"/>
          <w:szCs w:val="24"/>
        </w:rPr>
        <w:t xml:space="preserve">to </w:t>
      </w:r>
      <w:r w:rsidRPr="00894F88">
        <w:rPr>
          <w:rFonts w:asciiTheme="majorBidi" w:hAnsiTheme="majorBidi" w:cstheme="majorBidi"/>
          <w:sz w:val="24"/>
          <w:szCs w:val="24"/>
        </w:rPr>
        <w:t xml:space="preserve">around NIS </w:t>
      </w:r>
      <w:r w:rsidR="00AF5887">
        <w:rPr>
          <w:rFonts w:asciiTheme="majorBidi" w:hAnsiTheme="majorBidi" w:cstheme="majorBidi"/>
          <w:sz w:val="24"/>
          <w:szCs w:val="24"/>
        </w:rPr>
        <w:t>7</w:t>
      </w:r>
      <w:r w:rsidR="00E94CC0">
        <w:rPr>
          <w:rFonts w:asciiTheme="majorBidi" w:hAnsiTheme="majorBidi" w:cstheme="majorBidi"/>
          <w:sz w:val="24"/>
          <w:szCs w:val="24"/>
        </w:rPr>
        <w:t>8</w:t>
      </w:r>
      <w:r w:rsidR="009B18E7">
        <w:rPr>
          <w:rFonts w:asciiTheme="majorBidi" w:hAnsiTheme="majorBidi" w:cstheme="majorBidi"/>
          <w:sz w:val="24"/>
          <w:szCs w:val="24"/>
        </w:rPr>
        <w:t>6</w:t>
      </w:r>
      <w:r w:rsidR="00210167">
        <w:rPr>
          <w:rFonts w:asciiTheme="majorBidi" w:hAnsiTheme="majorBidi" w:cstheme="majorBidi"/>
          <w:sz w:val="24"/>
          <w:szCs w:val="24"/>
        </w:rPr>
        <w:t xml:space="preserve"> </w:t>
      </w:r>
      <w:r w:rsidRPr="00894F88">
        <w:rPr>
          <w:rFonts w:asciiTheme="majorBidi" w:hAnsiTheme="majorBidi" w:cstheme="majorBidi"/>
          <w:sz w:val="24"/>
          <w:szCs w:val="24"/>
        </w:rPr>
        <w:t>billion</w:t>
      </w:r>
      <w:r w:rsidR="00D85C19">
        <w:rPr>
          <w:rFonts w:asciiTheme="majorBidi" w:hAnsiTheme="majorBidi" w:cstheme="majorBidi"/>
          <w:sz w:val="24"/>
          <w:szCs w:val="24"/>
        </w:rPr>
        <w:t xml:space="preserve"> </w:t>
      </w:r>
      <w:r w:rsidRPr="00894F88">
        <w:rPr>
          <w:rFonts w:asciiTheme="majorBidi" w:hAnsiTheme="majorBidi" w:cstheme="majorBidi"/>
          <w:sz w:val="24"/>
          <w:szCs w:val="24"/>
        </w:rPr>
        <w:t xml:space="preserve">in </w:t>
      </w:r>
      <w:r w:rsidR="009B18E7">
        <w:rPr>
          <w:rFonts w:asciiTheme="majorBidi" w:hAnsiTheme="majorBidi" w:cstheme="majorBidi"/>
          <w:sz w:val="24"/>
          <w:szCs w:val="24"/>
        </w:rPr>
        <w:t>May</w:t>
      </w:r>
      <w:r w:rsidRPr="00894F88">
        <w:rPr>
          <w:rFonts w:asciiTheme="majorBidi" w:hAnsiTheme="majorBidi" w:cstheme="majorBidi"/>
          <w:sz w:val="24"/>
          <w:szCs w:val="24"/>
        </w:rPr>
        <w:t xml:space="preserve">. </w:t>
      </w:r>
      <w:r w:rsidRPr="00894F88">
        <w:rPr>
          <w:rFonts w:asciiTheme="majorBidi" w:hAnsiTheme="majorBidi" w:cstheme="majorBidi"/>
          <w:b/>
          <w:bCs/>
          <w:sz w:val="24"/>
          <w:szCs w:val="24"/>
        </w:rPr>
        <w:t>Household debt</w:t>
      </w:r>
      <w:r w:rsidRPr="00894F88">
        <w:rPr>
          <w:rFonts w:asciiTheme="majorBidi" w:hAnsiTheme="majorBidi" w:cstheme="majorBidi"/>
          <w:sz w:val="24"/>
          <w:szCs w:val="24"/>
        </w:rPr>
        <w:t xml:space="preserve"> </w:t>
      </w:r>
      <w:r w:rsidR="009C5812">
        <w:rPr>
          <w:rFonts w:asciiTheme="majorBidi" w:hAnsiTheme="majorBidi" w:cstheme="majorBidi"/>
          <w:sz w:val="24"/>
          <w:szCs w:val="24"/>
        </w:rPr>
        <w:t xml:space="preserve">increased </w:t>
      </w:r>
      <w:r w:rsidRPr="00894F88">
        <w:rPr>
          <w:rFonts w:asciiTheme="majorBidi" w:hAnsiTheme="majorBidi" w:cstheme="majorBidi"/>
          <w:sz w:val="24"/>
          <w:szCs w:val="24"/>
        </w:rPr>
        <w:t xml:space="preserve">by about NIS </w:t>
      </w:r>
      <w:r w:rsidR="009B18E7">
        <w:rPr>
          <w:rFonts w:asciiTheme="majorBidi" w:hAnsiTheme="majorBidi" w:cstheme="majorBidi"/>
          <w:sz w:val="24"/>
          <w:szCs w:val="24"/>
        </w:rPr>
        <w:t>3.2</w:t>
      </w:r>
      <w:r w:rsidR="009C5812">
        <w:rPr>
          <w:rFonts w:asciiTheme="majorBidi" w:hAnsiTheme="majorBidi" w:cstheme="majorBidi"/>
          <w:sz w:val="24"/>
          <w:szCs w:val="24"/>
        </w:rPr>
        <w:t xml:space="preserve"> </w:t>
      </w:r>
      <w:r w:rsidRPr="00894F88">
        <w:rPr>
          <w:rFonts w:asciiTheme="majorBidi" w:hAnsiTheme="majorBidi" w:cstheme="majorBidi"/>
          <w:sz w:val="24"/>
          <w:szCs w:val="24"/>
        </w:rPr>
        <w:t>billion (0.</w:t>
      </w:r>
      <w:r w:rsidR="009B18E7">
        <w:rPr>
          <w:rFonts w:asciiTheme="majorBidi" w:hAnsiTheme="majorBidi" w:cstheme="majorBidi"/>
          <w:sz w:val="24"/>
          <w:szCs w:val="24"/>
        </w:rPr>
        <w:t>8</w:t>
      </w:r>
      <w:r w:rsidRPr="00894F88">
        <w:rPr>
          <w:rFonts w:asciiTheme="majorBidi" w:hAnsiTheme="majorBidi" w:cstheme="majorBidi"/>
          <w:sz w:val="24"/>
          <w:szCs w:val="24"/>
        </w:rPr>
        <w:t xml:space="preserve"> percent) to around NIS </w:t>
      </w:r>
      <w:r w:rsidR="00210167">
        <w:rPr>
          <w:rFonts w:asciiTheme="majorBidi" w:hAnsiTheme="majorBidi" w:cstheme="majorBidi"/>
          <w:sz w:val="24"/>
          <w:szCs w:val="24"/>
        </w:rPr>
        <w:t>4</w:t>
      </w:r>
      <w:r w:rsidR="009C5812">
        <w:rPr>
          <w:rFonts w:asciiTheme="majorBidi" w:hAnsiTheme="majorBidi" w:cstheme="majorBidi"/>
          <w:sz w:val="24"/>
          <w:szCs w:val="24"/>
        </w:rPr>
        <w:t>1</w:t>
      </w:r>
      <w:r w:rsidR="009B18E7">
        <w:rPr>
          <w:rFonts w:asciiTheme="majorBidi" w:hAnsiTheme="majorBidi" w:cstheme="majorBidi"/>
          <w:sz w:val="24"/>
          <w:szCs w:val="24"/>
        </w:rPr>
        <w:t>7</w:t>
      </w:r>
      <w:r w:rsidR="00210167">
        <w:rPr>
          <w:rFonts w:asciiTheme="majorBidi" w:hAnsiTheme="majorBidi" w:cstheme="majorBidi"/>
          <w:sz w:val="24"/>
          <w:szCs w:val="24"/>
        </w:rPr>
        <w:t xml:space="preserve"> </w:t>
      </w:r>
      <w:r w:rsidRPr="00894F88">
        <w:rPr>
          <w:rFonts w:asciiTheme="majorBidi" w:hAnsiTheme="majorBidi" w:cstheme="majorBidi"/>
          <w:sz w:val="24"/>
          <w:szCs w:val="24"/>
        </w:rPr>
        <w:t>billion at the end of the month.</w:t>
      </w:r>
    </w:p>
    <w:p w:rsidR="00894F88" w:rsidRDefault="00894F88" w:rsidP="00894F88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894F88" w:rsidRPr="00645AA6" w:rsidRDefault="00894F88" w:rsidP="00894F88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645AA6">
        <w:rPr>
          <w:rFonts w:asciiTheme="majorBidi" w:hAnsiTheme="majorBidi" w:cstheme="majorBidi"/>
          <w:b/>
          <w:bCs/>
          <w:sz w:val="24"/>
          <w:szCs w:val="24"/>
        </w:rPr>
        <w:t>The business sector’s outstanding debt</w:t>
      </w:r>
    </w:p>
    <w:p w:rsidR="000F77CA" w:rsidRDefault="00894F88" w:rsidP="0036087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101D53">
        <w:rPr>
          <w:rFonts w:asciiTheme="majorBidi" w:hAnsiTheme="majorBidi" w:cstheme="majorBidi"/>
          <w:sz w:val="24"/>
          <w:szCs w:val="24"/>
        </w:rPr>
        <w:t xml:space="preserve">The total outstanding debt of the business sector </w:t>
      </w:r>
      <w:r w:rsidR="00713CDD">
        <w:rPr>
          <w:rFonts w:asciiTheme="majorBidi" w:hAnsiTheme="majorBidi" w:cstheme="majorBidi"/>
          <w:sz w:val="24"/>
          <w:szCs w:val="24"/>
        </w:rPr>
        <w:t>increased</w:t>
      </w:r>
      <w:r w:rsidR="00C0571F">
        <w:rPr>
          <w:rFonts w:asciiTheme="majorBidi" w:hAnsiTheme="majorBidi" w:cstheme="majorBidi"/>
          <w:sz w:val="24"/>
          <w:szCs w:val="24"/>
        </w:rPr>
        <w:t xml:space="preserve"> </w:t>
      </w:r>
      <w:r w:rsidR="0053381D">
        <w:rPr>
          <w:rFonts w:asciiTheme="majorBidi" w:hAnsiTheme="majorBidi" w:cstheme="majorBidi"/>
          <w:sz w:val="24"/>
          <w:szCs w:val="24"/>
        </w:rPr>
        <w:t xml:space="preserve">by NIS </w:t>
      </w:r>
      <w:r w:rsidR="00DE6EF6">
        <w:rPr>
          <w:rFonts w:asciiTheme="majorBidi" w:hAnsiTheme="majorBidi" w:cstheme="majorBidi"/>
          <w:sz w:val="24"/>
          <w:szCs w:val="24"/>
        </w:rPr>
        <w:t xml:space="preserve">5.5 </w:t>
      </w:r>
      <w:r w:rsidR="0053381D">
        <w:rPr>
          <w:rFonts w:asciiTheme="majorBidi" w:hAnsiTheme="majorBidi" w:cstheme="majorBidi"/>
          <w:sz w:val="24"/>
          <w:szCs w:val="24"/>
        </w:rPr>
        <w:t>billion (0.</w:t>
      </w:r>
      <w:r w:rsidR="00DE6EF6">
        <w:rPr>
          <w:rFonts w:asciiTheme="majorBidi" w:hAnsiTheme="majorBidi" w:cstheme="majorBidi"/>
          <w:sz w:val="24"/>
          <w:szCs w:val="24"/>
        </w:rPr>
        <w:t>7</w:t>
      </w:r>
      <w:r w:rsidR="0053381D">
        <w:rPr>
          <w:rFonts w:asciiTheme="majorBidi" w:hAnsiTheme="majorBidi" w:cstheme="majorBidi"/>
          <w:sz w:val="24"/>
          <w:szCs w:val="24"/>
        </w:rPr>
        <w:t xml:space="preserve"> percent) to </w:t>
      </w:r>
      <w:r w:rsidR="008033BB">
        <w:rPr>
          <w:rFonts w:asciiTheme="majorBidi" w:hAnsiTheme="majorBidi" w:cstheme="majorBidi"/>
          <w:sz w:val="24"/>
          <w:szCs w:val="24"/>
        </w:rPr>
        <w:t xml:space="preserve">around NIS </w:t>
      </w:r>
      <w:r w:rsidR="0070799A">
        <w:rPr>
          <w:rFonts w:asciiTheme="majorBidi" w:hAnsiTheme="majorBidi" w:cstheme="majorBidi"/>
          <w:sz w:val="24"/>
          <w:szCs w:val="24"/>
        </w:rPr>
        <w:t>7</w:t>
      </w:r>
      <w:r w:rsidR="00713CDD">
        <w:rPr>
          <w:rFonts w:asciiTheme="majorBidi" w:hAnsiTheme="majorBidi" w:cstheme="majorBidi"/>
          <w:sz w:val="24"/>
          <w:szCs w:val="24"/>
        </w:rPr>
        <w:t>8</w:t>
      </w:r>
      <w:r w:rsidR="00DE6EF6">
        <w:rPr>
          <w:rFonts w:asciiTheme="majorBidi" w:hAnsiTheme="majorBidi" w:cstheme="majorBidi"/>
          <w:sz w:val="24"/>
          <w:szCs w:val="24"/>
        </w:rPr>
        <w:t>6</w:t>
      </w:r>
      <w:r w:rsidR="0070799A">
        <w:rPr>
          <w:rFonts w:asciiTheme="majorBidi" w:hAnsiTheme="majorBidi" w:cstheme="majorBidi"/>
          <w:sz w:val="24"/>
          <w:szCs w:val="24"/>
        </w:rPr>
        <w:t xml:space="preserve"> </w:t>
      </w:r>
      <w:r w:rsidR="008033BB">
        <w:rPr>
          <w:rFonts w:asciiTheme="majorBidi" w:hAnsiTheme="majorBidi" w:cstheme="majorBidi"/>
          <w:sz w:val="24"/>
          <w:szCs w:val="24"/>
        </w:rPr>
        <w:t>billion</w:t>
      </w:r>
      <w:r w:rsidR="00DB4D94">
        <w:rPr>
          <w:rFonts w:asciiTheme="majorBidi" w:hAnsiTheme="majorBidi" w:cstheme="majorBidi"/>
          <w:sz w:val="24"/>
          <w:szCs w:val="24"/>
        </w:rPr>
        <w:t xml:space="preserve"> in </w:t>
      </w:r>
      <w:r w:rsidR="00DE6EF6">
        <w:rPr>
          <w:rFonts w:asciiTheme="majorBidi" w:hAnsiTheme="majorBidi" w:cstheme="majorBidi"/>
          <w:sz w:val="24"/>
          <w:szCs w:val="24"/>
        </w:rPr>
        <w:t>May</w:t>
      </w:r>
      <w:r w:rsidRPr="00101D53">
        <w:rPr>
          <w:rFonts w:asciiTheme="majorBidi" w:hAnsiTheme="majorBidi" w:cstheme="majorBidi"/>
          <w:sz w:val="24"/>
          <w:szCs w:val="24"/>
        </w:rPr>
        <w:t xml:space="preserve">. </w:t>
      </w:r>
      <w:r w:rsidR="0053381D">
        <w:rPr>
          <w:rFonts w:asciiTheme="majorBidi" w:hAnsiTheme="majorBidi" w:cstheme="majorBidi"/>
          <w:sz w:val="24"/>
          <w:szCs w:val="24"/>
        </w:rPr>
        <w:t xml:space="preserve">The </w:t>
      </w:r>
      <w:r w:rsidR="00713CDD">
        <w:rPr>
          <w:rFonts w:asciiTheme="majorBidi" w:hAnsiTheme="majorBidi" w:cstheme="majorBidi"/>
          <w:sz w:val="24"/>
          <w:szCs w:val="24"/>
        </w:rPr>
        <w:t>increase</w:t>
      </w:r>
      <w:r w:rsidR="00802665">
        <w:rPr>
          <w:rFonts w:asciiTheme="majorBidi" w:hAnsiTheme="majorBidi" w:cstheme="majorBidi"/>
          <w:sz w:val="24"/>
          <w:szCs w:val="24"/>
        </w:rPr>
        <w:t xml:space="preserve"> </w:t>
      </w:r>
      <w:r w:rsidR="0053381D">
        <w:rPr>
          <w:rFonts w:asciiTheme="majorBidi" w:hAnsiTheme="majorBidi" w:cstheme="majorBidi"/>
          <w:sz w:val="24"/>
          <w:szCs w:val="24"/>
        </w:rPr>
        <w:t xml:space="preserve">derived </w:t>
      </w:r>
      <w:r w:rsidR="00DE6EF6">
        <w:rPr>
          <w:rFonts w:asciiTheme="majorBidi" w:hAnsiTheme="majorBidi" w:cstheme="majorBidi"/>
          <w:sz w:val="24"/>
          <w:szCs w:val="24"/>
        </w:rPr>
        <w:t xml:space="preserve">mostly </w:t>
      </w:r>
      <w:r w:rsidR="0053381D">
        <w:rPr>
          <w:rFonts w:asciiTheme="majorBidi" w:hAnsiTheme="majorBidi" w:cstheme="majorBidi"/>
          <w:sz w:val="24"/>
          <w:szCs w:val="24"/>
        </w:rPr>
        <w:t xml:space="preserve">from net </w:t>
      </w:r>
      <w:r w:rsidR="00713CDD">
        <w:rPr>
          <w:rFonts w:asciiTheme="majorBidi" w:hAnsiTheme="majorBidi" w:cstheme="majorBidi"/>
          <w:sz w:val="24"/>
          <w:szCs w:val="24"/>
        </w:rPr>
        <w:t>raising</w:t>
      </w:r>
      <w:r w:rsidR="00C0571F">
        <w:rPr>
          <w:rFonts w:asciiTheme="majorBidi" w:hAnsiTheme="majorBidi" w:cstheme="majorBidi"/>
          <w:sz w:val="24"/>
          <w:szCs w:val="24"/>
        </w:rPr>
        <w:t xml:space="preserve"> of </w:t>
      </w:r>
      <w:r w:rsidR="00487094">
        <w:rPr>
          <w:rFonts w:asciiTheme="majorBidi" w:hAnsiTheme="majorBidi" w:cstheme="majorBidi"/>
          <w:sz w:val="24"/>
          <w:szCs w:val="24"/>
        </w:rPr>
        <w:t>debt</w:t>
      </w:r>
      <w:r w:rsidR="0070799A">
        <w:rPr>
          <w:rFonts w:asciiTheme="majorBidi" w:hAnsiTheme="majorBidi" w:cstheme="majorBidi"/>
          <w:sz w:val="24"/>
          <w:szCs w:val="24"/>
        </w:rPr>
        <w:t xml:space="preserve">, the result of </w:t>
      </w:r>
      <w:r w:rsidR="00802665">
        <w:rPr>
          <w:rFonts w:asciiTheme="majorBidi" w:hAnsiTheme="majorBidi" w:cstheme="majorBidi"/>
          <w:sz w:val="24"/>
          <w:szCs w:val="24"/>
        </w:rPr>
        <w:t xml:space="preserve">funds raised through </w:t>
      </w:r>
      <w:r w:rsidR="00DE6EF6">
        <w:rPr>
          <w:rFonts w:asciiTheme="majorBidi" w:hAnsiTheme="majorBidi" w:cstheme="majorBidi"/>
          <w:sz w:val="24"/>
          <w:szCs w:val="24"/>
        </w:rPr>
        <w:t xml:space="preserve">tradable and nontradable bonds and non-bank </w:t>
      </w:r>
      <w:r w:rsidR="00802665">
        <w:rPr>
          <w:rFonts w:asciiTheme="majorBidi" w:hAnsiTheme="majorBidi" w:cstheme="majorBidi"/>
          <w:sz w:val="24"/>
          <w:szCs w:val="24"/>
        </w:rPr>
        <w:t>loans</w:t>
      </w:r>
      <w:r w:rsidR="00A72D4E">
        <w:rPr>
          <w:rFonts w:asciiTheme="majorBidi" w:hAnsiTheme="majorBidi" w:cstheme="majorBidi"/>
          <w:sz w:val="24"/>
          <w:szCs w:val="24"/>
        </w:rPr>
        <w:t xml:space="preserve">, </w:t>
      </w:r>
      <w:r w:rsidR="00943E21">
        <w:rPr>
          <w:rFonts w:asciiTheme="majorBidi" w:hAnsiTheme="majorBidi" w:cstheme="majorBidi"/>
          <w:sz w:val="24"/>
          <w:szCs w:val="24"/>
        </w:rPr>
        <w:t>as well as from an increase of 0.1 percent in the Consumer Price Index</w:t>
      </w:r>
      <w:r w:rsidR="0070799A">
        <w:rPr>
          <w:rFonts w:asciiTheme="majorBidi" w:hAnsiTheme="majorBidi" w:cstheme="majorBidi"/>
          <w:sz w:val="24"/>
          <w:szCs w:val="24"/>
        </w:rPr>
        <w:t xml:space="preserve"> </w:t>
      </w:r>
      <w:r w:rsidR="00943E21">
        <w:rPr>
          <w:rFonts w:asciiTheme="majorBidi" w:hAnsiTheme="majorBidi" w:cstheme="majorBidi"/>
          <w:sz w:val="24"/>
          <w:szCs w:val="24"/>
        </w:rPr>
        <w:t>and a depreciation of 0.3 percent in the shekel vis-à-vis the dollar, which increased the shekel value of both indexed and foreign currency-denominated debt.</w:t>
      </w:r>
    </w:p>
    <w:p w:rsidR="006168E9" w:rsidRPr="00101D53" w:rsidRDefault="006168E9" w:rsidP="006168E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6168E9">
        <w:rPr>
          <w:rFonts w:asciiTheme="majorBidi" w:hAnsiTheme="majorBidi" w:cstheme="majorBidi"/>
          <w:sz w:val="24"/>
          <w:szCs w:val="24"/>
        </w:rPr>
        <w:t>Following more than a year of decline in business sector debt, the trend has halted in the past two months (see Figure 1).</w:t>
      </w:r>
    </w:p>
    <w:p w:rsidR="00016D01" w:rsidRPr="005D4402" w:rsidRDefault="002C7C12" w:rsidP="0036087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101D53">
        <w:rPr>
          <w:rFonts w:asciiTheme="majorBidi" w:hAnsiTheme="majorBidi" w:cstheme="majorBidi"/>
          <w:sz w:val="24"/>
          <w:szCs w:val="24"/>
        </w:rPr>
        <w:t xml:space="preserve">In </w:t>
      </w:r>
      <w:r w:rsidR="00792D73" w:rsidRPr="00C87FEE">
        <w:rPr>
          <w:rFonts w:asciiTheme="majorBidi" w:hAnsiTheme="majorBidi" w:cstheme="majorBidi"/>
          <w:sz w:val="24"/>
          <w:szCs w:val="24"/>
        </w:rPr>
        <w:t>June</w:t>
      </w:r>
      <w:r w:rsidRPr="00101D53">
        <w:rPr>
          <w:rFonts w:asciiTheme="majorBidi" w:hAnsiTheme="majorBidi" w:cstheme="majorBidi"/>
          <w:sz w:val="24"/>
          <w:szCs w:val="24"/>
        </w:rPr>
        <w:t xml:space="preserve">, the business sector (excluding banks and insurance companies) issued about NIS </w:t>
      </w:r>
      <w:r w:rsidR="00792D73">
        <w:rPr>
          <w:rFonts w:asciiTheme="majorBidi" w:hAnsiTheme="majorBidi" w:cstheme="majorBidi"/>
          <w:sz w:val="24"/>
          <w:szCs w:val="24"/>
        </w:rPr>
        <w:t>3.6</w:t>
      </w:r>
      <w:r w:rsidR="006A0BE7">
        <w:rPr>
          <w:rFonts w:asciiTheme="majorBidi" w:hAnsiTheme="majorBidi" w:cstheme="majorBidi"/>
          <w:sz w:val="24"/>
          <w:szCs w:val="24"/>
        </w:rPr>
        <w:t xml:space="preserve"> </w:t>
      </w:r>
      <w:r w:rsidRPr="00101D53">
        <w:rPr>
          <w:rFonts w:asciiTheme="majorBidi" w:hAnsiTheme="majorBidi" w:cstheme="majorBidi"/>
          <w:sz w:val="24"/>
          <w:szCs w:val="24"/>
        </w:rPr>
        <w:t xml:space="preserve">billion in bonds, </w:t>
      </w:r>
      <w:r w:rsidR="0036087E">
        <w:rPr>
          <w:rFonts w:asciiTheme="majorBidi" w:hAnsiTheme="majorBidi" w:cstheme="majorBidi"/>
          <w:sz w:val="24"/>
          <w:szCs w:val="24"/>
        </w:rPr>
        <w:t>all</w:t>
      </w:r>
      <w:r w:rsidR="006A0BE7">
        <w:rPr>
          <w:rFonts w:asciiTheme="majorBidi" w:hAnsiTheme="majorBidi" w:cstheme="majorBidi"/>
          <w:sz w:val="24"/>
          <w:szCs w:val="24"/>
        </w:rPr>
        <w:t xml:space="preserve"> </w:t>
      </w:r>
      <w:r w:rsidRPr="00101D53">
        <w:rPr>
          <w:rFonts w:asciiTheme="majorBidi" w:hAnsiTheme="majorBidi" w:cstheme="majorBidi"/>
          <w:sz w:val="24"/>
          <w:szCs w:val="24"/>
        </w:rPr>
        <w:t>of which were tradable bonds.</w:t>
      </w:r>
      <w:r w:rsidR="0070799A">
        <w:rPr>
          <w:rFonts w:asciiTheme="majorBidi" w:hAnsiTheme="majorBidi" w:cstheme="majorBidi"/>
          <w:sz w:val="24"/>
          <w:szCs w:val="24"/>
        </w:rPr>
        <w:t xml:space="preserve"> </w:t>
      </w:r>
    </w:p>
    <w:p w:rsidR="004537B8" w:rsidRDefault="004537B8" w:rsidP="0053381D">
      <w:pPr>
        <w:pStyle w:val="a3"/>
        <w:spacing w:after="0" w:line="24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</w:p>
    <w:p w:rsidR="004537B8" w:rsidRPr="004537B8" w:rsidRDefault="004537B8" w:rsidP="004537B8"/>
    <w:p w:rsidR="004537B8" w:rsidRPr="004537B8" w:rsidRDefault="004537B8" w:rsidP="004537B8"/>
    <w:p w:rsidR="004537B8" w:rsidRPr="004537B8" w:rsidRDefault="004537B8" w:rsidP="004537B8"/>
    <w:p w:rsidR="004537B8" w:rsidRPr="004537B8" w:rsidRDefault="004537B8" w:rsidP="004537B8"/>
    <w:p w:rsidR="004537B8" w:rsidRPr="004537B8" w:rsidRDefault="004537B8" w:rsidP="004537B8"/>
    <w:p w:rsidR="004537B8" w:rsidRPr="004537B8" w:rsidRDefault="004537B8" w:rsidP="004537B8"/>
    <w:p w:rsidR="0053381D" w:rsidRPr="004537B8" w:rsidRDefault="004537B8" w:rsidP="004537B8">
      <w:pPr>
        <w:tabs>
          <w:tab w:val="left" w:pos="3150"/>
        </w:tabs>
      </w:pPr>
      <w:r>
        <w:tab/>
      </w:r>
    </w:p>
    <w:p w:rsidR="00016D01" w:rsidRDefault="004C6CDC" w:rsidP="00016D01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4C6CDC">
        <w:rPr>
          <w:noProof/>
        </w:rPr>
        <w:lastRenderedPageBreak/>
        <w:drawing>
          <wp:inline distT="0" distB="0" distL="0" distR="0" wp14:anchorId="50121242" wp14:editId="60535B5F">
            <wp:extent cx="5486400" cy="2656840"/>
            <wp:effectExtent l="0" t="0" r="0" b="0"/>
            <wp:docPr id="2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656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6D01" w:rsidRDefault="00016D01" w:rsidP="00016D01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BA2534" w:rsidRDefault="004C6CDC" w:rsidP="00016D01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4C6CDC">
        <w:rPr>
          <w:noProof/>
        </w:rPr>
        <w:drawing>
          <wp:inline distT="0" distB="0" distL="0" distR="0" wp14:anchorId="142AF1E1" wp14:editId="4E8DEE66">
            <wp:extent cx="5486400" cy="3762375"/>
            <wp:effectExtent l="0" t="0" r="0" b="9525"/>
            <wp:docPr id="3" name="תמונה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62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6D01" w:rsidRDefault="00016D01" w:rsidP="00016D01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4C6CDC" w:rsidRDefault="004C6CDC" w:rsidP="00016D01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4C6CDC">
        <w:rPr>
          <w:noProof/>
        </w:rPr>
        <w:drawing>
          <wp:inline distT="0" distB="0" distL="0" distR="0" wp14:anchorId="67B1FEF6" wp14:editId="328F19AE">
            <wp:extent cx="5486400" cy="1186815"/>
            <wp:effectExtent l="0" t="0" r="0" b="0"/>
            <wp:docPr id="4" name="תמונה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186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6CDC" w:rsidRDefault="004C6CDC" w:rsidP="00016D01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016D01" w:rsidRDefault="004C6CDC" w:rsidP="00016D01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4C6CDC">
        <w:rPr>
          <w:noProof/>
        </w:rPr>
        <w:lastRenderedPageBreak/>
        <w:drawing>
          <wp:inline distT="0" distB="0" distL="0" distR="0" wp14:anchorId="2A3AF474" wp14:editId="32C0DD95">
            <wp:extent cx="5486400" cy="4058285"/>
            <wp:effectExtent l="0" t="0" r="0" b="0"/>
            <wp:docPr id="5" name="תמונה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58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6CDC" w:rsidRDefault="004C6CDC" w:rsidP="00016D01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016D01" w:rsidRPr="00645AA6" w:rsidRDefault="00016D01" w:rsidP="00016D01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645AA6">
        <w:rPr>
          <w:rFonts w:asciiTheme="majorBidi" w:hAnsiTheme="majorBidi" w:cstheme="majorBidi"/>
          <w:b/>
          <w:bCs/>
          <w:sz w:val="24"/>
          <w:szCs w:val="24"/>
        </w:rPr>
        <w:t>Household debt</w:t>
      </w:r>
    </w:p>
    <w:p w:rsidR="00DD6CC9" w:rsidRPr="0076044B" w:rsidRDefault="00016D01" w:rsidP="00942FD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76044B">
        <w:rPr>
          <w:rFonts w:asciiTheme="majorBidi" w:hAnsiTheme="majorBidi" w:cstheme="majorBidi"/>
          <w:sz w:val="24"/>
          <w:szCs w:val="24"/>
        </w:rPr>
        <w:t xml:space="preserve">Households’ outstanding debt </w:t>
      </w:r>
      <w:r w:rsidR="00FB2563">
        <w:rPr>
          <w:rFonts w:asciiTheme="majorBidi" w:hAnsiTheme="majorBidi" w:cstheme="majorBidi"/>
          <w:sz w:val="24"/>
          <w:szCs w:val="24"/>
        </w:rPr>
        <w:t xml:space="preserve">increased </w:t>
      </w:r>
      <w:r w:rsidR="0076044B" w:rsidRPr="0076044B">
        <w:rPr>
          <w:rFonts w:asciiTheme="majorBidi" w:hAnsiTheme="majorBidi" w:cstheme="majorBidi"/>
          <w:sz w:val="24"/>
          <w:szCs w:val="24"/>
        </w:rPr>
        <w:t xml:space="preserve">by about NIS </w:t>
      </w:r>
      <w:r w:rsidR="0036087E">
        <w:rPr>
          <w:rFonts w:asciiTheme="majorBidi" w:hAnsiTheme="majorBidi" w:cstheme="majorBidi"/>
          <w:sz w:val="24"/>
          <w:szCs w:val="24"/>
        </w:rPr>
        <w:t>3.2</w:t>
      </w:r>
      <w:r w:rsidR="00FB2563">
        <w:rPr>
          <w:rFonts w:asciiTheme="majorBidi" w:hAnsiTheme="majorBidi" w:cstheme="majorBidi"/>
          <w:sz w:val="24"/>
          <w:szCs w:val="24"/>
        </w:rPr>
        <w:t xml:space="preserve"> </w:t>
      </w:r>
      <w:r w:rsidR="0076044B" w:rsidRPr="0076044B">
        <w:rPr>
          <w:rFonts w:asciiTheme="majorBidi" w:hAnsiTheme="majorBidi" w:cstheme="majorBidi"/>
          <w:sz w:val="24"/>
          <w:szCs w:val="24"/>
        </w:rPr>
        <w:t>billion (0.</w:t>
      </w:r>
      <w:r w:rsidR="0036087E">
        <w:rPr>
          <w:rFonts w:asciiTheme="majorBidi" w:hAnsiTheme="majorBidi" w:cstheme="majorBidi"/>
          <w:sz w:val="24"/>
          <w:szCs w:val="24"/>
        </w:rPr>
        <w:t>8</w:t>
      </w:r>
      <w:r w:rsidR="0076044B" w:rsidRPr="0076044B">
        <w:rPr>
          <w:rFonts w:asciiTheme="majorBidi" w:hAnsiTheme="majorBidi" w:cstheme="majorBidi"/>
          <w:sz w:val="24"/>
          <w:szCs w:val="24"/>
        </w:rPr>
        <w:t xml:space="preserve"> percent) to </w:t>
      </w:r>
      <w:r w:rsidRPr="0076044B">
        <w:rPr>
          <w:rFonts w:asciiTheme="majorBidi" w:hAnsiTheme="majorBidi" w:cstheme="majorBidi"/>
          <w:sz w:val="24"/>
          <w:szCs w:val="24"/>
        </w:rPr>
        <w:t xml:space="preserve">about NIS </w:t>
      </w:r>
      <w:r w:rsidR="00FB2563">
        <w:rPr>
          <w:rFonts w:asciiTheme="majorBidi" w:hAnsiTheme="majorBidi" w:cstheme="majorBidi"/>
          <w:sz w:val="24"/>
          <w:szCs w:val="24"/>
        </w:rPr>
        <w:t>41</w:t>
      </w:r>
      <w:r w:rsidR="0036087E">
        <w:rPr>
          <w:rFonts w:asciiTheme="majorBidi" w:hAnsiTheme="majorBidi" w:cstheme="majorBidi"/>
          <w:sz w:val="24"/>
          <w:szCs w:val="24"/>
        </w:rPr>
        <w:t>7</w:t>
      </w:r>
      <w:r w:rsidR="00FB2563">
        <w:rPr>
          <w:rFonts w:asciiTheme="majorBidi" w:hAnsiTheme="majorBidi" w:cstheme="majorBidi"/>
          <w:sz w:val="24"/>
          <w:szCs w:val="24"/>
        </w:rPr>
        <w:t xml:space="preserve"> </w:t>
      </w:r>
      <w:r w:rsidRPr="0076044B">
        <w:rPr>
          <w:rFonts w:asciiTheme="majorBidi" w:hAnsiTheme="majorBidi" w:cstheme="majorBidi"/>
          <w:sz w:val="24"/>
          <w:szCs w:val="24"/>
        </w:rPr>
        <w:t>billion</w:t>
      </w:r>
      <w:r w:rsidR="0076044B" w:rsidRPr="0076044B">
        <w:rPr>
          <w:rFonts w:asciiTheme="majorBidi" w:hAnsiTheme="majorBidi" w:cstheme="majorBidi"/>
          <w:sz w:val="24"/>
          <w:szCs w:val="24"/>
        </w:rPr>
        <w:t xml:space="preserve"> in </w:t>
      </w:r>
      <w:r w:rsidR="0036087E">
        <w:rPr>
          <w:rFonts w:asciiTheme="majorBidi" w:hAnsiTheme="majorBidi" w:cstheme="majorBidi"/>
          <w:sz w:val="24"/>
          <w:szCs w:val="24"/>
        </w:rPr>
        <w:t>May</w:t>
      </w:r>
      <w:r w:rsidRPr="0076044B">
        <w:rPr>
          <w:rFonts w:asciiTheme="majorBidi" w:hAnsiTheme="majorBidi" w:cstheme="majorBidi"/>
          <w:sz w:val="24"/>
          <w:szCs w:val="24"/>
        </w:rPr>
        <w:t xml:space="preserve">. </w:t>
      </w:r>
      <w:r w:rsidR="00D70FAF" w:rsidRPr="00942FDD">
        <w:rPr>
          <w:rFonts w:asciiTheme="majorBidi" w:hAnsiTheme="majorBidi" w:cstheme="majorBidi"/>
          <w:sz w:val="24"/>
          <w:szCs w:val="24"/>
        </w:rPr>
        <w:t>Of that,</w:t>
      </w:r>
      <w:r w:rsidR="00D70FAF">
        <w:rPr>
          <w:rFonts w:asciiTheme="majorBidi" w:hAnsiTheme="majorBidi" w:cstheme="majorBidi"/>
          <w:sz w:val="24"/>
          <w:szCs w:val="24"/>
        </w:rPr>
        <w:t xml:space="preserve"> t</w:t>
      </w:r>
      <w:r w:rsidR="002B3782">
        <w:rPr>
          <w:rFonts w:asciiTheme="majorBidi" w:hAnsiTheme="majorBidi" w:cstheme="majorBidi"/>
          <w:sz w:val="24"/>
          <w:szCs w:val="24"/>
        </w:rPr>
        <w:t>he bala</w:t>
      </w:r>
      <w:r w:rsidR="00942FDD">
        <w:rPr>
          <w:rFonts w:asciiTheme="majorBidi" w:hAnsiTheme="majorBidi" w:cstheme="majorBidi"/>
          <w:sz w:val="24"/>
          <w:szCs w:val="24"/>
        </w:rPr>
        <w:t>nce of outstanding housing debt</w:t>
      </w:r>
      <w:r w:rsidR="002B3782">
        <w:rPr>
          <w:rFonts w:asciiTheme="majorBidi" w:hAnsiTheme="majorBidi" w:cstheme="majorBidi"/>
          <w:sz w:val="24"/>
          <w:szCs w:val="24"/>
        </w:rPr>
        <w:t xml:space="preserve"> increased by about NIS 1.6 billion, to about NIS 293 billion at the end of May. </w:t>
      </w:r>
    </w:p>
    <w:p w:rsidR="004B2C2C" w:rsidRPr="00D052FC" w:rsidRDefault="004B2C2C" w:rsidP="007C7A9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D052FC">
        <w:rPr>
          <w:rFonts w:asciiTheme="majorBidi" w:hAnsiTheme="majorBidi" w:cstheme="majorBidi"/>
          <w:sz w:val="24"/>
          <w:szCs w:val="24"/>
        </w:rPr>
        <w:t xml:space="preserve">In </w:t>
      </w:r>
      <w:r w:rsidR="007C7A9A">
        <w:rPr>
          <w:rFonts w:asciiTheme="majorBidi" w:hAnsiTheme="majorBidi" w:cstheme="majorBidi"/>
          <w:sz w:val="24"/>
          <w:szCs w:val="24"/>
        </w:rPr>
        <w:t>June,</w:t>
      </w:r>
      <w:r w:rsidRPr="00D052FC">
        <w:rPr>
          <w:rFonts w:asciiTheme="majorBidi" w:hAnsiTheme="majorBidi" w:cstheme="majorBidi"/>
          <w:sz w:val="24"/>
          <w:szCs w:val="24"/>
        </w:rPr>
        <w:t xml:space="preserve"> there </w:t>
      </w:r>
      <w:r w:rsidR="0076044B">
        <w:rPr>
          <w:rFonts w:asciiTheme="majorBidi" w:hAnsiTheme="majorBidi" w:cstheme="majorBidi"/>
          <w:sz w:val="24"/>
          <w:szCs w:val="24"/>
        </w:rPr>
        <w:t>were about NIS 4</w:t>
      </w:r>
      <w:r w:rsidR="00D96500">
        <w:rPr>
          <w:rFonts w:asciiTheme="majorBidi" w:hAnsiTheme="majorBidi" w:cstheme="majorBidi"/>
          <w:sz w:val="24"/>
          <w:szCs w:val="24"/>
        </w:rPr>
        <w:t>.</w:t>
      </w:r>
      <w:r w:rsidR="007C7A9A">
        <w:rPr>
          <w:rFonts w:asciiTheme="majorBidi" w:hAnsiTheme="majorBidi" w:cstheme="majorBidi"/>
          <w:sz w:val="24"/>
          <w:szCs w:val="24"/>
        </w:rPr>
        <w:t>6</w:t>
      </w:r>
      <w:r w:rsidR="00FB2563">
        <w:rPr>
          <w:rFonts w:asciiTheme="majorBidi" w:hAnsiTheme="majorBidi" w:cstheme="majorBidi"/>
          <w:sz w:val="24"/>
          <w:szCs w:val="24"/>
        </w:rPr>
        <w:t xml:space="preserve"> </w:t>
      </w:r>
      <w:r w:rsidR="0076044B">
        <w:rPr>
          <w:rFonts w:asciiTheme="majorBidi" w:hAnsiTheme="majorBidi" w:cstheme="majorBidi"/>
          <w:sz w:val="24"/>
          <w:szCs w:val="24"/>
        </w:rPr>
        <w:t xml:space="preserve">billion in </w:t>
      </w:r>
      <w:r w:rsidR="00D052FC" w:rsidRPr="00D052FC">
        <w:rPr>
          <w:rFonts w:asciiTheme="majorBidi" w:hAnsiTheme="majorBidi" w:cstheme="majorBidi"/>
          <w:sz w:val="24"/>
          <w:szCs w:val="24"/>
        </w:rPr>
        <w:t>new mortgages taken out</w:t>
      </w:r>
      <w:r w:rsidR="00B85546">
        <w:rPr>
          <w:rFonts w:asciiTheme="majorBidi" w:hAnsiTheme="majorBidi" w:cstheme="majorBidi"/>
          <w:sz w:val="24"/>
          <w:szCs w:val="24"/>
        </w:rPr>
        <w:t>.  The average since the beginning of the year is about NIS 4.</w:t>
      </w:r>
      <w:r w:rsidR="007C7A9A">
        <w:rPr>
          <w:rFonts w:asciiTheme="majorBidi" w:hAnsiTheme="majorBidi" w:cstheme="majorBidi"/>
          <w:sz w:val="24"/>
          <w:szCs w:val="24"/>
        </w:rPr>
        <w:t>3</w:t>
      </w:r>
      <w:r w:rsidR="00B85546">
        <w:rPr>
          <w:rFonts w:asciiTheme="majorBidi" w:hAnsiTheme="majorBidi" w:cstheme="majorBidi"/>
          <w:sz w:val="24"/>
          <w:szCs w:val="24"/>
        </w:rPr>
        <w:t xml:space="preserve"> billion per month</w:t>
      </w:r>
      <w:r w:rsidR="002C7C12" w:rsidRPr="00D052FC">
        <w:rPr>
          <w:rFonts w:asciiTheme="majorBidi" w:hAnsiTheme="majorBidi" w:cstheme="majorBidi"/>
          <w:sz w:val="24"/>
          <w:szCs w:val="24"/>
        </w:rPr>
        <w:t>.</w:t>
      </w:r>
    </w:p>
    <w:p w:rsidR="002C7C12" w:rsidRDefault="002C7C12" w:rsidP="00016D01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2C7C12" w:rsidRDefault="004C6CDC" w:rsidP="00016D01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4C6CDC">
        <w:rPr>
          <w:noProof/>
        </w:rPr>
        <w:lastRenderedPageBreak/>
        <w:drawing>
          <wp:inline distT="0" distB="0" distL="0" distR="0" wp14:anchorId="6C841257" wp14:editId="21C08EA4">
            <wp:extent cx="5486400" cy="3957320"/>
            <wp:effectExtent l="0" t="0" r="0" b="5080"/>
            <wp:docPr id="6" name="תמונה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957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7C12" w:rsidRDefault="002C7C12" w:rsidP="002C7C12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4C6CDC" w:rsidRDefault="004C6CDC" w:rsidP="002C7C12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4C6CDC">
        <w:rPr>
          <w:noProof/>
        </w:rPr>
        <w:drawing>
          <wp:inline distT="0" distB="0" distL="0" distR="0" wp14:anchorId="51A72EAF" wp14:editId="15B6E0F2">
            <wp:extent cx="5486400" cy="3343910"/>
            <wp:effectExtent l="0" t="0" r="0" b="8890"/>
            <wp:docPr id="7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43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6CDC" w:rsidRDefault="004C6CDC" w:rsidP="002C7C12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4C6CDC" w:rsidRDefault="004C6CDC" w:rsidP="002C7C12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4C6CDC" w:rsidRDefault="004C6CDC" w:rsidP="002C7C12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4C6CDC" w:rsidRDefault="004C6CDC" w:rsidP="002C7C12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2C7C12" w:rsidRPr="00101D53" w:rsidRDefault="002C7C12" w:rsidP="002C7C12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101D53">
        <w:rPr>
          <w:rFonts w:asciiTheme="majorBidi" w:hAnsiTheme="majorBidi" w:cstheme="majorBidi"/>
          <w:b/>
          <w:bCs/>
          <w:sz w:val="24"/>
          <w:szCs w:val="24"/>
        </w:rPr>
        <w:lastRenderedPageBreak/>
        <w:t>The cost of the debt</w:t>
      </w:r>
    </w:p>
    <w:p w:rsidR="00820BC6" w:rsidRDefault="00820BC6" w:rsidP="007C7A9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In </w:t>
      </w:r>
      <w:r w:rsidR="007C7A9A">
        <w:rPr>
          <w:rFonts w:asciiTheme="majorBidi" w:hAnsiTheme="majorBidi" w:cstheme="majorBidi"/>
          <w:sz w:val="24"/>
          <w:szCs w:val="24"/>
        </w:rPr>
        <w:t>May</w:t>
      </w:r>
      <w:r>
        <w:rPr>
          <w:rFonts w:asciiTheme="majorBidi" w:hAnsiTheme="majorBidi" w:cstheme="majorBidi"/>
          <w:sz w:val="24"/>
          <w:szCs w:val="24"/>
        </w:rPr>
        <w:t xml:space="preserve">, the interest rate spread in the unindexed track </w:t>
      </w:r>
      <w:r w:rsidR="007C7A9A">
        <w:rPr>
          <w:rFonts w:asciiTheme="majorBidi" w:hAnsiTheme="majorBidi" w:cstheme="majorBidi"/>
          <w:sz w:val="24"/>
          <w:szCs w:val="24"/>
        </w:rPr>
        <w:t>narrowed by about 0.04 percentage points,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7C7A9A">
        <w:rPr>
          <w:rFonts w:asciiTheme="majorBidi" w:hAnsiTheme="majorBidi" w:cstheme="majorBidi"/>
          <w:sz w:val="24"/>
          <w:szCs w:val="24"/>
        </w:rPr>
        <w:t>mainly as a result of a decline in interest rates on outstanding credit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8B4F68" w:rsidRPr="00820BC6" w:rsidRDefault="002C7C12" w:rsidP="00F152C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820BC6">
        <w:rPr>
          <w:rFonts w:asciiTheme="majorBidi" w:hAnsiTheme="majorBidi" w:cstheme="majorBidi"/>
          <w:sz w:val="24"/>
          <w:szCs w:val="24"/>
        </w:rPr>
        <w:t xml:space="preserve">In the CPI-indexed track, the spread between the interest rate on new bank credit granted and the interest rate on deposits </w:t>
      </w:r>
      <w:r w:rsidR="00F152CA">
        <w:rPr>
          <w:rFonts w:asciiTheme="majorBidi" w:hAnsiTheme="majorBidi" w:cstheme="majorBidi"/>
          <w:sz w:val="24"/>
          <w:szCs w:val="24"/>
        </w:rPr>
        <w:t>narrowed in May</w:t>
      </w:r>
      <w:r w:rsidR="008B4F68" w:rsidRPr="00820BC6">
        <w:rPr>
          <w:rFonts w:asciiTheme="majorBidi" w:hAnsiTheme="majorBidi" w:cstheme="majorBidi"/>
          <w:sz w:val="24"/>
          <w:szCs w:val="24"/>
        </w:rPr>
        <w:t xml:space="preserve"> </w:t>
      </w:r>
      <w:r w:rsidR="00820BC6" w:rsidRPr="00820BC6">
        <w:rPr>
          <w:rFonts w:asciiTheme="majorBidi" w:hAnsiTheme="majorBidi" w:cstheme="majorBidi"/>
          <w:sz w:val="24"/>
          <w:szCs w:val="24"/>
        </w:rPr>
        <w:t>by about 0.</w:t>
      </w:r>
      <w:r w:rsidR="00F152CA">
        <w:rPr>
          <w:rFonts w:asciiTheme="majorBidi" w:hAnsiTheme="majorBidi" w:cstheme="majorBidi"/>
          <w:sz w:val="24"/>
          <w:szCs w:val="24"/>
        </w:rPr>
        <w:t>11</w:t>
      </w:r>
      <w:r w:rsidR="00820BC6" w:rsidRPr="00820BC6">
        <w:rPr>
          <w:rFonts w:asciiTheme="majorBidi" w:hAnsiTheme="majorBidi" w:cstheme="majorBidi"/>
          <w:sz w:val="24"/>
          <w:szCs w:val="24"/>
        </w:rPr>
        <w:t xml:space="preserve"> percentage points, mainly due to </w:t>
      </w:r>
      <w:r w:rsidR="00F152CA">
        <w:rPr>
          <w:rFonts w:asciiTheme="majorBidi" w:hAnsiTheme="majorBidi" w:cstheme="majorBidi"/>
          <w:sz w:val="24"/>
          <w:szCs w:val="24"/>
        </w:rPr>
        <w:t>an</w:t>
      </w:r>
      <w:r w:rsidR="00820BC6" w:rsidRPr="00820BC6">
        <w:rPr>
          <w:rFonts w:asciiTheme="majorBidi" w:hAnsiTheme="majorBidi" w:cstheme="majorBidi"/>
          <w:sz w:val="24"/>
          <w:szCs w:val="24"/>
        </w:rPr>
        <w:t xml:space="preserve"> </w:t>
      </w:r>
      <w:r w:rsidR="00F152CA">
        <w:rPr>
          <w:rFonts w:asciiTheme="majorBidi" w:hAnsiTheme="majorBidi" w:cstheme="majorBidi"/>
          <w:sz w:val="24"/>
          <w:szCs w:val="24"/>
        </w:rPr>
        <w:t>increase</w:t>
      </w:r>
      <w:r w:rsidR="00820BC6" w:rsidRPr="00820BC6">
        <w:rPr>
          <w:rFonts w:asciiTheme="majorBidi" w:hAnsiTheme="majorBidi" w:cstheme="majorBidi"/>
          <w:sz w:val="24"/>
          <w:szCs w:val="24"/>
        </w:rPr>
        <w:t xml:space="preserve"> in interest on deposits.</w:t>
      </w:r>
    </w:p>
    <w:p w:rsidR="002C7C12" w:rsidRPr="00101D53" w:rsidRDefault="001870BA" w:rsidP="00A155F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In May</w:t>
      </w:r>
      <w:r w:rsidR="00AE7F78" w:rsidRPr="00101D53">
        <w:rPr>
          <w:rFonts w:asciiTheme="majorBidi" w:hAnsiTheme="majorBidi" w:cstheme="majorBidi"/>
          <w:sz w:val="24"/>
          <w:szCs w:val="24"/>
        </w:rPr>
        <w:t xml:space="preserve">, the spread between the yield on </w:t>
      </w:r>
      <w:r w:rsidR="00F226B8">
        <w:rPr>
          <w:rFonts w:asciiTheme="majorBidi" w:hAnsiTheme="majorBidi" w:cstheme="majorBidi"/>
          <w:sz w:val="24"/>
          <w:szCs w:val="24"/>
        </w:rPr>
        <w:t>CPI-</w:t>
      </w:r>
      <w:r w:rsidR="00AE7F78" w:rsidRPr="00101D53">
        <w:rPr>
          <w:rFonts w:asciiTheme="majorBidi" w:hAnsiTheme="majorBidi" w:cstheme="majorBidi"/>
          <w:sz w:val="24"/>
          <w:szCs w:val="24"/>
        </w:rPr>
        <w:t xml:space="preserve">indexed corporate bonds—measured by the Tel Bond 60—and yields </w:t>
      </w:r>
      <w:r w:rsidR="00C16651" w:rsidRPr="00101D53">
        <w:rPr>
          <w:rFonts w:asciiTheme="majorBidi" w:hAnsiTheme="majorBidi" w:cstheme="majorBidi"/>
          <w:sz w:val="24"/>
          <w:szCs w:val="24"/>
        </w:rPr>
        <w:t xml:space="preserve">on </w:t>
      </w:r>
      <w:r w:rsidR="00F226B8">
        <w:rPr>
          <w:rFonts w:asciiTheme="majorBidi" w:hAnsiTheme="majorBidi" w:cstheme="majorBidi"/>
          <w:sz w:val="24"/>
          <w:szCs w:val="24"/>
        </w:rPr>
        <w:t>CPI-</w:t>
      </w:r>
      <w:r w:rsidR="00C16651" w:rsidRPr="00101D53">
        <w:rPr>
          <w:rFonts w:asciiTheme="majorBidi" w:hAnsiTheme="majorBidi" w:cstheme="majorBidi"/>
          <w:sz w:val="24"/>
          <w:szCs w:val="24"/>
        </w:rPr>
        <w:t>indexed government bonds was 1.</w:t>
      </w:r>
      <w:r w:rsidR="00A75A29">
        <w:rPr>
          <w:rFonts w:asciiTheme="majorBidi" w:hAnsiTheme="majorBidi" w:cstheme="majorBidi"/>
          <w:sz w:val="24"/>
          <w:szCs w:val="24"/>
        </w:rPr>
        <w:t>2</w:t>
      </w:r>
      <w:r w:rsidR="00AD33E8">
        <w:rPr>
          <w:rFonts w:asciiTheme="majorBidi" w:hAnsiTheme="majorBidi" w:cstheme="majorBidi"/>
          <w:sz w:val="24"/>
          <w:szCs w:val="24"/>
        </w:rPr>
        <w:t xml:space="preserve"> </w:t>
      </w:r>
      <w:r w:rsidR="00C16651" w:rsidRPr="00101D53">
        <w:rPr>
          <w:rFonts w:asciiTheme="majorBidi" w:hAnsiTheme="majorBidi" w:cstheme="majorBidi"/>
          <w:sz w:val="24"/>
          <w:szCs w:val="24"/>
        </w:rPr>
        <w:t xml:space="preserve">percentage points, </w:t>
      </w:r>
      <w:r w:rsidR="008E02F6">
        <w:rPr>
          <w:rFonts w:asciiTheme="majorBidi" w:hAnsiTheme="majorBidi" w:cstheme="majorBidi"/>
          <w:sz w:val="24"/>
          <w:szCs w:val="24"/>
        </w:rPr>
        <w:t>virtually unchanged from the spread in the previous month</w:t>
      </w:r>
      <w:r w:rsidR="00C16651" w:rsidRPr="00101D53">
        <w:rPr>
          <w:rFonts w:asciiTheme="majorBidi" w:hAnsiTheme="majorBidi" w:cstheme="majorBidi"/>
          <w:sz w:val="24"/>
          <w:szCs w:val="24"/>
        </w:rPr>
        <w:t>.</w:t>
      </w:r>
    </w:p>
    <w:p w:rsidR="00C16651" w:rsidRPr="00BF4626" w:rsidRDefault="00C16651" w:rsidP="00421B5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BF4626">
        <w:rPr>
          <w:rFonts w:asciiTheme="majorBidi" w:hAnsiTheme="majorBidi" w:cstheme="majorBidi"/>
          <w:sz w:val="24"/>
          <w:szCs w:val="24"/>
        </w:rPr>
        <w:t xml:space="preserve">In </w:t>
      </w:r>
      <w:r w:rsidR="008E02F6">
        <w:rPr>
          <w:rFonts w:asciiTheme="majorBidi" w:hAnsiTheme="majorBidi" w:cstheme="majorBidi"/>
          <w:sz w:val="24"/>
          <w:szCs w:val="24"/>
        </w:rPr>
        <w:t>June</w:t>
      </w:r>
      <w:r w:rsidRPr="00BF4626">
        <w:rPr>
          <w:rFonts w:asciiTheme="majorBidi" w:hAnsiTheme="majorBidi" w:cstheme="majorBidi"/>
          <w:sz w:val="24"/>
          <w:szCs w:val="24"/>
        </w:rPr>
        <w:t xml:space="preserve">, the average interest rate on new </w:t>
      </w:r>
      <w:r w:rsidR="00421B5F" w:rsidRPr="00BF4626">
        <w:rPr>
          <w:rFonts w:asciiTheme="majorBidi" w:hAnsiTheme="majorBidi" w:cstheme="majorBidi"/>
          <w:sz w:val="24"/>
          <w:szCs w:val="24"/>
        </w:rPr>
        <w:t xml:space="preserve">CPI-indexed </w:t>
      </w:r>
      <w:r w:rsidRPr="00BF4626">
        <w:rPr>
          <w:rFonts w:asciiTheme="majorBidi" w:hAnsiTheme="majorBidi" w:cstheme="majorBidi"/>
          <w:sz w:val="24"/>
          <w:szCs w:val="24"/>
        </w:rPr>
        <w:t xml:space="preserve">mortgages </w:t>
      </w:r>
      <w:r w:rsidR="00421B5F">
        <w:rPr>
          <w:rFonts w:asciiTheme="majorBidi" w:hAnsiTheme="majorBidi" w:cstheme="majorBidi"/>
          <w:sz w:val="24"/>
          <w:szCs w:val="24"/>
        </w:rPr>
        <w:t xml:space="preserve">declined </w:t>
      </w:r>
      <w:r w:rsidR="00421B5F" w:rsidRPr="00BF4626">
        <w:rPr>
          <w:rFonts w:asciiTheme="majorBidi" w:hAnsiTheme="majorBidi" w:cstheme="majorBidi"/>
          <w:sz w:val="24"/>
          <w:szCs w:val="24"/>
        </w:rPr>
        <w:t>by around 0.</w:t>
      </w:r>
      <w:r w:rsidR="00421B5F">
        <w:rPr>
          <w:rFonts w:asciiTheme="majorBidi" w:hAnsiTheme="majorBidi" w:cstheme="majorBidi"/>
          <w:sz w:val="24"/>
          <w:szCs w:val="24"/>
        </w:rPr>
        <w:t xml:space="preserve">07 </w:t>
      </w:r>
      <w:r w:rsidR="00421B5F" w:rsidRPr="00BF4626">
        <w:rPr>
          <w:rFonts w:asciiTheme="majorBidi" w:hAnsiTheme="majorBidi" w:cstheme="majorBidi"/>
          <w:sz w:val="24"/>
          <w:szCs w:val="24"/>
        </w:rPr>
        <w:t>percentage points</w:t>
      </w:r>
      <w:r w:rsidR="00AD33E8">
        <w:rPr>
          <w:rFonts w:asciiTheme="majorBidi" w:hAnsiTheme="majorBidi" w:cstheme="majorBidi"/>
          <w:sz w:val="24"/>
          <w:szCs w:val="24"/>
        </w:rPr>
        <w:t xml:space="preserve">. </w:t>
      </w:r>
      <w:r w:rsidR="00631F08" w:rsidRPr="00BF4626">
        <w:rPr>
          <w:rFonts w:asciiTheme="majorBidi" w:hAnsiTheme="majorBidi" w:cstheme="majorBidi"/>
          <w:sz w:val="24"/>
          <w:szCs w:val="24"/>
        </w:rPr>
        <w:t xml:space="preserve">The interest rate on new </w:t>
      </w:r>
      <w:r w:rsidR="00421B5F" w:rsidRPr="00BF4626">
        <w:rPr>
          <w:rFonts w:asciiTheme="majorBidi" w:hAnsiTheme="majorBidi" w:cstheme="majorBidi"/>
          <w:sz w:val="24"/>
          <w:szCs w:val="24"/>
        </w:rPr>
        <w:t xml:space="preserve">unindexed </w:t>
      </w:r>
      <w:r w:rsidR="00631F08" w:rsidRPr="00BF4626">
        <w:rPr>
          <w:rFonts w:asciiTheme="majorBidi" w:hAnsiTheme="majorBidi" w:cstheme="majorBidi"/>
          <w:sz w:val="24"/>
          <w:szCs w:val="24"/>
        </w:rPr>
        <w:t xml:space="preserve">mortgages </w:t>
      </w:r>
      <w:r w:rsidR="004C5E28">
        <w:rPr>
          <w:rFonts w:asciiTheme="majorBidi" w:hAnsiTheme="majorBidi" w:cstheme="majorBidi"/>
          <w:sz w:val="24"/>
          <w:szCs w:val="24"/>
        </w:rPr>
        <w:t xml:space="preserve">declined </w:t>
      </w:r>
      <w:r w:rsidR="00631F08" w:rsidRPr="00BF4626">
        <w:rPr>
          <w:rFonts w:asciiTheme="majorBidi" w:hAnsiTheme="majorBidi" w:cstheme="majorBidi"/>
          <w:sz w:val="24"/>
          <w:szCs w:val="24"/>
        </w:rPr>
        <w:t>by around 0.</w:t>
      </w:r>
      <w:r w:rsidR="00296730">
        <w:rPr>
          <w:rFonts w:asciiTheme="majorBidi" w:hAnsiTheme="majorBidi" w:cstheme="majorBidi"/>
          <w:sz w:val="24"/>
          <w:szCs w:val="24"/>
        </w:rPr>
        <w:t>0</w:t>
      </w:r>
      <w:r w:rsidR="00421B5F">
        <w:rPr>
          <w:rFonts w:asciiTheme="majorBidi" w:hAnsiTheme="majorBidi" w:cstheme="majorBidi"/>
          <w:sz w:val="24"/>
          <w:szCs w:val="24"/>
        </w:rPr>
        <w:t xml:space="preserve">2 </w:t>
      </w:r>
      <w:r w:rsidR="00631F08" w:rsidRPr="00BF4626">
        <w:rPr>
          <w:rFonts w:asciiTheme="majorBidi" w:hAnsiTheme="majorBidi" w:cstheme="majorBidi"/>
          <w:sz w:val="24"/>
          <w:szCs w:val="24"/>
        </w:rPr>
        <w:t>percentage points.</w:t>
      </w:r>
    </w:p>
    <w:p w:rsidR="0039772D" w:rsidRDefault="0039772D" w:rsidP="0039772D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39772D" w:rsidRDefault="0039772D" w:rsidP="0039772D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39772D" w:rsidRDefault="004C6CDC" w:rsidP="0039772D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4C6CDC">
        <w:rPr>
          <w:noProof/>
        </w:rPr>
        <w:drawing>
          <wp:inline distT="0" distB="0" distL="0" distR="0" wp14:anchorId="5F4A6C01" wp14:editId="451E4472">
            <wp:extent cx="5486400" cy="2675255"/>
            <wp:effectExtent l="0" t="0" r="0" b="0"/>
            <wp:docPr id="8" name="תמונה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675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772D" w:rsidRDefault="0039772D" w:rsidP="0039772D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4C6CDC" w:rsidRDefault="004C6CDC" w:rsidP="0039772D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4C6CDC">
        <w:rPr>
          <w:noProof/>
        </w:rPr>
        <w:lastRenderedPageBreak/>
        <w:drawing>
          <wp:inline distT="0" distB="0" distL="0" distR="0" wp14:anchorId="2B091917" wp14:editId="17144446">
            <wp:extent cx="5486400" cy="3584575"/>
            <wp:effectExtent l="0" t="0" r="0" b="0"/>
            <wp:docPr id="9" name="תמונה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84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6CDC" w:rsidRDefault="004C6CDC" w:rsidP="0039772D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9A6B8D" w:rsidRDefault="004C6CDC" w:rsidP="0039772D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4C6CDC">
        <w:rPr>
          <w:noProof/>
        </w:rPr>
        <w:drawing>
          <wp:inline distT="0" distB="0" distL="0" distR="0" wp14:anchorId="1765A696" wp14:editId="31B4785F">
            <wp:extent cx="5486400" cy="3343910"/>
            <wp:effectExtent l="0" t="0" r="0" b="8890"/>
            <wp:docPr id="10" name="תמונה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43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7E10" w:rsidRDefault="002D7E10" w:rsidP="0039772D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4C6CDC" w:rsidRDefault="004C6CDC" w:rsidP="0039772D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4C6CDC">
        <w:rPr>
          <w:noProof/>
        </w:rPr>
        <w:lastRenderedPageBreak/>
        <w:drawing>
          <wp:inline distT="0" distB="0" distL="0" distR="0" wp14:anchorId="4126C9DA" wp14:editId="081A8851">
            <wp:extent cx="5486400" cy="3343910"/>
            <wp:effectExtent l="0" t="0" r="0" b="8890"/>
            <wp:docPr id="11" name="תמונה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43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6CDC" w:rsidRDefault="004C6CDC" w:rsidP="0039772D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2D7E10" w:rsidRDefault="002D7E10" w:rsidP="008D3530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For links to Data </w:t>
      </w:r>
      <w:r w:rsidR="008D3530">
        <w:rPr>
          <w:rFonts w:asciiTheme="majorBidi" w:hAnsiTheme="majorBidi" w:cstheme="majorBidi"/>
          <w:sz w:val="24"/>
          <w:szCs w:val="24"/>
        </w:rPr>
        <w:t xml:space="preserve">and Statistics </w:t>
      </w:r>
      <w:r>
        <w:rPr>
          <w:rFonts w:asciiTheme="majorBidi" w:hAnsiTheme="majorBidi" w:cstheme="majorBidi"/>
          <w:sz w:val="24"/>
          <w:szCs w:val="24"/>
        </w:rPr>
        <w:t>on the Bank of Israel website:</w:t>
      </w:r>
    </w:p>
    <w:p w:rsidR="008D3530" w:rsidRDefault="00362852" w:rsidP="008D3530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hyperlink r:id="rId19" w:history="1">
        <w:r w:rsidR="008D3530" w:rsidRPr="00F84B91">
          <w:rPr>
            <w:rStyle w:val="Hyperlink"/>
            <w:rFonts w:asciiTheme="majorBidi" w:hAnsiTheme="majorBidi" w:cstheme="majorBidi"/>
            <w:sz w:val="24"/>
            <w:szCs w:val="24"/>
          </w:rPr>
          <w:t>http://www.boi.org.il/en/dataandstatistics/pages/default.aspx</w:t>
        </w:r>
      </w:hyperlink>
    </w:p>
    <w:p w:rsidR="008D3530" w:rsidRDefault="008D3530" w:rsidP="008D3530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8D3530" w:rsidRDefault="00362852" w:rsidP="008D3530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hyperlink r:id="rId20" w:history="1">
        <w:r w:rsidR="008D3530" w:rsidRPr="00F84B91">
          <w:rPr>
            <w:rStyle w:val="Hyperlink"/>
            <w:rFonts w:asciiTheme="majorBidi" w:hAnsiTheme="majorBidi" w:cstheme="majorBidi"/>
            <w:sz w:val="24"/>
            <w:szCs w:val="24"/>
          </w:rPr>
          <w:t>http://www.boi.org.il/en/bankingsupervision/data/pages/tables.aspx?chapterid=13</w:t>
        </w:r>
      </w:hyperlink>
    </w:p>
    <w:p w:rsidR="008D3530" w:rsidRDefault="008D3530" w:rsidP="008D3530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8D3530" w:rsidRDefault="008D3530" w:rsidP="008D3530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8D3530" w:rsidRDefault="008D3530" w:rsidP="008D3530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2D7E10" w:rsidRDefault="002D7E10" w:rsidP="0039772D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2D7E10" w:rsidRPr="0039772D" w:rsidRDefault="002D7E10" w:rsidP="00273622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sectPr w:rsidR="002D7E10" w:rsidRPr="0039772D" w:rsidSect="004537B8">
      <w:footerReference w:type="default" r:id="rId21"/>
      <w:pgSz w:w="12240" w:h="15840"/>
      <w:pgMar w:top="1440" w:right="1800" w:bottom="1440" w:left="180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669" w:rsidRDefault="003F1669" w:rsidP="003F1669">
      <w:pPr>
        <w:spacing w:after="0" w:line="240" w:lineRule="auto"/>
      </w:pPr>
      <w:r>
        <w:separator/>
      </w:r>
    </w:p>
  </w:endnote>
  <w:endnote w:type="continuationSeparator" w:id="0">
    <w:p w:rsidR="003F1669" w:rsidRDefault="003F1669" w:rsidP="003F1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5029522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4537B8" w:rsidRPr="004537B8" w:rsidRDefault="004537B8" w:rsidP="004537B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537B8" w:rsidRDefault="004537B8" w:rsidP="004537B8">
            <w:pPr>
              <w:pStyle w:val="a8"/>
              <w:rPr>
                <w:rtl/>
                <w:cs/>
              </w:rPr>
            </w:pPr>
            <w:r w:rsidRPr="004537B8">
              <w:rPr>
                <w:rFonts w:asciiTheme="majorBidi" w:hAnsiTheme="majorBidi" w:cstheme="majorBidi"/>
                <w:sz w:val="24"/>
                <w:szCs w:val="24"/>
              </w:rPr>
              <w:t>Debt Developments in the Economy, May-June 2014</w:t>
            </w:r>
            <w:r>
              <w:t xml:space="preserve"> </w:t>
            </w:r>
            <w:r>
              <w:tab/>
              <w:t>Page</w:t>
            </w:r>
            <w:r>
              <w:rPr>
                <w:rtl/>
                <w:cs/>
                <w:lang w:val="he-IL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  <w:rtl/>
                <w: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62852">
              <w:rPr>
                <w:b/>
                <w:bCs/>
                <w:noProof/>
                <w:sz w:val="24"/>
                <w:szCs w:val="24"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tl/>
                <w:cs/>
                <w:lang w:val="he-IL"/>
              </w:rPr>
              <w:t xml:space="preserve"> </w:t>
            </w:r>
            <w:r>
              <w:t>of</w:t>
            </w:r>
            <w:r>
              <w:rPr>
                <w:rtl/>
                <w:cs/>
                <w:lang w:val="he-IL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  <w:rtl/>
                <w: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62852">
              <w:rPr>
                <w:b/>
                <w:bCs/>
                <w:noProof/>
                <w:sz w:val="24"/>
                <w:szCs w:val="24"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F1669" w:rsidRDefault="003F166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669" w:rsidRDefault="003F1669" w:rsidP="003F1669">
      <w:pPr>
        <w:spacing w:after="0" w:line="240" w:lineRule="auto"/>
      </w:pPr>
      <w:r>
        <w:separator/>
      </w:r>
    </w:p>
  </w:footnote>
  <w:footnote w:type="continuationSeparator" w:id="0">
    <w:p w:rsidR="003F1669" w:rsidRDefault="003F1669" w:rsidP="003F16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63CBC"/>
    <w:multiLevelType w:val="hybridMultilevel"/>
    <w:tmpl w:val="80CA2D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58718C0"/>
    <w:multiLevelType w:val="hybridMultilevel"/>
    <w:tmpl w:val="60D2EA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28614BC"/>
    <w:multiLevelType w:val="hybridMultilevel"/>
    <w:tmpl w:val="56DCA4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F88"/>
    <w:rsid w:val="00016D01"/>
    <w:rsid w:val="000C6F20"/>
    <w:rsid w:val="000F5BCB"/>
    <w:rsid w:val="000F77CA"/>
    <w:rsid w:val="00101D53"/>
    <w:rsid w:val="00116F55"/>
    <w:rsid w:val="001870BA"/>
    <w:rsid w:val="001D7C2C"/>
    <w:rsid w:val="002078C6"/>
    <w:rsid w:val="00210167"/>
    <w:rsid w:val="00211B16"/>
    <w:rsid w:val="0025603D"/>
    <w:rsid w:val="00263F12"/>
    <w:rsid w:val="00273622"/>
    <w:rsid w:val="00296730"/>
    <w:rsid w:val="002B3782"/>
    <w:rsid w:val="002C7C12"/>
    <w:rsid w:val="002D7E10"/>
    <w:rsid w:val="0036087E"/>
    <w:rsid w:val="00362852"/>
    <w:rsid w:val="00385629"/>
    <w:rsid w:val="0039772D"/>
    <w:rsid w:val="003F1669"/>
    <w:rsid w:val="00421B5F"/>
    <w:rsid w:val="004537B8"/>
    <w:rsid w:val="00487094"/>
    <w:rsid w:val="004B2C2C"/>
    <w:rsid w:val="004C5E28"/>
    <w:rsid w:val="004C6CDC"/>
    <w:rsid w:val="004D350E"/>
    <w:rsid w:val="0053381D"/>
    <w:rsid w:val="005C195E"/>
    <w:rsid w:val="005D4402"/>
    <w:rsid w:val="005F1431"/>
    <w:rsid w:val="006037BD"/>
    <w:rsid w:val="006168E9"/>
    <w:rsid w:val="00631F08"/>
    <w:rsid w:val="006451C4"/>
    <w:rsid w:val="00645AA6"/>
    <w:rsid w:val="006A0BE7"/>
    <w:rsid w:val="006B3B24"/>
    <w:rsid w:val="006C1F27"/>
    <w:rsid w:val="0070799A"/>
    <w:rsid w:val="00713CDD"/>
    <w:rsid w:val="00734CEC"/>
    <w:rsid w:val="00737B18"/>
    <w:rsid w:val="00737C12"/>
    <w:rsid w:val="0076044B"/>
    <w:rsid w:val="00771CB1"/>
    <w:rsid w:val="00792D73"/>
    <w:rsid w:val="007B5499"/>
    <w:rsid w:val="007C7A9A"/>
    <w:rsid w:val="00802665"/>
    <w:rsid w:val="008033BB"/>
    <w:rsid w:val="00820BC6"/>
    <w:rsid w:val="00825CDE"/>
    <w:rsid w:val="00894F88"/>
    <w:rsid w:val="008B4F68"/>
    <w:rsid w:val="008D3530"/>
    <w:rsid w:val="008E02F6"/>
    <w:rsid w:val="00935D05"/>
    <w:rsid w:val="00942FDD"/>
    <w:rsid w:val="00943E21"/>
    <w:rsid w:val="00962B9E"/>
    <w:rsid w:val="009A6B8D"/>
    <w:rsid w:val="009B18E7"/>
    <w:rsid w:val="009C5812"/>
    <w:rsid w:val="00A11B09"/>
    <w:rsid w:val="00A155F6"/>
    <w:rsid w:val="00A273E9"/>
    <w:rsid w:val="00A46AE3"/>
    <w:rsid w:val="00A64B2A"/>
    <w:rsid w:val="00A72D4E"/>
    <w:rsid w:val="00A75A29"/>
    <w:rsid w:val="00AD33E8"/>
    <w:rsid w:val="00AE7F78"/>
    <w:rsid w:val="00AF5887"/>
    <w:rsid w:val="00B74F83"/>
    <w:rsid w:val="00B85546"/>
    <w:rsid w:val="00BA2534"/>
    <w:rsid w:val="00BF4626"/>
    <w:rsid w:val="00C0571F"/>
    <w:rsid w:val="00C16651"/>
    <w:rsid w:val="00C35305"/>
    <w:rsid w:val="00C87FEE"/>
    <w:rsid w:val="00C91FFE"/>
    <w:rsid w:val="00CB1D0D"/>
    <w:rsid w:val="00CF40F2"/>
    <w:rsid w:val="00D052FC"/>
    <w:rsid w:val="00D208FB"/>
    <w:rsid w:val="00D70FAF"/>
    <w:rsid w:val="00D85C19"/>
    <w:rsid w:val="00D96500"/>
    <w:rsid w:val="00DB4D94"/>
    <w:rsid w:val="00DD6BC1"/>
    <w:rsid w:val="00DD6CC9"/>
    <w:rsid w:val="00DE6EF6"/>
    <w:rsid w:val="00E22138"/>
    <w:rsid w:val="00E94CC0"/>
    <w:rsid w:val="00EC4E01"/>
    <w:rsid w:val="00F152CA"/>
    <w:rsid w:val="00F16AE6"/>
    <w:rsid w:val="00F226B8"/>
    <w:rsid w:val="00F70480"/>
    <w:rsid w:val="00FB2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1D5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20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D208FB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8D3530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3F166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עליונה תו"/>
    <w:basedOn w:val="a0"/>
    <w:link w:val="a6"/>
    <w:uiPriority w:val="99"/>
    <w:rsid w:val="003F1669"/>
  </w:style>
  <w:style w:type="paragraph" w:styleId="a8">
    <w:name w:val="footer"/>
    <w:basedOn w:val="a"/>
    <w:link w:val="a9"/>
    <w:uiPriority w:val="99"/>
    <w:unhideWhenUsed/>
    <w:rsid w:val="003F166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9">
    <w:name w:val="כותרת תחתונה תו"/>
    <w:basedOn w:val="a0"/>
    <w:link w:val="a8"/>
    <w:uiPriority w:val="99"/>
    <w:rsid w:val="003F16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1D5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20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D208FB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8D3530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3F166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עליונה תו"/>
    <w:basedOn w:val="a0"/>
    <w:link w:val="a6"/>
    <w:uiPriority w:val="99"/>
    <w:rsid w:val="003F1669"/>
  </w:style>
  <w:style w:type="paragraph" w:styleId="a8">
    <w:name w:val="footer"/>
    <w:basedOn w:val="a"/>
    <w:link w:val="a9"/>
    <w:uiPriority w:val="99"/>
    <w:unhideWhenUsed/>
    <w:rsid w:val="003F166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9">
    <w:name w:val="כותרת תחתונה תו"/>
    <w:basedOn w:val="a0"/>
    <w:link w:val="a8"/>
    <w:uiPriority w:val="99"/>
    <w:rsid w:val="003F16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6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customXml" Target="../customXml/item3.xm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hyperlink" Target="https://e.boi.org.il/en/bankingsupervision/data/pages/tables.aspx?chapterid=13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customXml" Target="../customXml/item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hyperlink" Target="https://e.boi.org.il/en/dataandstatistics/pages/default.aspx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E9343D4987C6478DC1BE6EDC107D2A" ma:contentTypeVersion="2" ma:contentTypeDescription="Create a new document." ma:contentTypeScope="" ma:versionID="dc66967819e61477bbb22baefbd4665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a2d015b092b9b034dac7bb82bea7ad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eWaveListOrderValu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  <xsd:element name="eWaveListOrderValue" ma:index="10" nillable="true" ma:displayName="סידור" ma:decimals="2" ma:internalName="eWaveListOrderValue" ma:readOnly="false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eWaveListOrderValu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050DE12-7594-4CDF-AE8C-165DCB57FA83}"/>
</file>

<file path=customXml/itemProps2.xml><?xml version="1.0" encoding="utf-8"?>
<ds:datastoreItem xmlns:ds="http://schemas.openxmlformats.org/officeDocument/2006/customXml" ds:itemID="{A0BBA4AB-6035-4903-B620-3AA2CD4E68DA}"/>
</file>

<file path=customXml/itemProps3.xml><?xml version="1.0" encoding="utf-8"?>
<ds:datastoreItem xmlns:ds="http://schemas.openxmlformats.org/officeDocument/2006/customXml" ds:itemID="{45B62CCD-CEBA-4509-B615-948AC815E44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471</Words>
  <Characters>2355</Characters>
  <Application>Microsoft Office Word</Application>
  <DocSecurity>0</DocSecurity>
  <Lines>19</Lines>
  <Paragraphs>5</Paragraphs>
  <ScaleCrop>false</ScaleCrop>
  <LinksUpToDate>false</LinksUpToDate>
  <CharactersWithSpaces>2821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2014-07-27T08:48:00Z</dcterms:created>
  <dcterms:modified xsi:type="dcterms:W3CDTF">2014-07-27T08:48:00Z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0x010100BEE9343D4987C6478DC1BE6EDC107D2A</vt:lpwstr>
  </property>
</Properties>
</file>