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57DAA" w14:textId="77777777"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14:anchorId="65088528" wp14:editId="12E9422D">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3A22D626" w14:textId="77777777"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14:paraId="657E3F27" w14:textId="77777777"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14:paraId="3749A2B8" w14:textId="77777777"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14:paraId="1EF447BC" w14:textId="77777777" w:rsidR="007926C7" w:rsidRPr="003B4DD7" w:rsidRDefault="00C33878" w:rsidP="00C33878">
      <w:pPr>
        <w:bidi w:val="0"/>
        <w:jc w:val="both"/>
        <w:rPr>
          <w:rFonts w:asciiTheme="majorBidi" w:hAnsiTheme="majorBidi" w:cstheme="majorBidi"/>
        </w:rPr>
      </w:pPr>
      <w:r>
        <w:rPr>
          <w:rFonts w:asciiTheme="majorBidi" w:hAnsiTheme="majorBidi" w:cstheme="majorBidi"/>
        </w:rPr>
        <w:t>February 14, 2024</w:t>
      </w:r>
    </w:p>
    <w:p w14:paraId="1C70B770" w14:textId="77777777" w:rsidR="007926C7" w:rsidRPr="003B4DD7" w:rsidRDefault="007926C7" w:rsidP="00A3549C">
      <w:pPr>
        <w:bidi w:val="0"/>
        <w:jc w:val="both"/>
        <w:rPr>
          <w:rFonts w:asciiTheme="majorBidi" w:hAnsiTheme="majorBidi" w:cstheme="majorBidi"/>
        </w:rPr>
      </w:pPr>
    </w:p>
    <w:p w14:paraId="2B3A09BF" w14:textId="77777777" w:rsidR="00892A46" w:rsidRPr="003B4DD7" w:rsidRDefault="00892A46" w:rsidP="00A3549C">
      <w:pPr>
        <w:bidi w:val="0"/>
        <w:jc w:val="both"/>
        <w:rPr>
          <w:rFonts w:asciiTheme="majorBidi" w:hAnsiTheme="majorBidi" w:cstheme="majorBidi"/>
        </w:rPr>
      </w:pPr>
      <w:r w:rsidRPr="003B4DD7">
        <w:rPr>
          <w:rFonts w:asciiTheme="majorBidi" w:hAnsiTheme="majorBidi" w:cstheme="majorBidi"/>
        </w:rPr>
        <w:t>Press Release:</w:t>
      </w:r>
    </w:p>
    <w:p w14:paraId="6C94B7DB" w14:textId="77777777" w:rsidR="00892A46" w:rsidRPr="003B4DD7" w:rsidRDefault="00892A46" w:rsidP="00A3549C">
      <w:pPr>
        <w:tabs>
          <w:tab w:val="center" w:pos="4156"/>
          <w:tab w:val="right" w:pos="8312"/>
        </w:tabs>
        <w:bidi w:val="0"/>
        <w:jc w:val="both"/>
        <w:rPr>
          <w:rFonts w:asciiTheme="majorBidi" w:hAnsiTheme="majorBidi" w:cstheme="majorBidi"/>
        </w:rPr>
      </w:pPr>
    </w:p>
    <w:p w14:paraId="205E33BD" w14:textId="77777777" w:rsidR="000D4E65" w:rsidRDefault="00C33878" w:rsidP="00B86CE7">
      <w:pPr>
        <w:bidi w:val="0"/>
        <w:jc w:val="center"/>
        <w:rPr>
          <w:b/>
          <w:bCs/>
          <w:sz w:val="32"/>
          <w:szCs w:val="32"/>
          <w:rtl/>
        </w:rPr>
      </w:pPr>
      <w:r>
        <w:rPr>
          <w:b/>
          <w:bCs/>
          <w:sz w:val="32"/>
          <w:szCs w:val="32"/>
        </w:rPr>
        <w:t>The Bank of Israel publishes a public consultation document</w:t>
      </w:r>
      <w:r w:rsidR="00F17156">
        <w:rPr>
          <w:b/>
          <w:bCs/>
          <w:sz w:val="32"/>
          <w:szCs w:val="32"/>
        </w:rPr>
        <w:t xml:space="preserve"> </w:t>
      </w:r>
      <w:r w:rsidR="00B86CE7">
        <w:rPr>
          <w:b/>
          <w:bCs/>
          <w:sz w:val="32"/>
          <w:szCs w:val="32"/>
        </w:rPr>
        <w:t xml:space="preserve">for promotion of </w:t>
      </w:r>
      <w:r w:rsidR="00F17156">
        <w:rPr>
          <w:b/>
          <w:bCs/>
          <w:sz w:val="32"/>
          <w:szCs w:val="32"/>
        </w:rPr>
        <w:t xml:space="preserve">a gradual framework for granting banking corporation </w:t>
      </w:r>
      <w:r w:rsidR="00B86CE7">
        <w:rPr>
          <w:b/>
          <w:bCs/>
          <w:sz w:val="32"/>
          <w:szCs w:val="32"/>
        </w:rPr>
        <w:t>license</w:t>
      </w:r>
      <w:r w:rsidR="00F17156">
        <w:rPr>
          <w:b/>
          <w:bCs/>
          <w:sz w:val="32"/>
          <w:szCs w:val="32"/>
        </w:rPr>
        <w:t>s to nonbank entities</w:t>
      </w:r>
    </w:p>
    <w:p w14:paraId="58F391C8" w14:textId="77777777" w:rsidR="00C06B06" w:rsidRDefault="00C06B06" w:rsidP="00C06B06">
      <w:pPr>
        <w:bidi w:val="0"/>
        <w:jc w:val="center"/>
        <w:rPr>
          <w:b/>
          <w:bCs/>
          <w:sz w:val="32"/>
          <w:szCs w:val="32"/>
        </w:rPr>
      </w:pPr>
    </w:p>
    <w:p w14:paraId="132C815F" w14:textId="23456396" w:rsidR="00F17156" w:rsidRDefault="00F17156" w:rsidP="00BA3284">
      <w:pPr>
        <w:bidi w:val="0"/>
        <w:jc w:val="both"/>
        <w:rPr>
          <w:b/>
          <w:bCs/>
        </w:rPr>
      </w:pPr>
      <w:r>
        <w:rPr>
          <w:b/>
          <w:bCs/>
        </w:rPr>
        <w:t xml:space="preserve">The Bank of Israel </w:t>
      </w:r>
      <w:r w:rsidR="00BA3284">
        <w:rPr>
          <w:b/>
          <w:bCs/>
        </w:rPr>
        <w:t xml:space="preserve">is continuing </w:t>
      </w:r>
      <w:r>
        <w:rPr>
          <w:b/>
          <w:bCs/>
        </w:rPr>
        <w:t xml:space="preserve">its efforts to </w:t>
      </w:r>
      <w:r w:rsidR="003B1827">
        <w:rPr>
          <w:b/>
          <w:bCs/>
        </w:rPr>
        <w:t xml:space="preserve">enhance </w:t>
      </w:r>
      <w:r>
        <w:rPr>
          <w:b/>
          <w:bCs/>
        </w:rPr>
        <w:t xml:space="preserve">competition </w:t>
      </w:r>
      <w:r w:rsidR="003B1827">
        <w:rPr>
          <w:b/>
          <w:bCs/>
        </w:rPr>
        <w:t xml:space="preserve">within </w:t>
      </w:r>
      <w:r>
        <w:rPr>
          <w:b/>
          <w:bCs/>
        </w:rPr>
        <w:t>the banking system in order to benefit customers, and is working to formulate a gradual framework of licensing and proportional regulation for granting banking corporation licenses to nonbank entities, including the credit card companies.</w:t>
      </w:r>
    </w:p>
    <w:p w14:paraId="2D6BD994" w14:textId="77777777" w:rsidR="00F17156" w:rsidRDefault="00F17156" w:rsidP="00F17156">
      <w:pPr>
        <w:bidi w:val="0"/>
        <w:rPr>
          <w:b/>
          <w:bCs/>
        </w:rPr>
      </w:pPr>
      <w:bookmarkStart w:id="0" w:name="_GoBack"/>
    </w:p>
    <w:p w14:paraId="1D86C1DC" w14:textId="152B8E2D" w:rsidR="00A962CF" w:rsidRPr="003E028B" w:rsidRDefault="00F17156">
      <w:pPr>
        <w:bidi w:val="0"/>
        <w:jc w:val="both"/>
      </w:pPr>
      <w:r w:rsidRPr="003E028B">
        <w:t xml:space="preserve">In recent years, the Bank of Israel has </w:t>
      </w:r>
      <w:r w:rsidR="003B1827">
        <w:rPr>
          <w:rStyle w:val="ui-provider"/>
        </w:rPr>
        <w:t xml:space="preserve">taken action </w:t>
      </w:r>
      <w:r w:rsidRPr="003E028B">
        <w:t xml:space="preserve">to enhance competition in the banking system and to encourage the entry of new participants, by removing regulatory barriers. These </w:t>
      </w:r>
      <w:r w:rsidR="001479DC" w:rsidRPr="003E028B">
        <w:t>include</w:t>
      </w:r>
      <w:r w:rsidR="00D22947" w:rsidRPr="003E028B">
        <w:t xml:space="preserve"> </w:t>
      </w:r>
      <w:r w:rsidR="003B1827">
        <w:rPr>
          <w:rStyle w:val="ui-provider"/>
        </w:rPr>
        <w:t>establishing</w:t>
      </w:r>
      <w:r w:rsidR="003B1827">
        <w:t xml:space="preserve"> </w:t>
      </w:r>
      <w:r w:rsidR="00D22947" w:rsidRPr="003E028B">
        <w:t xml:space="preserve">a technological services </w:t>
      </w:r>
      <w:r w:rsidR="003B1827">
        <w:rPr>
          <w:rStyle w:val="ui-provider"/>
        </w:rPr>
        <w:t>bureau</w:t>
      </w:r>
      <w:r w:rsidR="00D22947" w:rsidRPr="003E028B">
        <w:t xml:space="preserve">, establishing a </w:t>
      </w:r>
      <w:r w:rsidR="003B1827" w:rsidRPr="003E028B">
        <w:t>retail</w:t>
      </w:r>
      <w:r w:rsidR="00FC1CA8">
        <w:t xml:space="preserve"> </w:t>
      </w:r>
      <w:r w:rsidR="00D22947" w:rsidRPr="00DA005E">
        <w:t xml:space="preserve">credit data </w:t>
      </w:r>
      <w:r w:rsidR="00145D3C" w:rsidRPr="00145D3C">
        <w:t>register</w:t>
      </w:r>
      <w:r w:rsidR="00D22947" w:rsidRPr="003E028B">
        <w:t xml:space="preserve">, easing the banking regulation that applies </w:t>
      </w:r>
      <w:r w:rsidR="00B86CE7">
        <w:t xml:space="preserve">to </w:t>
      </w:r>
      <w:r w:rsidR="00D22947" w:rsidRPr="003E028B">
        <w:t>new banks, simplifying the establishment process</w:t>
      </w:r>
      <w:r w:rsidR="00B86CE7">
        <w:t>,</w:t>
      </w:r>
      <w:r w:rsidR="00D22947" w:rsidRPr="003E028B">
        <w:t xml:space="preserve"> and accompanying the applicants.</w:t>
      </w:r>
      <w:r w:rsidR="001812EE" w:rsidRPr="003E028B">
        <w:t xml:space="preserve"> The removal of barriers led, for the first time in over 40 years, to setting up 2 new banks.</w:t>
      </w:r>
    </w:p>
    <w:p w14:paraId="55C7C626" w14:textId="77777777" w:rsidR="001812EE" w:rsidRPr="003E028B" w:rsidRDefault="001812EE" w:rsidP="003E028B">
      <w:pPr>
        <w:bidi w:val="0"/>
        <w:jc w:val="both"/>
      </w:pPr>
    </w:p>
    <w:p w14:paraId="6C09869B" w14:textId="4340163A" w:rsidR="001812EE" w:rsidRPr="003E028B" w:rsidRDefault="001812EE" w:rsidP="00D3049B">
      <w:pPr>
        <w:bidi w:val="0"/>
        <w:jc w:val="both"/>
      </w:pPr>
      <w:r w:rsidRPr="003E028B">
        <w:t xml:space="preserve">As a complementary step to activities carried out to date, and to encourage </w:t>
      </w:r>
      <w:r w:rsidR="00546127" w:rsidRPr="003E028B">
        <w:t xml:space="preserve">the entry of additional participants into the banking system, </w:t>
      </w:r>
      <w:r w:rsidR="00D3049B" w:rsidRPr="00D3049B">
        <w:t>the Bank of Israel has formed a committee headed</w:t>
      </w:r>
      <w:r w:rsidR="00037619">
        <w:t xml:space="preserve"> </w:t>
      </w:r>
      <w:r w:rsidR="00546127" w:rsidRPr="003E028B">
        <w:t>by the Supervisor of Banks</w:t>
      </w:r>
      <w:r w:rsidR="00033D87">
        <w:t xml:space="preserve">. </w:t>
      </w:r>
      <w:r w:rsidR="00D3049B" w:rsidRPr="00D3049B">
        <w:t>The committee's objective is to identify further barriers to entry and to devise a framework that will enable existing non-banking entities, including credit card companies, to obtain a banking corporat</w:t>
      </w:r>
      <w:r w:rsidR="00D3049B">
        <w:t>ion</w:t>
      </w:r>
      <w:r w:rsidR="00D3049B" w:rsidRPr="00D3049B">
        <w:t xml:space="preserve"> license, thereby authorizing them to raise deposits from the public and to provide credit from those deposits.</w:t>
      </w:r>
    </w:p>
    <w:p w14:paraId="447DCA3D" w14:textId="77777777" w:rsidR="008B084C" w:rsidRPr="003E028B" w:rsidRDefault="008B084C" w:rsidP="003E028B">
      <w:pPr>
        <w:bidi w:val="0"/>
        <w:jc w:val="both"/>
      </w:pPr>
    </w:p>
    <w:p w14:paraId="28C46F96" w14:textId="5B1381C5" w:rsidR="008B084C" w:rsidRPr="003E028B" w:rsidRDefault="008B084C" w:rsidP="00D3049B">
      <w:pPr>
        <w:bidi w:val="0"/>
        <w:jc w:val="both"/>
      </w:pPr>
      <w:r w:rsidRPr="003E028B">
        <w:t xml:space="preserve">The Bank of Israel intends to formulate a policy for granting </w:t>
      </w:r>
      <w:r w:rsidR="001479DC" w:rsidRPr="003E028B">
        <w:t>licenses</w:t>
      </w:r>
      <w:r w:rsidRPr="003E028B">
        <w:t xml:space="preserve"> to banking corporations,</w:t>
      </w:r>
      <w:r w:rsidR="00D3049B" w:rsidRPr="00D3049B">
        <w:t xml:space="preserve"> </w:t>
      </w:r>
      <w:r w:rsidR="00D3049B">
        <w:t>that</w:t>
      </w:r>
      <w:r w:rsidR="00D3049B" w:rsidRPr="00D3049B">
        <w:t xml:space="preserve"> will tailor the license and banking supervision to the nature of the requested operations and the risk level of the applicant entity's activities.</w:t>
      </w:r>
      <w:r w:rsidRPr="003E028B">
        <w:t xml:space="preserve"> </w:t>
      </w:r>
    </w:p>
    <w:p w14:paraId="12F996C6" w14:textId="77777777" w:rsidR="00B86CE7" w:rsidRDefault="00B86CE7" w:rsidP="003E028B">
      <w:pPr>
        <w:bidi w:val="0"/>
        <w:jc w:val="both"/>
      </w:pPr>
    </w:p>
    <w:p w14:paraId="0C19F623" w14:textId="78C2BD4B" w:rsidR="00E06741" w:rsidRPr="003E028B" w:rsidRDefault="00D3049B" w:rsidP="00037619">
      <w:pPr>
        <w:bidi w:val="0"/>
        <w:jc w:val="both"/>
      </w:pPr>
      <w:r w:rsidRPr="00D3049B">
        <w:t>For this purpose</w:t>
      </w:r>
      <w:r w:rsidR="00E06741" w:rsidRPr="003E028B">
        <w:t>, the Bank of Israel</w:t>
      </w:r>
      <w:r>
        <w:t xml:space="preserve"> has </w:t>
      </w:r>
      <w:r w:rsidR="00E06741" w:rsidRPr="003E028B">
        <w:t>published a Public Consultation Document, as part of which it requests to consult with the public and to hear its stance regarding the proposed framework. The Public Consultation Document is attached to this notice.</w:t>
      </w:r>
    </w:p>
    <w:p w14:paraId="5B0445C6" w14:textId="77777777" w:rsidR="00E06741" w:rsidRPr="003E028B" w:rsidRDefault="00E06741" w:rsidP="003E028B">
      <w:pPr>
        <w:bidi w:val="0"/>
        <w:jc w:val="both"/>
      </w:pPr>
    </w:p>
    <w:p w14:paraId="4DF5AB73" w14:textId="43009FEB" w:rsidR="00E06741" w:rsidRPr="003E028B" w:rsidRDefault="00E06741">
      <w:pPr>
        <w:bidi w:val="0"/>
        <w:jc w:val="both"/>
      </w:pPr>
      <w:r w:rsidRPr="003E028B">
        <w:rPr>
          <w:b/>
          <w:bCs/>
        </w:rPr>
        <w:t>Governor of the Bank of Israel Prof. Amir Yaron</w:t>
      </w:r>
      <w:r w:rsidRPr="003E028B">
        <w:t xml:space="preserve"> said, “</w:t>
      </w:r>
      <w:r w:rsidR="00D3049B">
        <w:rPr>
          <w:rStyle w:val="ui-provider"/>
        </w:rPr>
        <w:t xml:space="preserve">Raising deposits from the public and extending credit from them necessitates </w:t>
      </w:r>
      <w:r w:rsidR="00B45E81">
        <w:rPr>
          <w:rStyle w:val="ui-provider"/>
        </w:rPr>
        <w:t xml:space="preserve">the </w:t>
      </w:r>
      <w:r w:rsidR="00D3049B">
        <w:rPr>
          <w:rStyle w:val="ui-provider"/>
        </w:rPr>
        <w:t xml:space="preserve">obtaining </w:t>
      </w:r>
      <w:r w:rsidRPr="003E028B">
        <w:t>of a bank license from the Bank of Israel</w:t>
      </w:r>
      <w:r w:rsidR="00572761" w:rsidRPr="003E028B">
        <w:t xml:space="preserve">, </w:t>
      </w:r>
      <w:r w:rsidR="00504853" w:rsidRPr="00504853">
        <w:t xml:space="preserve">in order </w:t>
      </w:r>
      <w:r w:rsidR="00572761" w:rsidRPr="003E028B">
        <w:t xml:space="preserve">to ensure the optimal </w:t>
      </w:r>
      <w:r w:rsidR="001479DC" w:rsidRPr="003E028B">
        <w:t>protection</w:t>
      </w:r>
      <w:r w:rsidR="00572761" w:rsidRPr="003E028B">
        <w:t xml:space="preserve"> of depositors’ </w:t>
      </w:r>
      <w:r w:rsidR="00504853" w:rsidRPr="00504853">
        <w:t xml:space="preserve">funds in accordance with every international standard. </w:t>
      </w:r>
      <w:r w:rsidR="00CF20FC">
        <w:rPr>
          <w:rStyle w:val="ui-provider"/>
        </w:rPr>
        <w:t xml:space="preserve">In order to </w:t>
      </w:r>
      <w:r w:rsidR="00391879" w:rsidRPr="003E028B">
        <w:t>continue</w:t>
      </w:r>
      <w:r w:rsidR="001479DC">
        <w:t xml:space="preserve"> to enc</w:t>
      </w:r>
      <w:r w:rsidR="00391879" w:rsidRPr="003E028B">
        <w:t>ou</w:t>
      </w:r>
      <w:r w:rsidR="001479DC">
        <w:t xml:space="preserve">rage </w:t>
      </w:r>
      <w:r w:rsidR="00391879" w:rsidRPr="003E028B">
        <w:t xml:space="preserve">the </w:t>
      </w:r>
      <w:r w:rsidR="001479DC" w:rsidRPr="003E028B">
        <w:t>competition</w:t>
      </w:r>
      <w:r w:rsidR="00391879" w:rsidRPr="003E028B">
        <w:t xml:space="preserve"> and innovation in the financial </w:t>
      </w:r>
      <w:r w:rsidR="001479DC" w:rsidRPr="003E028B">
        <w:t>system</w:t>
      </w:r>
      <w:r w:rsidR="00391879" w:rsidRPr="003E028B">
        <w:t xml:space="preserve"> and</w:t>
      </w:r>
      <w:r w:rsidR="001479DC">
        <w:t xml:space="preserve"> particularly</w:t>
      </w:r>
      <w:r w:rsidR="00391879" w:rsidRPr="003E028B">
        <w:t xml:space="preserve"> in the banki</w:t>
      </w:r>
      <w:r w:rsidR="00F107F7" w:rsidRPr="003E028B">
        <w:t>n</w:t>
      </w:r>
      <w:r w:rsidR="00391879" w:rsidRPr="003E028B">
        <w:t xml:space="preserve">g system, we seek to </w:t>
      </w:r>
      <w:r w:rsidR="001479DC" w:rsidRPr="003E028B">
        <w:t>promote</w:t>
      </w:r>
      <w:r w:rsidR="00391879" w:rsidRPr="003E028B">
        <w:t xml:space="preserve"> </w:t>
      </w:r>
      <w:r w:rsidR="001479DC" w:rsidRPr="003E028B">
        <w:t>the</w:t>
      </w:r>
      <w:r w:rsidR="00391879" w:rsidRPr="003E028B">
        <w:t xml:space="preserve"> </w:t>
      </w:r>
      <w:r w:rsidR="001479DC" w:rsidRPr="003E028B">
        <w:t>granting</w:t>
      </w:r>
      <w:r w:rsidR="00391879" w:rsidRPr="003E028B">
        <w:t xml:space="preserve"> of a banking corporation license to nonbank entities, under which those entities will be able to take deposits from the public </w:t>
      </w:r>
      <w:r w:rsidR="00F107F7" w:rsidRPr="003E028B">
        <w:t xml:space="preserve">together </w:t>
      </w:r>
      <w:r w:rsidR="001479DC" w:rsidRPr="003E028B">
        <w:t>with</w:t>
      </w:r>
      <w:r w:rsidR="00F107F7" w:rsidRPr="003E028B">
        <w:t xml:space="preserve"> </w:t>
      </w:r>
      <w:r w:rsidR="001479DC" w:rsidRPr="003E028B">
        <w:t>additional</w:t>
      </w:r>
      <w:r w:rsidR="00F107F7" w:rsidRPr="003E028B">
        <w:t xml:space="preserve"> </w:t>
      </w:r>
      <w:r w:rsidR="001479DC" w:rsidRPr="003E028B">
        <w:t>financial</w:t>
      </w:r>
      <w:r w:rsidR="00F107F7" w:rsidRPr="003E028B">
        <w:t xml:space="preserve"> </w:t>
      </w:r>
      <w:r w:rsidR="001479DC" w:rsidRPr="003E028B">
        <w:t>occupations</w:t>
      </w:r>
      <w:r w:rsidR="00F107F7" w:rsidRPr="003E028B">
        <w:t xml:space="preserve">. To that </w:t>
      </w:r>
      <w:r w:rsidR="001479DC" w:rsidRPr="003E028B">
        <w:t>end</w:t>
      </w:r>
      <w:r w:rsidR="00F107F7" w:rsidRPr="003E028B">
        <w:t xml:space="preserve">, we </w:t>
      </w:r>
      <w:r w:rsidR="001479DC" w:rsidRPr="003E028B">
        <w:t>established</w:t>
      </w:r>
      <w:r w:rsidR="00F107F7" w:rsidRPr="003E028B">
        <w:t xml:space="preserve"> a </w:t>
      </w:r>
      <w:r w:rsidR="001479DC" w:rsidRPr="003E028B">
        <w:t>Committee</w:t>
      </w:r>
      <w:r w:rsidR="00F107F7" w:rsidRPr="003E028B">
        <w:t xml:space="preserve"> headed by the Supervisor of Banks. Its functions will be to identify the barriers to entry and </w:t>
      </w:r>
      <w:r w:rsidR="00F107F7" w:rsidRPr="003E028B">
        <w:lastRenderedPageBreak/>
        <w:t xml:space="preserve">formulate a framework that will allow bank licensing and supervision that is </w:t>
      </w:r>
      <w:r w:rsidR="001479DC" w:rsidRPr="003E028B">
        <w:t>adjusted</w:t>
      </w:r>
      <w:r w:rsidR="00F107F7" w:rsidRPr="003E028B">
        <w:t xml:space="preserve"> to th</w:t>
      </w:r>
      <w:r w:rsidR="00E535DE" w:rsidRPr="003E028B">
        <w:t>e risk level of those entities.”</w:t>
      </w:r>
    </w:p>
    <w:p w14:paraId="64BF318B" w14:textId="77777777" w:rsidR="00E535DE" w:rsidRPr="003E028B" w:rsidRDefault="00E535DE" w:rsidP="003E028B">
      <w:pPr>
        <w:bidi w:val="0"/>
        <w:jc w:val="both"/>
      </w:pPr>
    </w:p>
    <w:p w14:paraId="15DC8860" w14:textId="77777777" w:rsidR="00C92124" w:rsidRPr="003E028B" w:rsidRDefault="00C92124" w:rsidP="00A45891">
      <w:pPr>
        <w:bidi w:val="0"/>
        <w:jc w:val="both"/>
      </w:pPr>
      <w:r w:rsidRPr="003E028B">
        <w:rPr>
          <w:b/>
          <w:bCs/>
        </w:rPr>
        <w:t>Supervisor of Banks Mr. Daniel Hahiashvili</w:t>
      </w:r>
      <w:r w:rsidRPr="003E028B">
        <w:t xml:space="preserve"> said, “Enhancing the competition in the ba</w:t>
      </w:r>
      <w:r w:rsidR="00371B5C">
        <w:t>n</w:t>
      </w:r>
      <w:r w:rsidRPr="003E028B">
        <w:t>king sy</w:t>
      </w:r>
      <w:r w:rsidR="003E028B">
        <w:t>s</w:t>
      </w:r>
      <w:r w:rsidRPr="003E028B">
        <w:t>tem is one of the issues focused on by the Banking Supervision Department’s work.</w:t>
      </w:r>
      <w:r w:rsidR="009C4816" w:rsidRPr="003E028B">
        <w:t xml:space="preserve"> Granting a banking corporation license to nonbank entities has the potential to enhance competition, both on the credit side and the deposits side, and as a direct result, </w:t>
      </w:r>
      <w:r w:rsidR="008225F8" w:rsidRPr="003E028B">
        <w:t xml:space="preserve">to benefit customers </w:t>
      </w:r>
      <w:r w:rsidR="001479DC" w:rsidRPr="003E028B">
        <w:t>by</w:t>
      </w:r>
      <w:r w:rsidR="001479DC">
        <w:t xml:space="preserve"> reducing </w:t>
      </w:r>
      <w:r w:rsidR="00A45891">
        <w:t xml:space="preserve">the </w:t>
      </w:r>
      <w:r w:rsidR="008225F8" w:rsidRPr="003E028B">
        <w:t>c</w:t>
      </w:r>
      <w:r w:rsidR="001479DC">
        <w:t>o</w:t>
      </w:r>
      <w:r w:rsidR="008225F8" w:rsidRPr="003E028B">
        <w:t>sts o</w:t>
      </w:r>
      <w:r w:rsidR="001479DC">
        <w:t xml:space="preserve">f the </w:t>
      </w:r>
      <w:r w:rsidR="001479DC" w:rsidRPr="003E028B">
        <w:t>banking</w:t>
      </w:r>
      <w:r w:rsidR="008225F8" w:rsidRPr="003E028B">
        <w:t xml:space="preserve"> </w:t>
      </w:r>
      <w:r w:rsidR="001479DC" w:rsidRPr="003E028B">
        <w:t>products</w:t>
      </w:r>
      <w:r w:rsidR="008225F8" w:rsidRPr="003E028B">
        <w:t xml:space="preserve"> and improving </w:t>
      </w:r>
      <w:r w:rsidR="001479DC" w:rsidRPr="003E028B">
        <w:t>bank</w:t>
      </w:r>
      <w:r w:rsidR="00A45891">
        <w:t xml:space="preserve"> </w:t>
      </w:r>
      <w:r w:rsidR="008225F8" w:rsidRPr="003E028B">
        <w:t>service, mainl</w:t>
      </w:r>
      <w:r w:rsidR="002A615A" w:rsidRPr="003E028B">
        <w:t>y for househol</w:t>
      </w:r>
      <w:r w:rsidR="008225F8" w:rsidRPr="003E028B">
        <w:t xml:space="preserve">ds and small businesses. The </w:t>
      </w:r>
      <w:r w:rsidR="002A615A" w:rsidRPr="003E028B">
        <w:t xml:space="preserve">current banking </w:t>
      </w:r>
      <w:r w:rsidR="008225F8" w:rsidRPr="003E028B">
        <w:t xml:space="preserve">legislative and regulatory structure </w:t>
      </w:r>
      <w:r w:rsidR="002A615A" w:rsidRPr="003E028B">
        <w:t>limits the ability of nonbank entitie</w:t>
      </w:r>
      <w:r w:rsidR="006D0E40" w:rsidRPr="003E028B">
        <w:t xml:space="preserve">s </w:t>
      </w:r>
      <w:r w:rsidR="002A615A" w:rsidRPr="003E028B">
        <w:t>to ente</w:t>
      </w:r>
      <w:r w:rsidR="006D0E40" w:rsidRPr="003E028B">
        <w:t>r</w:t>
      </w:r>
      <w:r w:rsidR="002A615A" w:rsidRPr="003E028B">
        <w:t xml:space="preserve"> the banking world. The Committee that we are establishing </w:t>
      </w:r>
      <w:r w:rsidR="006D0E40" w:rsidRPr="003E028B">
        <w:t>will examine and recommend policy, legislative amendments, and regulation that will reduce the barriers to entry for receiving a banking corporation licens</w:t>
      </w:r>
      <w:r w:rsidR="003E028B" w:rsidRPr="003E028B">
        <w:t>e</w:t>
      </w:r>
      <w:r w:rsidR="006D0E40" w:rsidRPr="003E028B">
        <w:t xml:space="preserve">, while protecting the funds of depositors and the </w:t>
      </w:r>
      <w:r w:rsidR="001479DC" w:rsidRPr="003E028B">
        <w:t>stability</w:t>
      </w:r>
      <w:r w:rsidR="006D0E40" w:rsidRPr="003E028B">
        <w:t xml:space="preserve"> of the financial system.”</w:t>
      </w:r>
    </w:p>
    <w:p w14:paraId="48688D69" w14:textId="77777777" w:rsidR="006D0E40" w:rsidRPr="003E028B" w:rsidRDefault="006D0E40" w:rsidP="003E028B">
      <w:pPr>
        <w:bidi w:val="0"/>
        <w:jc w:val="both"/>
      </w:pPr>
    </w:p>
    <w:p w14:paraId="6E05DA5F" w14:textId="77777777" w:rsidR="001812EE" w:rsidRDefault="001812EE" w:rsidP="001812EE">
      <w:pPr>
        <w:bidi w:val="0"/>
        <w:rPr>
          <w:b/>
          <w:bCs/>
        </w:rPr>
      </w:pPr>
    </w:p>
    <w:p w14:paraId="7197578F" w14:textId="77777777" w:rsidR="00D22947" w:rsidRDefault="00D22947" w:rsidP="00D22947">
      <w:pPr>
        <w:bidi w:val="0"/>
        <w:rPr>
          <w:b/>
          <w:bCs/>
        </w:rPr>
      </w:pPr>
    </w:p>
    <w:bookmarkEnd w:id="0"/>
    <w:p w14:paraId="5606FC43" w14:textId="77777777" w:rsidR="00D22947" w:rsidRDefault="00D22947" w:rsidP="00D22947">
      <w:pPr>
        <w:bidi w:val="0"/>
        <w:rPr>
          <w:b/>
          <w:bCs/>
        </w:rPr>
      </w:pPr>
    </w:p>
    <w:sectPr w:rsidR="00D22947"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40D1C" w14:textId="77777777" w:rsidR="005F53E3" w:rsidRDefault="005F53E3" w:rsidP="00E64B36">
      <w:r>
        <w:separator/>
      </w:r>
    </w:p>
  </w:endnote>
  <w:endnote w:type="continuationSeparator" w:id="0">
    <w:p w14:paraId="3FBF14FC" w14:textId="77777777" w:rsidR="005F53E3" w:rsidRDefault="005F53E3"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7790" w14:textId="77777777"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CD6BE" w14:textId="26A65D9A"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295AC4">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295AC4">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E222" w14:textId="77777777"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0E97D" w14:textId="77777777" w:rsidR="005F53E3" w:rsidRDefault="005F53E3" w:rsidP="00E64B36">
      <w:r>
        <w:separator/>
      </w:r>
    </w:p>
  </w:footnote>
  <w:footnote w:type="continuationSeparator" w:id="0">
    <w:p w14:paraId="693EE3B7" w14:textId="77777777" w:rsidR="005F53E3" w:rsidRDefault="005F53E3"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D7F8" w14:textId="77777777"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96FB" w14:textId="77777777"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D0A0" w14:textId="77777777"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a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33D87"/>
    <w:rsid w:val="00037619"/>
    <w:rsid w:val="00051247"/>
    <w:rsid w:val="000526A0"/>
    <w:rsid w:val="0005726E"/>
    <w:rsid w:val="00065D9C"/>
    <w:rsid w:val="0007681E"/>
    <w:rsid w:val="000A520E"/>
    <w:rsid w:val="000C710C"/>
    <w:rsid w:val="000D4E65"/>
    <w:rsid w:val="000F48F6"/>
    <w:rsid w:val="000F4BF2"/>
    <w:rsid w:val="001001A2"/>
    <w:rsid w:val="00101B55"/>
    <w:rsid w:val="00130245"/>
    <w:rsid w:val="001428C4"/>
    <w:rsid w:val="00143F3A"/>
    <w:rsid w:val="00145D3C"/>
    <w:rsid w:val="001479DC"/>
    <w:rsid w:val="00151D84"/>
    <w:rsid w:val="00160B25"/>
    <w:rsid w:val="00162F5E"/>
    <w:rsid w:val="00165CB6"/>
    <w:rsid w:val="00175CDA"/>
    <w:rsid w:val="001812EE"/>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5AC4"/>
    <w:rsid w:val="0029640A"/>
    <w:rsid w:val="00297100"/>
    <w:rsid w:val="002A0D2A"/>
    <w:rsid w:val="002A615A"/>
    <w:rsid w:val="002B48CC"/>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1B5C"/>
    <w:rsid w:val="003727EE"/>
    <w:rsid w:val="003772AF"/>
    <w:rsid w:val="00385CB3"/>
    <w:rsid w:val="00387840"/>
    <w:rsid w:val="0039059D"/>
    <w:rsid w:val="00390CA5"/>
    <w:rsid w:val="00391879"/>
    <w:rsid w:val="003A1AC9"/>
    <w:rsid w:val="003A335C"/>
    <w:rsid w:val="003A3813"/>
    <w:rsid w:val="003B1827"/>
    <w:rsid w:val="003B4DD7"/>
    <w:rsid w:val="003B715F"/>
    <w:rsid w:val="003B7DC3"/>
    <w:rsid w:val="003C7815"/>
    <w:rsid w:val="003D6F31"/>
    <w:rsid w:val="003D7860"/>
    <w:rsid w:val="003D7BF1"/>
    <w:rsid w:val="003E028B"/>
    <w:rsid w:val="003E3F4C"/>
    <w:rsid w:val="003E7B14"/>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05F"/>
    <w:rsid w:val="004E25DD"/>
    <w:rsid w:val="004E4AEC"/>
    <w:rsid w:val="004F4341"/>
    <w:rsid w:val="004F4836"/>
    <w:rsid w:val="0050183E"/>
    <w:rsid w:val="00504853"/>
    <w:rsid w:val="00513B3C"/>
    <w:rsid w:val="005165DB"/>
    <w:rsid w:val="005221FC"/>
    <w:rsid w:val="005406F8"/>
    <w:rsid w:val="00540B03"/>
    <w:rsid w:val="00546127"/>
    <w:rsid w:val="005462D0"/>
    <w:rsid w:val="0055455A"/>
    <w:rsid w:val="00555C8A"/>
    <w:rsid w:val="005576E1"/>
    <w:rsid w:val="00566FAC"/>
    <w:rsid w:val="00567733"/>
    <w:rsid w:val="005713A8"/>
    <w:rsid w:val="00572761"/>
    <w:rsid w:val="00583DAD"/>
    <w:rsid w:val="0059277F"/>
    <w:rsid w:val="00592A99"/>
    <w:rsid w:val="00596FB4"/>
    <w:rsid w:val="00597EED"/>
    <w:rsid w:val="005A2991"/>
    <w:rsid w:val="005B786B"/>
    <w:rsid w:val="005D0AF8"/>
    <w:rsid w:val="005F3A83"/>
    <w:rsid w:val="005F3E47"/>
    <w:rsid w:val="005F53E3"/>
    <w:rsid w:val="0060215A"/>
    <w:rsid w:val="006068B9"/>
    <w:rsid w:val="00611521"/>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0E40"/>
    <w:rsid w:val="006D3582"/>
    <w:rsid w:val="006D7651"/>
    <w:rsid w:val="006E1B6A"/>
    <w:rsid w:val="0070010B"/>
    <w:rsid w:val="0070029F"/>
    <w:rsid w:val="00701734"/>
    <w:rsid w:val="00721560"/>
    <w:rsid w:val="00726036"/>
    <w:rsid w:val="00733593"/>
    <w:rsid w:val="0074341E"/>
    <w:rsid w:val="00751F08"/>
    <w:rsid w:val="00760371"/>
    <w:rsid w:val="00763E4E"/>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225F8"/>
    <w:rsid w:val="00830099"/>
    <w:rsid w:val="008403F1"/>
    <w:rsid w:val="00842057"/>
    <w:rsid w:val="00842BAF"/>
    <w:rsid w:val="0086005B"/>
    <w:rsid w:val="00864C55"/>
    <w:rsid w:val="0086637C"/>
    <w:rsid w:val="00880A9F"/>
    <w:rsid w:val="00884167"/>
    <w:rsid w:val="008914B1"/>
    <w:rsid w:val="00892A46"/>
    <w:rsid w:val="008A7212"/>
    <w:rsid w:val="008B084C"/>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18DC"/>
    <w:rsid w:val="0097278E"/>
    <w:rsid w:val="009744A0"/>
    <w:rsid w:val="00976781"/>
    <w:rsid w:val="00986270"/>
    <w:rsid w:val="009B166B"/>
    <w:rsid w:val="009B66C8"/>
    <w:rsid w:val="009C21B3"/>
    <w:rsid w:val="009C2C42"/>
    <w:rsid w:val="009C4816"/>
    <w:rsid w:val="009C5623"/>
    <w:rsid w:val="009E3D4E"/>
    <w:rsid w:val="009E6A28"/>
    <w:rsid w:val="009F010F"/>
    <w:rsid w:val="009F3FB7"/>
    <w:rsid w:val="00A117D2"/>
    <w:rsid w:val="00A17420"/>
    <w:rsid w:val="00A239A7"/>
    <w:rsid w:val="00A3549C"/>
    <w:rsid w:val="00A374AC"/>
    <w:rsid w:val="00A37869"/>
    <w:rsid w:val="00A44A88"/>
    <w:rsid w:val="00A45891"/>
    <w:rsid w:val="00A72122"/>
    <w:rsid w:val="00A74752"/>
    <w:rsid w:val="00A749E1"/>
    <w:rsid w:val="00A8045B"/>
    <w:rsid w:val="00A81B6C"/>
    <w:rsid w:val="00A94775"/>
    <w:rsid w:val="00A962CF"/>
    <w:rsid w:val="00AB75B4"/>
    <w:rsid w:val="00AC74EC"/>
    <w:rsid w:val="00AD7CC8"/>
    <w:rsid w:val="00AE6E25"/>
    <w:rsid w:val="00AF6B3A"/>
    <w:rsid w:val="00B054AD"/>
    <w:rsid w:val="00B108AE"/>
    <w:rsid w:val="00B13C9D"/>
    <w:rsid w:val="00B23F2A"/>
    <w:rsid w:val="00B2426C"/>
    <w:rsid w:val="00B33E1E"/>
    <w:rsid w:val="00B40E49"/>
    <w:rsid w:val="00B45E81"/>
    <w:rsid w:val="00B533D5"/>
    <w:rsid w:val="00B54F09"/>
    <w:rsid w:val="00B71972"/>
    <w:rsid w:val="00B84789"/>
    <w:rsid w:val="00B85769"/>
    <w:rsid w:val="00B86CE7"/>
    <w:rsid w:val="00B87F00"/>
    <w:rsid w:val="00B9176B"/>
    <w:rsid w:val="00B93D0E"/>
    <w:rsid w:val="00B96022"/>
    <w:rsid w:val="00BA3284"/>
    <w:rsid w:val="00BC113A"/>
    <w:rsid w:val="00BC71FF"/>
    <w:rsid w:val="00BD0FFD"/>
    <w:rsid w:val="00BE27B4"/>
    <w:rsid w:val="00BE36F0"/>
    <w:rsid w:val="00BE4CAF"/>
    <w:rsid w:val="00BE52BF"/>
    <w:rsid w:val="00C00BB8"/>
    <w:rsid w:val="00C02233"/>
    <w:rsid w:val="00C05BED"/>
    <w:rsid w:val="00C06B06"/>
    <w:rsid w:val="00C106C2"/>
    <w:rsid w:val="00C15121"/>
    <w:rsid w:val="00C171FF"/>
    <w:rsid w:val="00C21009"/>
    <w:rsid w:val="00C21363"/>
    <w:rsid w:val="00C2294B"/>
    <w:rsid w:val="00C331F0"/>
    <w:rsid w:val="00C33878"/>
    <w:rsid w:val="00C37129"/>
    <w:rsid w:val="00C47A56"/>
    <w:rsid w:val="00C52224"/>
    <w:rsid w:val="00C52FC2"/>
    <w:rsid w:val="00C5755A"/>
    <w:rsid w:val="00C67CE0"/>
    <w:rsid w:val="00C74F11"/>
    <w:rsid w:val="00C7643D"/>
    <w:rsid w:val="00C76E10"/>
    <w:rsid w:val="00C92124"/>
    <w:rsid w:val="00CB5D78"/>
    <w:rsid w:val="00CC58F8"/>
    <w:rsid w:val="00CD0A35"/>
    <w:rsid w:val="00CD5F91"/>
    <w:rsid w:val="00CD6927"/>
    <w:rsid w:val="00CE0B40"/>
    <w:rsid w:val="00CF20FC"/>
    <w:rsid w:val="00D040A2"/>
    <w:rsid w:val="00D114C9"/>
    <w:rsid w:val="00D13C47"/>
    <w:rsid w:val="00D21685"/>
    <w:rsid w:val="00D22947"/>
    <w:rsid w:val="00D3049B"/>
    <w:rsid w:val="00D318A3"/>
    <w:rsid w:val="00D326DC"/>
    <w:rsid w:val="00D353EC"/>
    <w:rsid w:val="00D354E8"/>
    <w:rsid w:val="00D43889"/>
    <w:rsid w:val="00D44122"/>
    <w:rsid w:val="00D554DA"/>
    <w:rsid w:val="00D60BFC"/>
    <w:rsid w:val="00D60FF3"/>
    <w:rsid w:val="00D655F5"/>
    <w:rsid w:val="00D67C46"/>
    <w:rsid w:val="00D70591"/>
    <w:rsid w:val="00D75CFB"/>
    <w:rsid w:val="00D77847"/>
    <w:rsid w:val="00D907A2"/>
    <w:rsid w:val="00D95F7C"/>
    <w:rsid w:val="00DA005E"/>
    <w:rsid w:val="00DA6116"/>
    <w:rsid w:val="00DD195D"/>
    <w:rsid w:val="00DD4976"/>
    <w:rsid w:val="00DE01A0"/>
    <w:rsid w:val="00DE0699"/>
    <w:rsid w:val="00DF4CC2"/>
    <w:rsid w:val="00DF6966"/>
    <w:rsid w:val="00E04222"/>
    <w:rsid w:val="00E0503C"/>
    <w:rsid w:val="00E06741"/>
    <w:rsid w:val="00E1281F"/>
    <w:rsid w:val="00E16FFB"/>
    <w:rsid w:val="00E2493A"/>
    <w:rsid w:val="00E369B9"/>
    <w:rsid w:val="00E4365F"/>
    <w:rsid w:val="00E50F50"/>
    <w:rsid w:val="00E51E99"/>
    <w:rsid w:val="00E535DE"/>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07F7"/>
    <w:rsid w:val="00F15E93"/>
    <w:rsid w:val="00F17156"/>
    <w:rsid w:val="00F45181"/>
    <w:rsid w:val="00F45972"/>
    <w:rsid w:val="00F53236"/>
    <w:rsid w:val="00F56917"/>
    <w:rsid w:val="00F576F6"/>
    <w:rsid w:val="00F806F6"/>
    <w:rsid w:val="00FA13BA"/>
    <w:rsid w:val="00FA4548"/>
    <w:rsid w:val="00FC1CA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91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character" w:customStyle="1" w:styleId="ui-provider">
    <w:name w:val="ui-provider"/>
    <w:basedOn w:val="a0"/>
    <w:rsid w:val="003B1827"/>
  </w:style>
  <w:style w:type="character" w:styleId="ae">
    <w:name w:val="annotation reference"/>
    <w:basedOn w:val="a0"/>
    <w:semiHidden/>
    <w:unhideWhenUsed/>
    <w:rsid w:val="003B1827"/>
    <w:rPr>
      <w:sz w:val="16"/>
      <w:szCs w:val="16"/>
    </w:rPr>
  </w:style>
  <w:style w:type="paragraph" w:styleId="af">
    <w:name w:val="annotation text"/>
    <w:basedOn w:val="a"/>
    <w:link w:val="af0"/>
    <w:semiHidden/>
    <w:unhideWhenUsed/>
    <w:rsid w:val="003B1827"/>
    <w:rPr>
      <w:sz w:val="20"/>
      <w:szCs w:val="20"/>
    </w:rPr>
  </w:style>
  <w:style w:type="character" w:customStyle="1" w:styleId="af0">
    <w:name w:val="טקסט הערה תו"/>
    <w:basedOn w:val="a0"/>
    <w:link w:val="af"/>
    <w:semiHidden/>
    <w:rsid w:val="003B1827"/>
  </w:style>
  <w:style w:type="paragraph" w:styleId="af1">
    <w:name w:val="annotation subject"/>
    <w:basedOn w:val="af"/>
    <w:next w:val="af"/>
    <w:link w:val="af2"/>
    <w:semiHidden/>
    <w:unhideWhenUsed/>
    <w:rsid w:val="003B1827"/>
    <w:rPr>
      <w:b/>
      <w:bCs/>
    </w:rPr>
  </w:style>
  <w:style w:type="character" w:customStyle="1" w:styleId="af2">
    <w:name w:val="נושא הערה תו"/>
    <w:basedOn w:val="af0"/>
    <w:link w:val="af1"/>
    <w:semiHidden/>
    <w:rsid w:val="003B1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E992-F864-4AEA-AE50-A5C347E0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3317</Characters>
  <Application>Microsoft Office Word</Application>
  <DocSecurity>4</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3915</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2024-02-20T07:05:00Z</dcterms:created>
  <dcterms:modified xsi:type="dcterms:W3CDTF">2024-02-20T07:05:00Z</dcterms:modified>
</cp:coreProperties>
</file>