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87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207990" w:rsidRPr="00511B89" w14:paraId="28BAF663" w14:textId="77777777" w:rsidTr="00207990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3EC9" w14:textId="77777777" w:rsidR="00207990" w:rsidRPr="00511B89" w:rsidRDefault="00207990" w:rsidP="0020799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511B89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32808DD8" w14:textId="77777777" w:rsidR="00207990" w:rsidRPr="00511B89" w:rsidRDefault="00207990" w:rsidP="00207990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11B89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8CE75CF" w14:textId="77777777" w:rsidR="00207990" w:rsidRPr="00511B89" w:rsidRDefault="00207990" w:rsidP="00207990">
            <w:pPr>
              <w:jc w:val="center"/>
              <w:rPr>
                <w:sz w:val="24"/>
                <w:szCs w:val="24"/>
              </w:rPr>
            </w:pPr>
            <w:r w:rsidRPr="00511B89">
              <w:rPr>
                <w:noProof/>
                <w:sz w:val="24"/>
                <w:szCs w:val="24"/>
              </w:rPr>
              <w:drawing>
                <wp:inline distT="0" distB="0" distL="0" distR="0" wp14:anchorId="278AF335" wp14:editId="18A0F76C">
                  <wp:extent cx="889248" cy="889248"/>
                  <wp:effectExtent l="0" t="0" r="0" b="0"/>
                  <wp:docPr id="5" name="תמונה 7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תמונה 7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2D9C" w14:textId="6C2A1865" w:rsidR="00207990" w:rsidRPr="00511B89" w:rsidRDefault="00207990" w:rsidP="00207990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511B89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Pr="00511B89">
              <w:rPr>
                <w:rFonts w:cs="David"/>
                <w:sz w:val="24"/>
                <w:szCs w:val="24"/>
                <w:rtl/>
              </w:rPr>
              <w:t>ירושלים,</w:t>
            </w:r>
            <w:r w:rsidRPr="00511B8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ג' אלול</w:t>
            </w:r>
            <w:r w:rsidRPr="00511B89">
              <w:rPr>
                <w:rFonts w:cs="David"/>
                <w:sz w:val="24"/>
                <w:szCs w:val="24"/>
                <w:rtl/>
              </w:rPr>
              <w:t>, תשפ"ג</w:t>
            </w:r>
          </w:p>
          <w:p w14:paraId="1704A858" w14:textId="0AEA698B" w:rsidR="00207990" w:rsidRPr="00511B89" w:rsidRDefault="00207990" w:rsidP="00207990">
            <w:pPr>
              <w:spacing w:line="480" w:lineRule="auto"/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511B89">
              <w:rPr>
                <w:rFonts w:cs="David" w:hint="eastAsia"/>
                <w:sz w:val="24"/>
                <w:szCs w:val="24"/>
                <w:rtl/>
              </w:rPr>
              <w:t>‏‏‏‏</w:t>
            </w:r>
            <w:r>
              <w:rPr>
                <w:rFonts w:cs="David" w:hint="cs"/>
                <w:sz w:val="24"/>
                <w:szCs w:val="24"/>
                <w:rtl/>
              </w:rPr>
              <w:t>20</w:t>
            </w:r>
            <w:r w:rsidRPr="00511B8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11B89">
              <w:rPr>
                <w:rFonts w:cs="David" w:hint="cs"/>
                <w:sz w:val="24"/>
                <w:szCs w:val="24"/>
                <w:rtl/>
              </w:rPr>
              <w:t>באוגוסט</w:t>
            </w:r>
            <w:r w:rsidRPr="00511B8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11B89">
              <w:rPr>
                <w:rFonts w:cs="David" w:hint="cs"/>
                <w:sz w:val="24"/>
                <w:szCs w:val="24"/>
                <w:rtl/>
              </w:rPr>
              <w:t>20</w:t>
            </w:r>
            <w:r w:rsidRPr="00511B89">
              <w:rPr>
                <w:rFonts w:cs="David"/>
                <w:sz w:val="24"/>
                <w:szCs w:val="24"/>
                <w:rtl/>
              </w:rPr>
              <w:t>2</w:t>
            </w:r>
            <w:r w:rsidRPr="00511B89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</w:tbl>
    <w:p w14:paraId="6068E554" w14:textId="38954387" w:rsidR="00345776" w:rsidRDefault="00345776" w:rsidP="00345776">
      <w:pPr>
        <w:spacing w:line="240" w:lineRule="auto"/>
        <w:ind w:right="-101"/>
        <w:rPr>
          <w:rFonts w:ascii="David" w:hAnsi="David" w:cs="David"/>
          <w:sz w:val="24"/>
          <w:szCs w:val="24"/>
          <w:rtl/>
        </w:rPr>
      </w:pPr>
    </w:p>
    <w:p w14:paraId="514C5208" w14:textId="77F3DB63" w:rsidR="00207990" w:rsidRDefault="00207990" w:rsidP="00345776">
      <w:pPr>
        <w:spacing w:line="240" w:lineRule="auto"/>
        <w:ind w:right="-101"/>
        <w:rPr>
          <w:rFonts w:ascii="David" w:hAnsi="David" w:cs="David"/>
          <w:sz w:val="24"/>
          <w:szCs w:val="24"/>
          <w:rtl/>
        </w:rPr>
      </w:pPr>
    </w:p>
    <w:p w14:paraId="6134670A" w14:textId="77777777" w:rsidR="00207990" w:rsidRPr="00931CDB" w:rsidRDefault="00207990" w:rsidP="00345776">
      <w:pPr>
        <w:spacing w:line="240" w:lineRule="auto"/>
        <w:ind w:right="-101"/>
        <w:rPr>
          <w:rFonts w:ascii="David" w:hAnsi="David" w:cs="David"/>
          <w:sz w:val="24"/>
          <w:szCs w:val="24"/>
          <w:rtl/>
        </w:rPr>
      </w:pPr>
    </w:p>
    <w:p w14:paraId="3332AE65" w14:textId="77777777" w:rsidR="00345776" w:rsidRPr="00931CDB" w:rsidRDefault="00345776" w:rsidP="00345776">
      <w:pPr>
        <w:spacing w:line="240" w:lineRule="auto"/>
        <w:ind w:right="-101"/>
        <w:rPr>
          <w:rFonts w:ascii="David" w:hAnsi="David" w:cs="David"/>
          <w:sz w:val="24"/>
          <w:szCs w:val="24"/>
          <w:rtl/>
        </w:rPr>
      </w:pPr>
      <w:r w:rsidRPr="00931CDB">
        <w:rPr>
          <w:rFonts w:ascii="David" w:hAnsi="David" w:cs="David"/>
          <w:sz w:val="24"/>
          <w:szCs w:val="24"/>
          <w:rtl/>
        </w:rPr>
        <w:t>הודעה לעיתונות:</w:t>
      </w:r>
    </w:p>
    <w:p w14:paraId="3A591B3A" w14:textId="478F85B7" w:rsidR="008307AC" w:rsidRDefault="008307AC" w:rsidP="009E127B">
      <w:pPr>
        <w:spacing w:after="80"/>
        <w:jc w:val="center"/>
        <w:rPr>
          <w:rStyle w:val="a7"/>
          <w:rFonts w:ascii="David" w:hAnsi="David" w:cs="David"/>
          <w:rtl/>
        </w:rPr>
      </w:pPr>
    </w:p>
    <w:p w14:paraId="0776654D" w14:textId="12DA8B9F" w:rsidR="009E127B" w:rsidRPr="00207990" w:rsidRDefault="009E127B" w:rsidP="009E127B">
      <w:pPr>
        <w:spacing w:after="8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31CDB">
        <w:rPr>
          <w:rStyle w:val="a7"/>
          <w:rFonts w:ascii="David" w:hAnsi="David" w:cs="David"/>
          <w:rtl/>
        </w:rPr>
        <w:t xml:space="preserve"> </w:t>
      </w:r>
      <w:bookmarkStart w:id="0" w:name="_GoBack"/>
      <w:r w:rsidR="00207990" w:rsidRPr="00207990">
        <w:rPr>
          <w:rStyle w:val="a7"/>
          <w:rFonts w:ascii="David" w:hAnsi="David" w:cs="David" w:hint="cs"/>
          <w:sz w:val="28"/>
          <w:szCs w:val="28"/>
          <w:rtl/>
        </w:rPr>
        <w:t xml:space="preserve">מחקר חדש: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מאפייני</w:t>
      </w:r>
      <w:r w:rsidRPr="0020799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הרוכשים והתמורות</w:t>
      </w:r>
      <w:r w:rsidRPr="0020799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שחלו</w:t>
      </w:r>
      <w:r w:rsidRPr="0020799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בסיכוי</w:t>
      </w:r>
      <w:r w:rsidRPr="0020799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לרכוש</w:t>
      </w:r>
      <w:r w:rsidRPr="00207990">
        <w:rPr>
          <w:rFonts w:ascii="David" w:hAnsi="David" w:cs="David"/>
          <w:b/>
          <w:bCs/>
          <w:sz w:val="28"/>
          <w:szCs w:val="28"/>
        </w:rPr>
        <w:t xml:space="preserve"> </w:t>
      </w:r>
      <w:r w:rsidRPr="00207990">
        <w:rPr>
          <w:rFonts w:ascii="David" w:hAnsi="David" w:cs="David"/>
          <w:b/>
          <w:bCs/>
          <w:sz w:val="28"/>
          <w:szCs w:val="28"/>
          <w:rtl/>
        </w:rPr>
        <w:t>דירה לראשונה</w:t>
      </w:r>
    </w:p>
    <w:p w14:paraId="6418FDA8" w14:textId="77777777" w:rsidR="009E127B" w:rsidRPr="00207990" w:rsidRDefault="009E127B" w:rsidP="009E127B">
      <w:pPr>
        <w:spacing w:after="80"/>
        <w:jc w:val="center"/>
        <w:rPr>
          <w:rFonts w:ascii="David" w:hAnsi="David" w:cs="David"/>
          <w:b/>
          <w:bCs/>
          <w:sz w:val="28"/>
          <w:szCs w:val="28"/>
        </w:rPr>
      </w:pPr>
      <w:r w:rsidRPr="00207990">
        <w:rPr>
          <w:rFonts w:ascii="David" w:hAnsi="David" w:cs="David"/>
          <w:b/>
          <w:bCs/>
          <w:sz w:val="28"/>
          <w:szCs w:val="28"/>
          <w:rtl/>
        </w:rPr>
        <w:t>בשנים 2016—2019 לעומת השנים 2012—2015</w:t>
      </w:r>
      <w:bookmarkEnd w:id="0"/>
    </w:p>
    <w:p w14:paraId="2DC80933" w14:textId="77777777" w:rsidR="00983C26" w:rsidRPr="00931CDB" w:rsidRDefault="00983C26" w:rsidP="00983C26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</w:rPr>
      </w:pPr>
    </w:p>
    <w:p w14:paraId="2E5069BF" w14:textId="77777777" w:rsidR="00471071" w:rsidRPr="00BB230E" w:rsidRDefault="00471071" w:rsidP="00471071">
      <w:pPr>
        <w:numPr>
          <w:ilvl w:val="0"/>
          <w:numId w:val="2"/>
        </w:numPr>
        <w:spacing w:after="0" w:line="360" w:lineRule="auto"/>
        <w:ind w:left="658" w:hanging="357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המחקר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מצביע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על כך שכאשר  שומרים על רמה גבוהה של היצע הבנייה לאורך זמן ניתן לשפר את נשיגות הדיור לכלל האוכלוסיה. כאשר ההיצע גבוה, ניתן להציע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תוכניות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מסובסדות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המיועדות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לאוכלוסיות ספציפיות תוך שמירה על </w:t>
      </w:r>
      <w:r w:rsidRPr="007C3099">
        <w:rPr>
          <w:rFonts w:ascii="David" w:hAnsi="David" w:cs="David" w:hint="eastAsia"/>
          <w:b/>
          <w:bCs/>
          <w:i/>
          <w:sz w:val="24"/>
          <w:szCs w:val="24"/>
          <w:rtl/>
        </w:rPr>
        <w:t>שיעור</w:t>
      </w:r>
      <w:r w:rsidRPr="007C3099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7C3099">
        <w:rPr>
          <w:rFonts w:ascii="David" w:hAnsi="David" w:cs="David" w:hint="eastAsia"/>
          <w:b/>
          <w:bCs/>
          <w:i/>
          <w:sz w:val="24"/>
          <w:szCs w:val="24"/>
          <w:rtl/>
        </w:rPr>
        <w:t>הרכישה</w:t>
      </w:r>
      <w:r w:rsidRPr="00BB230E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של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שאר האוכלוסיה -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הן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לאלו הזכאים לסבסוד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שלא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זכו בהגרלות,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והן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לאלו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שאינם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זכאים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>.</w:t>
      </w:r>
      <w:r w:rsidRPr="00BB230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</w:p>
    <w:p w14:paraId="6E15A3F8" w14:textId="78EDDA99" w:rsidR="00F60A94" w:rsidRPr="00BB230E" w:rsidRDefault="00737159" w:rsidP="00C101BE">
      <w:pPr>
        <w:numPr>
          <w:ilvl w:val="0"/>
          <w:numId w:val="2"/>
        </w:numPr>
        <w:spacing w:after="0" w:line="360" w:lineRule="auto"/>
        <w:ind w:left="658" w:hanging="357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בין השנים  2012—2015 לשנים 2016—2019  </w:t>
      </w:r>
      <w:r w:rsidR="00F60A94" w:rsidRPr="00BB230E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עלה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שיעור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משקי בית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אשר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רכשו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דירה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לראשונה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.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גם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הסיכוי </w:t>
      </w:r>
      <w:r w:rsidR="008307AC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לרכוש</w:t>
      </w:r>
      <w:r w:rsidR="008307AC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8307AC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דירה</w:t>
      </w:r>
      <w:r w:rsidR="008307AC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8307AC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בקרב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משקי הבית שלא קנו דירה במסגרת מחיר למשתכן, אם בגלל שלא זכו בהגרלה או בגלל שלא ניגשו לכזו, נותר יציב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ביחס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לשנים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2012—2015. </w:t>
      </w:r>
      <w:r w:rsidR="0091577A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אפשר להסיק מכך שהרחבת 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>היצע</w:t>
      </w:r>
      <w:r w:rsidR="0091577A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הבנייה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שהתרחשה בשנים 2016—2019 הייתה משמעותית </w:t>
      </w:r>
      <w:r w:rsidR="0091577A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די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</w:t>
      </w:r>
      <w:r w:rsidR="0091577A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,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כך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שחרף 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ייעוד</w:t>
      </w:r>
      <w:r w:rsidR="00A41B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נתח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ניכר</w:t>
      </w:r>
      <w:r w:rsidR="00A41B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מ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הבנייה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לתוכנית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בלבד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,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נשמר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הסיכוי של משפחות שלא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זכו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ב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>סבסוד לרכוש דירה.</w:t>
      </w:r>
    </w:p>
    <w:p w14:paraId="4F405502" w14:textId="035921C3" w:rsidR="00737159" w:rsidRPr="00BB230E" w:rsidRDefault="00A41B94" w:rsidP="00C101BE">
      <w:pPr>
        <w:numPr>
          <w:ilvl w:val="0"/>
          <w:numId w:val="2"/>
        </w:numPr>
        <w:spacing w:after="0" w:line="360" w:lineRule="auto"/>
        <w:ind w:left="658" w:hanging="357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ה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הסתברות לרכוש דירה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עלתה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בין השנים 2012—2015 לשנים 2016—2019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בכל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חמישוני ההכנסה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>,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אולם הסיכוי של החמישונים הגבוהים עלה ביותר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>.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משום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F60A94" w:rsidRPr="00BB230E">
        <w:rPr>
          <w:rFonts w:ascii="David" w:hAnsi="David" w:cs="David"/>
          <w:b/>
          <w:bCs/>
          <w:i/>
          <w:sz w:val="24"/>
          <w:szCs w:val="24"/>
          <w:rtl/>
        </w:rPr>
        <w:t>כך התרחב הפער בסיכוי לרכוש דירה בין החמישון העליון לבין שאר החמישונים, ובפרט זה התחתון.</w:t>
      </w:r>
    </w:p>
    <w:p w14:paraId="720A0790" w14:textId="5F122254" w:rsidR="00C101BE" w:rsidRPr="00BB230E" w:rsidRDefault="00737159" w:rsidP="00C101BE">
      <w:pPr>
        <w:numPr>
          <w:ilvl w:val="0"/>
          <w:numId w:val="2"/>
        </w:numPr>
        <w:spacing w:after="0" w:line="360" w:lineRule="auto"/>
        <w:ind w:left="658" w:hanging="357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תוכנית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"מחיר </w:t>
      </w:r>
      <w:r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למשתכן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>"</w:t>
      </w:r>
      <w:r w:rsidR="00A41B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, 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שהופעלה</w:t>
      </w:r>
      <w:r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בשנים </w:t>
      </w:r>
      <w:r w:rsidR="0091577A" w:rsidRPr="00BB230E">
        <w:rPr>
          <w:rFonts w:ascii="David" w:hAnsi="David" w:cs="David"/>
          <w:b/>
          <w:bCs/>
          <w:i/>
          <w:sz w:val="24"/>
          <w:szCs w:val="24"/>
          <w:rtl/>
        </w:rPr>
        <w:t>2016—2019</w:t>
      </w:r>
      <w:r w:rsidR="00A41B94" w:rsidRPr="00BB230E">
        <w:rPr>
          <w:rFonts w:ascii="David" w:hAnsi="David" w:cs="David"/>
          <w:b/>
          <w:bCs/>
          <w:i/>
          <w:sz w:val="24"/>
          <w:szCs w:val="24"/>
          <w:rtl/>
        </w:rPr>
        <w:t>,</w:t>
      </w:r>
      <w:r w:rsidR="0091577A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</w:t>
      </w:r>
      <w:r w:rsidR="00A41B94" w:rsidRPr="00BB230E">
        <w:rPr>
          <w:rFonts w:ascii="David" w:hAnsi="David" w:cs="David" w:hint="eastAsia"/>
          <w:b/>
          <w:bCs/>
          <w:i/>
          <w:sz w:val="24"/>
          <w:szCs w:val="24"/>
          <w:rtl/>
        </w:rPr>
        <w:t>איפשרה</w:t>
      </w:r>
      <w:r w:rsidR="00A41B94" w:rsidRPr="00BB230E">
        <w:rPr>
          <w:rFonts w:ascii="David" w:hAnsi="David" w:cs="David"/>
          <w:b/>
          <w:bCs/>
          <w:i/>
          <w:sz w:val="24"/>
          <w:szCs w:val="24"/>
          <w:rtl/>
        </w:rPr>
        <w:t xml:space="preserve"> לזכאים להשתתף בהגרלות, שהזוכים בהן זכו בהנחה על מחיר הדירה שרכשו. 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>שיעור הנשואים ושיעור המשפחות עם ילדים בקרב רוכשי "מחיר למשתכן" בשנים 2016</w:t>
      </w:r>
      <w:r w:rsidRPr="00BB230E">
        <w:rPr>
          <w:rFonts w:ascii="David" w:hAnsi="David" w:cs="David"/>
          <w:b/>
          <w:bCs/>
          <w:sz w:val="20"/>
          <w:szCs w:val="20"/>
          <w:rtl/>
        </w:rPr>
        <w:t>—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 xml:space="preserve">2019 </w:t>
      </w:r>
      <w:r w:rsidR="0091577A" w:rsidRPr="00BB230E">
        <w:rPr>
          <w:rFonts w:ascii="David" w:hAnsi="David" w:cs="David" w:hint="eastAsia"/>
          <w:b/>
          <w:bCs/>
          <w:sz w:val="24"/>
          <w:szCs w:val="24"/>
          <w:rtl/>
        </w:rPr>
        <w:t>היה</w:t>
      </w:r>
      <w:r w:rsidR="0091577A" w:rsidRPr="00BB23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 xml:space="preserve">גבוה ביחס לרוכשים </w:t>
      </w:r>
      <w:r w:rsidR="0091577A" w:rsidRPr="00BB230E">
        <w:rPr>
          <w:rFonts w:ascii="David" w:hAnsi="David" w:cs="David"/>
          <w:b/>
          <w:bCs/>
          <w:sz w:val="24"/>
          <w:szCs w:val="24"/>
          <w:rtl/>
        </w:rPr>
        <w:t>בשוק החופשי</w:t>
      </w:r>
      <w:r w:rsidR="00A41B94" w:rsidRPr="00BB230E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A41B94" w:rsidRPr="00BB230E">
        <w:rPr>
          <w:rFonts w:ascii="David" w:hAnsi="David" w:cs="David" w:hint="eastAsia"/>
          <w:b/>
          <w:bCs/>
          <w:sz w:val="24"/>
          <w:szCs w:val="24"/>
          <w:rtl/>
        </w:rPr>
        <w:t>בהלימה</w:t>
      </w:r>
      <w:r w:rsidR="00A41B94" w:rsidRPr="00BB23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41B94" w:rsidRPr="00BB230E">
        <w:rPr>
          <w:rFonts w:ascii="David" w:hAnsi="David" w:cs="David" w:hint="eastAsia"/>
          <w:b/>
          <w:bCs/>
          <w:sz w:val="24"/>
          <w:szCs w:val="24"/>
          <w:rtl/>
        </w:rPr>
        <w:t>לתנאי</w:t>
      </w:r>
      <w:r w:rsidR="00A41B94" w:rsidRPr="00BB23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41B94" w:rsidRPr="00BB230E">
        <w:rPr>
          <w:rFonts w:ascii="David" w:hAnsi="David" w:cs="David" w:hint="eastAsia"/>
          <w:b/>
          <w:bCs/>
          <w:sz w:val="24"/>
          <w:szCs w:val="24"/>
          <w:rtl/>
        </w:rPr>
        <w:t>הזכאות</w:t>
      </w:r>
      <w:r w:rsidR="0091577A" w:rsidRPr="00BB230E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05D1175A" w14:textId="4662D908" w:rsidR="00F60A94" w:rsidRPr="00BB230E" w:rsidRDefault="00C101BE" w:rsidP="00BB230E">
      <w:pPr>
        <w:numPr>
          <w:ilvl w:val="0"/>
          <w:numId w:val="2"/>
        </w:numPr>
        <w:spacing w:after="0" w:line="360" w:lineRule="auto"/>
        <w:ind w:left="658" w:hanging="357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BB230E">
        <w:rPr>
          <w:rFonts w:ascii="David" w:hAnsi="David" w:cs="David" w:hint="eastAsia"/>
          <w:b/>
          <w:bCs/>
          <w:sz w:val="24"/>
          <w:szCs w:val="24"/>
          <w:rtl/>
        </w:rPr>
        <w:t>השוואה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 xml:space="preserve"> של </w:t>
      </w:r>
      <w:r w:rsidR="00737159" w:rsidRPr="00BB230E">
        <w:rPr>
          <w:rFonts w:ascii="David" w:hAnsi="David" w:cs="David"/>
          <w:b/>
          <w:bCs/>
          <w:sz w:val="24"/>
          <w:szCs w:val="24"/>
          <w:rtl/>
        </w:rPr>
        <w:t xml:space="preserve">הכנסת משק הבית הממוצעת </w:t>
      </w:r>
      <w:r w:rsidRPr="00BB230E">
        <w:rPr>
          <w:rFonts w:ascii="David" w:hAnsi="David" w:cs="David" w:hint="eastAsia"/>
          <w:b/>
          <w:bCs/>
          <w:sz w:val="24"/>
          <w:szCs w:val="24"/>
          <w:rtl/>
        </w:rPr>
        <w:t>בקרב</w:t>
      </w:r>
      <w:r w:rsidR="00737159" w:rsidRPr="00BB230E">
        <w:rPr>
          <w:rFonts w:ascii="David" w:hAnsi="David" w:cs="David"/>
          <w:b/>
          <w:bCs/>
          <w:sz w:val="24"/>
          <w:szCs w:val="24"/>
          <w:rtl/>
        </w:rPr>
        <w:t xml:space="preserve"> רוכשי "מחיר למשתכן" לבין זו של הרוכשים בשוק החופשי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>,</w:t>
      </w:r>
      <w:r w:rsidR="00737159" w:rsidRPr="00BB23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 xml:space="preserve">בקרב הנשואים, לא </w:t>
      </w:r>
      <w:r w:rsidRPr="00BB230E">
        <w:rPr>
          <w:rFonts w:ascii="David" w:hAnsi="David" w:cs="David" w:hint="eastAsia"/>
          <w:b/>
          <w:bCs/>
          <w:sz w:val="24"/>
          <w:szCs w:val="24"/>
          <w:rtl/>
        </w:rPr>
        <w:t>מזהה</w:t>
      </w:r>
      <w:r w:rsidRPr="00BB230E">
        <w:rPr>
          <w:rFonts w:ascii="David" w:hAnsi="David" w:cs="David"/>
          <w:b/>
          <w:bCs/>
          <w:sz w:val="24"/>
          <w:szCs w:val="24"/>
          <w:rtl/>
        </w:rPr>
        <w:t xml:space="preserve"> הבדל </w:t>
      </w:r>
      <w:r w:rsidRPr="007C3099">
        <w:rPr>
          <w:rFonts w:ascii="David" w:hAnsi="David" w:cs="David"/>
          <w:b/>
          <w:bCs/>
          <w:sz w:val="24"/>
          <w:szCs w:val="24"/>
          <w:rtl/>
        </w:rPr>
        <w:t>מהותי</w:t>
      </w:r>
      <w:r w:rsidR="0091577A" w:rsidRPr="007C309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3A899FE5" w14:textId="77777777" w:rsidR="002B1AB8" w:rsidRPr="00331C0F" w:rsidRDefault="002B1AB8" w:rsidP="007C3099">
      <w:pPr>
        <w:spacing w:after="0" w:line="360" w:lineRule="auto"/>
        <w:contextualSpacing/>
        <w:jc w:val="both"/>
        <w:rPr>
          <w:rFonts w:ascii="David" w:hAnsi="David" w:cs="David"/>
          <w:b/>
          <w:bCs/>
          <w:i/>
          <w:sz w:val="24"/>
          <w:szCs w:val="24"/>
          <w:rtl/>
        </w:rPr>
      </w:pPr>
    </w:p>
    <w:p w14:paraId="4CC7EE2E" w14:textId="77777777" w:rsidR="005F7960" w:rsidRPr="00931CDB" w:rsidRDefault="005F7960" w:rsidP="004D47C9">
      <w:pPr>
        <w:spacing w:after="0" w:line="360" w:lineRule="auto"/>
        <w:ind w:left="658"/>
        <w:contextualSpacing/>
        <w:jc w:val="both"/>
        <w:rPr>
          <w:rStyle w:val="a7"/>
          <w:rFonts w:ascii="David" w:hAnsi="David" w:cs="David"/>
        </w:rPr>
      </w:pPr>
    </w:p>
    <w:p w14:paraId="2D093A52" w14:textId="77777777" w:rsidR="005F7960" w:rsidRPr="003456FA" w:rsidRDefault="005F7960" w:rsidP="006B4AF2">
      <w:p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  <w:r w:rsidRPr="003456FA">
        <w:rPr>
          <w:rFonts w:ascii="David" w:hAnsi="David" w:cs="David"/>
          <w:sz w:val="24"/>
          <w:szCs w:val="24"/>
          <w:rtl/>
        </w:rPr>
        <w:t xml:space="preserve">בעקבות עלייה מתמשכת של מחירי הדיור בשנים 2008–2015,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נשיגות </w:t>
      </w:r>
      <w:r w:rsidR="00BF5E94" w:rsidRPr="003456FA">
        <w:rPr>
          <w:rFonts w:ascii="David" w:hAnsi="David" w:cs="David"/>
          <w:sz w:val="24"/>
          <w:szCs w:val="24"/>
          <w:rtl/>
        </w:rPr>
        <w:t>ה</w:t>
      </w:r>
      <w:r w:rsidRPr="003456FA">
        <w:rPr>
          <w:rFonts w:ascii="David" w:hAnsi="David" w:cs="David"/>
          <w:sz w:val="24"/>
          <w:szCs w:val="24"/>
          <w:rtl/>
        </w:rPr>
        <w:t>דיור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 בבעלות</w:t>
      </w:r>
      <w:r w:rsidRPr="003456FA">
        <w:rPr>
          <w:rFonts w:ascii="David" w:hAnsi="David" w:cs="David"/>
          <w:sz w:val="24"/>
          <w:szCs w:val="24"/>
          <w:rtl/>
        </w:rPr>
        <w:t xml:space="preserve"> הפ</w:t>
      </w:r>
      <w:r w:rsidR="00BF5E94" w:rsidRPr="003456FA">
        <w:rPr>
          <w:rFonts w:ascii="David" w:hAnsi="David" w:cs="David"/>
          <w:sz w:val="24"/>
          <w:szCs w:val="24"/>
          <w:rtl/>
        </w:rPr>
        <w:t>כה</w:t>
      </w:r>
      <w:r w:rsidRPr="003456FA">
        <w:rPr>
          <w:rFonts w:ascii="David" w:hAnsi="David" w:cs="David"/>
          <w:sz w:val="24"/>
          <w:szCs w:val="24"/>
          <w:rtl/>
        </w:rPr>
        <w:t xml:space="preserve"> לאחת המטרות המרכזיות של הממשלה</w:t>
      </w:r>
      <w:r w:rsidR="00D7239B" w:rsidRPr="003456FA">
        <w:rPr>
          <w:rFonts w:ascii="David" w:hAnsi="David" w:cs="David"/>
          <w:sz w:val="24"/>
          <w:szCs w:val="24"/>
          <w:rtl/>
        </w:rPr>
        <w:t>.</w:t>
      </w:r>
      <w:r w:rsidRPr="003456FA">
        <w:rPr>
          <w:rFonts w:ascii="David" w:hAnsi="David" w:cs="David"/>
          <w:sz w:val="24"/>
          <w:szCs w:val="24"/>
          <w:rtl/>
        </w:rPr>
        <w:t xml:space="preserve">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על כן, </w:t>
      </w:r>
      <w:r w:rsidR="00BF5E94" w:rsidRPr="003456FA">
        <w:rPr>
          <w:rFonts w:ascii="David" w:hAnsi="David" w:cs="David"/>
          <w:sz w:val="24"/>
          <w:szCs w:val="24"/>
          <w:rtl/>
        </w:rPr>
        <w:t xml:space="preserve">הממשלה וגופיה </w:t>
      </w:r>
      <w:r w:rsidRPr="003456FA">
        <w:rPr>
          <w:rFonts w:ascii="David" w:hAnsi="David" w:cs="David"/>
          <w:sz w:val="24"/>
          <w:szCs w:val="24"/>
          <w:rtl/>
        </w:rPr>
        <w:t>נקט</w:t>
      </w:r>
      <w:r w:rsidR="00BF5E94" w:rsidRPr="003456FA">
        <w:rPr>
          <w:rFonts w:ascii="David" w:hAnsi="David" w:cs="David"/>
          <w:sz w:val="24"/>
          <w:szCs w:val="24"/>
          <w:rtl/>
        </w:rPr>
        <w:t>ו</w:t>
      </w:r>
      <w:r w:rsidRPr="003456FA">
        <w:rPr>
          <w:rFonts w:ascii="David" w:hAnsi="David" w:cs="David"/>
          <w:sz w:val="24"/>
          <w:szCs w:val="24"/>
          <w:rtl/>
        </w:rPr>
        <w:t xml:space="preserve"> שורה של צעדים להרחבת היצע הדיור ולהוזלתו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 עבור הרוכש</w:t>
      </w:r>
      <w:r w:rsidR="00BF5E94" w:rsidRPr="003456FA">
        <w:rPr>
          <w:rFonts w:ascii="David" w:hAnsi="David" w:cs="David"/>
          <w:sz w:val="24"/>
          <w:szCs w:val="24"/>
          <w:rtl/>
        </w:rPr>
        <w:t>ים</w:t>
      </w:r>
      <w:r w:rsidRPr="003456FA">
        <w:rPr>
          <w:rFonts w:ascii="David" w:hAnsi="David" w:cs="David"/>
          <w:sz w:val="24"/>
          <w:szCs w:val="24"/>
          <w:rtl/>
        </w:rPr>
        <w:t>.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 לצד ההגדלה הניכרת בהיקף הבנייה,</w:t>
      </w:r>
      <w:r w:rsidR="006162A5" w:rsidRPr="003456FA">
        <w:rPr>
          <w:rFonts w:ascii="David" w:hAnsi="David" w:cs="David"/>
          <w:sz w:val="24"/>
          <w:szCs w:val="24"/>
          <w:rtl/>
        </w:rPr>
        <w:t xml:space="preserve"> </w:t>
      </w:r>
      <w:r w:rsidRPr="003456FA">
        <w:rPr>
          <w:rFonts w:ascii="David" w:hAnsi="David" w:cs="David"/>
          <w:sz w:val="24"/>
          <w:szCs w:val="24"/>
          <w:rtl/>
        </w:rPr>
        <w:t xml:space="preserve">צעד מרכזי שנקטה הממשלה </w:t>
      </w:r>
      <w:r w:rsidR="006B4AF2" w:rsidRPr="003456FA">
        <w:rPr>
          <w:rFonts w:ascii="David" w:hAnsi="David" w:cs="David"/>
          <w:sz w:val="24"/>
          <w:szCs w:val="24"/>
          <w:rtl/>
        </w:rPr>
        <w:t>להוזל</w:t>
      </w:r>
      <w:r w:rsidR="006B4AF2">
        <w:rPr>
          <w:rFonts w:ascii="David" w:hAnsi="David" w:cs="David" w:hint="cs"/>
          <w:sz w:val="24"/>
          <w:szCs w:val="24"/>
          <w:rtl/>
        </w:rPr>
        <w:t>ה</w:t>
      </w:r>
      <w:r w:rsidR="006B4AF2" w:rsidRPr="003456FA">
        <w:rPr>
          <w:rFonts w:ascii="David" w:hAnsi="David" w:cs="David"/>
          <w:sz w:val="24"/>
          <w:szCs w:val="24"/>
          <w:rtl/>
        </w:rPr>
        <w:t xml:space="preserve"> </w:t>
      </w:r>
      <w:r w:rsidR="00D7239B" w:rsidRPr="003456FA">
        <w:rPr>
          <w:rFonts w:ascii="David" w:hAnsi="David" w:cs="David"/>
          <w:sz w:val="24"/>
          <w:szCs w:val="24"/>
          <w:rtl/>
        </w:rPr>
        <w:t>ישירה</w:t>
      </w:r>
      <w:r w:rsidR="00656965" w:rsidRPr="003456FA">
        <w:rPr>
          <w:rFonts w:ascii="David" w:hAnsi="David" w:cs="David"/>
          <w:sz w:val="24"/>
          <w:szCs w:val="24"/>
          <w:rtl/>
        </w:rPr>
        <w:t xml:space="preserve"> </w:t>
      </w:r>
      <w:r w:rsidRPr="003456FA">
        <w:rPr>
          <w:rFonts w:ascii="David" w:hAnsi="David" w:cs="David"/>
          <w:sz w:val="24"/>
          <w:szCs w:val="24"/>
          <w:rtl/>
        </w:rPr>
        <w:t>היה הפעלת התוכנית "מחיר למשתכן" בסוף 2015 במטרה לסייע למשקי בית שאין בבעלותם דירה לרכוש אחת</w:t>
      </w:r>
      <w:r w:rsidRPr="003456FA">
        <w:rPr>
          <w:rFonts w:ascii="David" w:eastAsia="Times New Roman" w:hAnsi="David" w:cs="David"/>
          <w:sz w:val="24"/>
          <w:szCs w:val="24"/>
          <w:rtl/>
        </w:rPr>
        <w:t>.</w:t>
      </w:r>
      <w:r w:rsidR="00D7239B" w:rsidRPr="003456FA">
        <w:rPr>
          <w:rFonts w:ascii="David" w:eastAsia="Times New Roman" w:hAnsi="David" w:cs="David"/>
          <w:sz w:val="24"/>
          <w:szCs w:val="24"/>
          <w:rtl/>
        </w:rPr>
        <w:t xml:space="preserve"> במסגרת תוכנית זאת, המדינה שיווקה קרקעות במחיר מסובסד ליזם אשר מציע את מחיר הדירה הסופי הנמוך ביותר, והזכות המוגבלת בכמות לקנות דירה כזו ניתנה במסגרת הגרלה </w:t>
      </w:r>
      <w:r w:rsidR="00656965" w:rsidRPr="003456FA">
        <w:rPr>
          <w:rFonts w:ascii="David" w:eastAsia="Times New Roman" w:hAnsi="David" w:cs="David"/>
          <w:sz w:val="24"/>
          <w:szCs w:val="24"/>
          <w:rtl/>
        </w:rPr>
        <w:t xml:space="preserve">בקרב </w:t>
      </w:r>
      <w:r w:rsidR="00D7239B" w:rsidRPr="003456FA">
        <w:rPr>
          <w:rFonts w:ascii="David" w:eastAsia="Times New Roman" w:hAnsi="David" w:cs="David"/>
          <w:sz w:val="24"/>
          <w:szCs w:val="24"/>
          <w:rtl/>
        </w:rPr>
        <w:t xml:space="preserve">האוכלוסיה הזכאית.  </w:t>
      </w:r>
    </w:p>
    <w:p w14:paraId="560F2CEF" w14:textId="77777777" w:rsidR="00370772" w:rsidRPr="003456FA" w:rsidRDefault="007334DF" w:rsidP="0071506A">
      <w:pPr>
        <w:spacing w:after="80"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 w:rsidRPr="003456FA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במחקר שנערך </w:t>
      </w:r>
      <w:r w:rsidR="00D7239B" w:rsidRPr="003456FA">
        <w:rPr>
          <w:rFonts w:ascii="David" w:eastAsia="Times New Roman" w:hAnsi="David" w:cs="David"/>
          <w:color w:val="000000"/>
          <w:sz w:val="24"/>
          <w:szCs w:val="24"/>
          <w:rtl/>
        </w:rPr>
        <w:t>על ידי ד"ר דארין וייסמן מ</w:t>
      </w:r>
      <w:r w:rsidRPr="003456FA">
        <w:rPr>
          <w:rFonts w:ascii="David" w:eastAsia="Times New Roman" w:hAnsi="David" w:cs="David"/>
          <w:color w:val="000000"/>
          <w:sz w:val="24"/>
          <w:szCs w:val="24"/>
          <w:rtl/>
        </w:rPr>
        <w:t>חטיבת המחקר בבנק ישראל</w:t>
      </w:r>
      <w:r w:rsidR="00D7239B" w:rsidRPr="003456FA">
        <w:rPr>
          <w:rFonts w:ascii="David" w:eastAsia="Times New Roman" w:hAnsi="David" w:cs="David"/>
          <w:color w:val="000000"/>
          <w:sz w:val="24"/>
          <w:szCs w:val="24"/>
          <w:rtl/>
        </w:rPr>
        <w:t>,</w:t>
      </w:r>
      <w:r w:rsidRPr="003456F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D7239B" w:rsidRPr="003456FA">
        <w:rPr>
          <w:rFonts w:ascii="David" w:eastAsia="Times New Roman" w:hAnsi="David" w:cs="David"/>
          <w:sz w:val="24"/>
          <w:szCs w:val="24"/>
          <w:rtl/>
        </w:rPr>
        <w:t>נב</w:t>
      </w:r>
      <w:r w:rsidRPr="003456FA">
        <w:rPr>
          <w:rFonts w:ascii="David" w:eastAsia="Times New Roman" w:hAnsi="David" w:cs="David"/>
          <w:sz w:val="24"/>
          <w:szCs w:val="24"/>
          <w:rtl/>
        </w:rPr>
        <w:t>חנ</w:t>
      </w:r>
      <w:r w:rsidR="00D7239B" w:rsidRPr="003456FA">
        <w:rPr>
          <w:rFonts w:ascii="David" w:eastAsia="Times New Roman" w:hAnsi="David" w:cs="David"/>
          <w:sz w:val="24"/>
          <w:szCs w:val="24"/>
          <w:rtl/>
        </w:rPr>
        <w:t>ה</w:t>
      </w:r>
      <w:r w:rsidRPr="003456F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56FA">
        <w:rPr>
          <w:rFonts w:ascii="David" w:hAnsi="David" w:cs="David"/>
          <w:sz w:val="24"/>
          <w:szCs w:val="24"/>
          <w:rtl/>
        </w:rPr>
        <w:t xml:space="preserve">השפעת </w:t>
      </w:r>
      <w:r w:rsidR="00D7239B" w:rsidRPr="003456FA">
        <w:rPr>
          <w:rFonts w:ascii="David" w:hAnsi="David" w:cs="David"/>
          <w:sz w:val="24"/>
          <w:szCs w:val="24"/>
          <w:rtl/>
        </w:rPr>
        <w:t>ה</w:t>
      </w:r>
      <w:r w:rsidRPr="003456FA">
        <w:rPr>
          <w:rFonts w:ascii="David" w:hAnsi="David" w:cs="David"/>
          <w:sz w:val="24"/>
          <w:szCs w:val="24"/>
          <w:rtl/>
        </w:rPr>
        <w:t>מדיניות שנקטה הממשלה</w:t>
      </w:r>
      <w:r w:rsidR="008307AC">
        <w:rPr>
          <w:rFonts w:ascii="David" w:hAnsi="David" w:cs="David" w:hint="cs"/>
          <w:sz w:val="24"/>
          <w:szCs w:val="24"/>
          <w:rtl/>
        </w:rPr>
        <w:t xml:space="preserve"> בתחום הבנייה וסבסוד הדירות</w:t>
      </w:r>
      <w:r w:rsidRPr="003456FA">
        <w:rPr>
          <w:rFonts w:ascii="David" w:hAnsi="David" w:cs="David"/>
          <w:sz w:val="24"/>
          <w:szCs w:val="24"/>
          <w:rtl/>
        </w:rPr>
        <w:t xml:space="preserve"> על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משקי </w:t>
      </w:r>
      <w:r w:rsidR="0071506A" w:rsidRPr="003456FA">
        <w:rPr>
          <w:rFonts w:ascii="David" w:hAnsi="David" w:cs="David"/>
          <w:sz w:val="24"/>
          <w:szCs w:val="24"/>
          <w:rtl/>
        </w:rPr>
        <w:t>ה</w:t>
      </w:r>
      <w:r w:rsidR="00D7239B" w:rsidRPr="003456FA">
        <w:rPr>
          <w:rFonts w:ascii="David" w:hAnsi="David" w:cs="David"/>
          <w:sz w:val="24"/>
          <w:szCs w:val="24"/>
          <w:rtl/>
        </w:rPr>
        <w:t>בית שקודם לא הי</w:t>
      </w:r>
      <w:r w:rsidR="0071506A" w:rsidRPr="003456FA">
        <w:rPr>
          <w:rFonts w:ascii="David" w:hAnsi="David" w:cs="David"/>
          <w:sz w:val="24"/>
          <w:szCs w:val="24"/>
          <w:rtl/>
        </w:rPr>
        <w:t>ת</w:t>
      </w:r>
      <w:r w:rsidR="00D7239B" w:rsidRPr="003456FA">
        <w:rPr>
          <w:rFonts w:ascii="David" w:hAnsi="David" w:cs="David"/>
          <w:sz w:val="24"/>
          <w:szCs w:val="24"/>
          <w:rtl/>
        </w:rPr>
        <w:t>ה בבעלותם דירה</w:t>
      </w:r>
      <w:r w:rsidR="00BF5E94" w:rsidRPr="003456FA">
        <w:rPr>
          <w:rFonts w:ascii="David" w:hAnsi="David" w:cs="David"/>
          <w:sz w:val="24"/>
          <w:szCs w:val="24"/>
          <w:rtl/>
        </w:rPr>
        <w:t>.</w:t>
      </w:r>
      <w:r w:rsidRPr="003456FA">
        <w:rPr>
          <w:rFonts w:ascii="David" w:hAnsi="David" w:cs="David"/>
          <w:sz w:val="24"/>
          <w:szCs w:val="24"/>
          <w:rtl/>
        </w:rPr>
        <w:t xml:space="preserve"> </w:t>
      </w:r>
      <w:r w:rsidR="00370772" w:rsidRPr="003456FA">
        <w:rPr>
          <w:rFonts w:ascii="David" w:hAnsi="David" w:cs="David"/>
          <w:sz w:val="24"/>
          <w:szCs w:val="24"/>
          <w:rtl/>
        </w:rPr>
        <w:t xml:space="preserve">בחלקו הראשון של המחקר </w:t>
      </w:r>
      <w:r w:rsidRPr="003456FA">
        <w:rPr>
          <w:rFonts w:ascii="David" w:hAnsi="David" w:cs="David"/>
          <w:sz w:val="24"/>
          <w:szCs w:val="24"/>
          <w:rtl/>
        </w:rPr>
        <w:t>נבחנ</w:t>
      </w:r>
      <w:r w:rsidR="00D7239B" w:rsidRPr="003456FA">
        <w:rPr>
          <w:rFonts w:ascii="David" w:hAnsi="David" w:cs="David"/>
          <w:sz w:val="24"/>
          <w:szCs w:val="24"/>
          <w:rtl/>
        </w:rPr>
        <w:t>ו</w:t>
      </w:r>
      <w:r w:rsidRPr="003456FA">
        <w:rPr>
          <w:rFonts w:ascii="David" w:hAnsi="David" w:cs="David"/>
          <w:sz w:val="24"/>
          <w:szCs w:val="24"/>
          <w:rtl/>
        </w:rPr>
        <w:t xml:space="preserve"> המאפיינים הכלכליים־חברתיים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 – כגון גיל, מצב משפחתי והכנסה</w:t>
      </w:r>
      <w:r w:rsidRPr="003456FA">
        <w:rPr>
          <w:rFonts w:ascii="David" w:hAnsi="David" w:cs="David"/>
          <w:sz w:val="24"/>
          <w:szCs w:val="24"/>
          <w:rtl/>
        </w:rPr>
        <w:t xml:space="preserve">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– </w:t>
      </w:r>
      <w:r w:rsidRPr="003456FA">
        <w:rPr>
          <w:rFonts w:ascii="David" w:hAnsi="David" w:cs="David"/>
          <w:sz w:val="24"/>
          <w:szCs w:val="24"/>
          <w:rtl/>
        </w:rPr>
        <w:t xml:space="preserve">של רוכשי דירה לראשונה בשנים 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2016—2019 </w:t>
      </w:r>
      <w:r w:rsidRPr="003456FA">
        <w:rPr>
          <w:rFonts w:ascii="David" w:hAnsi="David" w:cs="David"/>
          <w:sz w:val="24"/>
          <w:szCs w:val="24"/>
          <w:rtl/>
        </w:rPr>
        <w:t>לעומת השנים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 2012—2015</w:t>
      </w:r>
      <w:r w:rsidRPr="003456FA">
        <w:rPr>
          <w:rFonts w:ascii="David" w:hAnsi="David" w:cs="David"/>
          <w:sz w:val="24"/>
          <w:szCs w:val="24"/>
          <w:rtl/>
        </w:rPr>
        <w:t xml:space="preserve">, </w:t>
      </w:r>
      <w:r w:rsidR="00D7239B" w:rsidRPr="003456FA">
        <w:rPr>
          <w:rFonts w:ascii="David" w:hAnsi="David" w:cs="David"/>
          <w:sz w:val="24"/>
          <w:szCs w:val="24"/>
          <w:rtl/>
        </w:rPr>
        <w:t xml:space="preserve">וכן </w:t>
      </w:r>
      <w:r w:rsidRPr="003456FA">
        <w:rPr>
          <w:rFonts w:ascii="David" w:hAnsi="David" w:cs="David"/>
          <w:sz w:val="24"/>
          <w:szCs w:val="24"/>
          <w:rtl/>
        </w:rPr>
        <w:t xml:space="preserve">מאפייני הדירות </w:t>
      </w:r>
      <w:r w:rsidR="00D7239B" w:rsidRPr="003456FA">
        <w:rPr>
          <w:rFonts w:ascii="David" w:hAnsi="David" w:cs="David"/>
          <w:sz w:val="24"/>
          <w:szCs w:val="24"/>
          <w:rtl/>
        </w:rPr>
        <w:t>שנרכשו.</w:t>
      </w:r>
      <w:r w:rsidRPr="003456FA">
        <w:rPr>
          <w:rFonts w:ascii="David" w:hAnsi="David" w:cs="David"/>
          <w:sz w:val="24"/>
          <w:szCs w:val="24"/>
          <w:rtl/>
        </w:rPr>
        <w:t xml:space="preserve"> </w:t>
      </w:r>
      <w:r w:rsidR="00226936" w:rsidRPr="003456FA">
        <w:rPr>
          <w:rFonts w:ascii="David" w:hAnsi="David" w:cs="David"/>
          <w:sz w:val="24"/>
          <w:szCs w:val="24"/>
          <w:rtl/>
        </w:rPr>
        <w:t>עבור השנים 2016—2019 נעשתה</w:t>
      </w:r>
      <w:r w:rsidRPr="003456FA">
        <w:rPr>
          <w:rFonts w:ascii="David" w:hAnsi="David" w:cs="David"/>
          <w:sz w:val="24"/>
          <w:szCs w:val="24"/>
          <w:rtl/>
        </w:rPr>
        <w:t xml:space="preserve"> הבחנה בין רוכשי </w:t>
      </w:r>
      <w:r w:rsidR="00226936" w:rsidRPr="003456FA">
        <w:rPr>
          <w:rFonts w:ascii="David" w:hAnsi="David" w:cs="David"/>
          <w:sz w:val="24"/>
          <w:szCs w:val="24"/>
          <w:rtl/>
        </w:rPr>
        <w:t xml:space="preserve">דירה </w:t>
      </w:r>
      <w:r w:rsidR="00226936" w:rsidRPr="003456FA">
        <w:rPr>
          <w:rFonts w:ascii="David" w:hAnsi="David" w:cs="David"/>
          <w:sz w:val="24"/>
          <w:szCs w:val="24"/>
          <w:rtl/>
        </w:rPr>
        <w:lastRenderedPageBreak/>
        <w:t xml:space="preserve">לראשונה במסגרת </w:t>
      </w:r>
      <w:r w:rsidRPr="003456FA">
        <w:rPr>
          <w:rFonts w:ascii="David" w:hAnsi="David" w:cs="David"/>
          <w:sz w:val="24"/>
          <w:szCs w:val="24"/>
          <w:rtl/>
        </w:rPr>
        <w:t>"מחיר למשתכן" לבין הרוכשים ב</w:t>
      </w:r>
      <w:r w:rsidR="00226936" w:rsidRPr="003456FA">
        <w:rPr>
          <w:rFonts w:ascii="David" w:hAnsi="David" w:cs="David"/>
          <w:sz w:val="24"/>
          <w:szCs w:val="24"/>
          <w:rtl/>
        </w:rPr>
        <w:t>-"</w:t>
      </w:r>
      <w:r w:rsidRPr="003456FA">
        <w:rPr>
          <w:rFonts w:ascii="David" w:hAnsi="David" w:cs="David"/>
          <w:sz w:val="24"/>
          <w:szCs w:val="24"/>
          <w:rtl/>
        </w:rPr>
        <w:t>שוק החופשי</w:t>
      </w:r>
      <w:r w:rsidR="00226936" w:rsidRPr="003456FA">
        <w:rPr>
          <w:rFonts w:ascii="David" w:hAnsi="David" w:cs="David"/>
          <w:sz w:val="24"/>
          <w:szCs w:val="24"/>
          <w:rtl/>
        </w:rPr>
        <w:t>"</w:t>
      </w:r>
      <w:r w:rsidRPr="003456FA">
        <w:rPr>
          <w:rFonts w:ascii="David" w:hAnsi="David" w:cs="David"/>
          <w:sz w:val="24"/>
          <w:szCs w:val="24"/>
          <w:rtl/>
        </w:rPr>
        <w:t xml:space="preserve">. </w:t>
      </w:r>
      <w:r w:rsidR="00370772" w:rsidRPr="003456FA">
        <w:rPr>
          <w:rFonts w:ascii="David" w:hAnsi="David" w:cs="David"/>
          <w:sz w:val="24"/>
          <w:szCs w:val="24"/>
          <w:rtl/>
        </w:rPr>
        <w:t xml:space="preserve">בחלקו השני של המחקר נבחנו התמורות שחלו בסיכוי </w:t>
      </w:r>
      <w:r w:rsidR="001A1274" w:rsidRPr="003456FA">
        <w:rPr>
          <w:rFonts w:ascii="David" w:hAnsi="David" w:cs="David"/>
          <w:sz w:val="24"/>
          <w:szCs w:val="24"/>
          <w:rtl/>
        </w:rPr>
        <w:t xml:space="preserve">של משקי בית מקבוצות שונות </w:t>
      </w:r>
      <w:r w:rsidR="00370772" w:rsidRPr="003456FA">
        <w:rPr>
          <w:rFonts w:ascii="David" w:hAnsi="David" w:cs="David"/>
          <w:sz w:val="24"/>
          <w:szCs w:val="24"/>
          <w:rtl/>
        </w:rPr>
        <w:t xml:space="preserve">לרכוש דירה לראשונה בשנים 2016—2019 לעומת השנים 2012—2015. </w:t>
      </w:r>
    </w:p>
    <w:p w14:paraId="1F3BC22A" w14:textId="77777777" w:rsidR="00017294" w:rsidRPr="003456FA" w:rsidRDefault="00017294" w:rsidP="000648F0">
      <w:pPr>
        <w:spacing w:after="8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56FA">
        <w:rPr>
          <w:rFonts w:ascii="David" w:hAnsi="David" w:cs="David"/>
          <w:sz w:val="24"/>
          <w:szCs w:val="24"/>
          <w:rtl/>
        </w:rPr>
        <w:t xml:space="preserve">הניתוח התאפשר הודות לקובץ נתונים ייחודי, </w:t>
      </w:r>
      <w:r w:rsidR="000648F0">
        <w:rPr>
          <w:rFonts w:ascii="David" w:hAnsi="David" w:cs="David" w:hint="cs"/>
          <w:sz w:val="24"/>
          <w:szCs w:val="24"/>
          <w:rtl/>
        </w:rPr>
        <w:t>המאפשר לבחון</w:t>
      </w:r>
      <w:r w:rsidR="001A1274" w:rsidRPr="003456FA">
        <w:rPr>
          <w:rFonts w:ascii="David" w:hAnsi="David" w:cs="David"/>
          <w:sz w:val="24"/>
          <w:szCs w:val="24"/>
          <w:rtl/>
        </w:rPr>
        <w:t xml:space="preserve">, בפעם הראשונה, את מאפייני רוכשי הדירות במסגרת מחיר למשתכן על בסיס מדגם מייצג של </w:t>
      </w:r>
      <w:r w:rsidR="00BF5E94" w:rsidRPr="003456FA">
        <w:rPr>
          <w:rFonts w:ascii="David" w:hAnsi="David" w:cs="David"/>
          <w:sz w:val="24"/>
          <w:szCs w:val="24"/>
          <w:rtl/>
        </w:rPr>
        <w:t>אוכלוסיית השכירים בישראל</w:t>
      </w:r>
      <w:r w:rsidR="001A1274" w:rsidRPr="003456FA">
        <w:rPr>
          <w:rFonts w:ascii="David" w:hAnsi="David" w:cs="David"/>
          <w:sz w:val="24"/>
          <w:szCs w:val="24"/>
          <w:rtl/>
        </w:rPr>
        <w:t>.</w:t>
      </w:r>
      <w:r w:rsidRPr="003456FA">
        <w:rPr>
          <w:rFonts w:ascii="David" w:hAnsi="David" w:cs="David"/>
          <w:sz w:val="24"/>
          <w:szCs w:val="24"/>
          <w:rtl/>
        </w:rPr>
        <w:t xml:space="preserve">  </w:t>
      </w:r>
    </w:p>
    <w:p w14:paraId="529489F7" w14:textId="1E9EA5E0" w:rsidR="00442E70" w:rsidRDefault="001A1274" w:rsidP="00160CCC">
      <w:pPr>
        <w:spacing w:after="8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56FA">
        <w:rPr>
          <w:rFonts w:ascii="David" w:hAnsi="David" w:cs="David"/>
          <w:sz w:val="24"/>
          <w:szCs w:val="24"/>
          <w:rtl/>
        </w:rPr>
        <w:t xml:space="preserve">במחקר </w:t>
      </w:r>
      <w:r w:rsidR="00515CDD" w:rsidRPr="003456FA">
        <w:rPr>
          <w:rFonts w:ascii="David" w:hAnsi="David" w:cs="David"/>
          <w:sz w:val="24"/>
          <w:szCs w:val="24"/>
          <w:rtl/>
        </w:rPr>
        <w:t>נמצא ש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הרוכשים בשוק החופשי בשנים </w:t>
      </w:r>
      <w:r w:rsidRPr="003456FA">
        <w:rPr>
          <w:rFonts w:ascii="David" w:hAnsi="David" w:cs="David"/>
          <w:sz w:val="24"/>
          <w:szCs w:val="24"/>
          <w:rtl/>
        </w:rPr>
        <w:t xml:space="preserve">2016—2019 היו </w:t>
      </w:r>
      <w:r w:rsidR="00442E70" w:rsidRPr="003456FA">
        <w:rPr>
          <w:rFonts w:ascii="David" w:hAnsi="David" w:cs="David"/>
          <w:sz w:val="24"/>
          <w:szCs w:val="24"/>
          <w:rtl/>
        </w:rPr>
        <w:t>דומים במאפייניהם לרוכשים בשנים 2012–2015</w:t>
      </w:r>
      <w:r w:rsidR="00BF5E94" w:rsidRPr="003456FA">
        <w:rPr>
          <w:rFonts w:ascii="David" w:hAnsi="David" w:cs="David"/>
          <w:sz w:val="24"/>
          <w:szCs w:val="24"/>
          <w:rtl/>
        </w:rPr>
        <w:t xml:space="preserve"> (לוח 1)</w:t>
      </w:r>
      <w:r w:rsidRPr="003456FA">
        <w:rPr>
          <w:rFonts w:ascii="David" w:hAnsi="David" w:cs="David"/>
          <w:sz w:val="24"/>
          <w:szCs w:val="24"/>
          <w:rtl/>
        </w:rPr>
        <w:t>.</w:t>
      </w:r>
      <w:r w:rsidR="00230571" w:rsidRPr="003456FA">
        <w:rPr>
          <w:rFonts w:ascii="David" w:hAnsi="David" w:cs="David"/>
          <w:sz w:val="24"/>
          <w:szCs w:val="24"/>
          <w:rtl/>
        </w:rPr>
        <w:t xml:space="preserve"> </w:t>
      </w:r>
      <w:r w:rsidR="0071506A" w:rsidRPr="003456FA">
        <w:rPr>
          <w:rFonts w:ascii="David" w:hAnsi="David" w:cs="David"/>
          <w:sz w:val="24"/>
          <w:szCs w:val="24"/>
          <w:rtl/>
        </w:rPr>
        <w:t xml:space="preserve">עם </w:t>
      </w:r>
      <w:r w:rsidRPr="003456FA">
        <w:rPr>
          <w:rFonts w:ascii="David" w:hAnsi="David" w:cs="David"/>
          <w:sz w:val="24"/>
          <w:szCs w:val="24"/>
          <w:rtl/>
        </w:rPr>
        <w:t>זאת,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 מאפייני הרוכשים ב</w:t>
      </w:r>
      <w:r w:rsidRPr="003456FA">
        <w:rPr>
          <w:rFonts w:ascii="David" w:hAnsi="David" w:cs="David"/>
          <w:sz w:val="24"/>
          <w:szCs w:val="24"/>
          <w:rtl/>
        </w:rPr>
        <w:t xml:space="preserve">מסגרת 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"מחיר למשתכן" </w:t>
      </w:r>
      <w:r w:rsidRPr="003456FA">
        <w:rPr>
          <w:rFonts w:ascii="David" w:hAnsi="David" w:cs="David"/>
          <w:sz w:val="24"/>
          <w:szCs w:val="24"/>
          <w:rtl/>
        </w:rPr>
        <w:t xml:space="preserve">היו 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שונים במידה מסוימת </w:t>
      </w:r>
      <w:r w:rsidR="0079554A" w:rsidRPr="003456FA">
        <w:rPr>
          <w:rFonts w:ascii="David" w:hAnsi="David" w:cs="David"/>
          <w:sz w:val="24"/>
          <w:szCs w:val="24"/>
          <w:rtl/>
        </w:rPr>
        <w:t>מאלה שרכשו דירה לראשונה בשוק ה</w:t>
      </w:r>
      <w:r w:rsidR="00160CCC">
        <w:rPr>
          <w:rFonts w:ascii="David" w:hAnsi="David" w:cs="David" w:hint="cs"/>
          <w:sz w:val="24"/>
          <w:szCs w:val="24"/>
          <w:rtl/>
        </w:rPr>
        <w:t>ח</w:t>
      </w:r>
      <w:r w:rsidR="0079554A" w:rsidRPr="003456FA">
        <w:rPr>
          <w:rFonts w:ascii="David" w:hAnsi="David" w:cs="David"/>
          <w:sz w:val="24"/>
          <w:szCs w:val="24"/>
          <w:rtl/>
        </w:rPr>
        <w:t>ופשי</w:t>
      </w:r>
      <w:r w:rsidR="00160CCC" w:rsidRPr="003456FA">
        <w:rPr>
          <w:rFonts w:ascii="David" w:hAnsi="David" w:cs="David"/>
          <w:sz w:val="24"/>
          <w:szCs w:val="24"/>
          <w:rtl/>
        </w:rPr>
        <w:t>:</w:t>
      </w:r>
      <w:r w:rsidR="0079554A" w:rsidRPr="003456FA">
        <w:rPr>
          <w:rFonts w:ascii="David" w:hAnsi="David" w:cs="David"/>
          <w:sz w:val="24"/>
          <w:szCs w:val="24"/>
          <w:rtl/>
        </w:rPr>
        <w:t xml:space="preserve"> </w:t>
      </w:r>
      <w:r w:rsidR="00442E70" w:rsidRPr="003456FA">
        <w:rPr>
          <w:rFonts w:ascii="David" w:hAnsi="David" w:cs="David"/>
          <w:sz w:val="24"/>
          <w:szCs w:val="24"/>
          <w:rtl/>
        </w:rPr>
        <w:t>שיעור הזוגות הנשואים ו</w:t>
      </w:r>
      <w:r w:rsidRPr="003456FA">
        <w:rPr>
          <w:rFonts w:ascii="David" w:hAnsi="David" w:cs="David"/>
          <w:sz w:val="24"/>
          <w:szCs w:val="24"/>
          <w:rtl/>
        </w:rPr>
        <w:t>ה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משפחות עם ילדים בקרבם </w:t>
      </w:r>
      <w:r w:rsidRPr="003456FA">
        <w:rPr>
          <w:rFonts w:ascii="David" w:hAnsi="David" w:cs="David"/>
          <w:sz w:val="24"/>
          <w:szCs w:val="24"/>
          <w:rtl/>
        </w:rPr>
        <w:t xml:space="preserve">היה </w:t>
      </w:r>
      <w:r w:rsidR="00442E70" w:rsidRPr="003456FA">
        <w:rPr>
          <w:rFonts w:ascii="David" w:hAnsi="David" w:cs="David"/>
          <w:sz w:val="24"/>
          <w:szCs w:val="24"/>
          <w:rtl/>
        </w:rPr>
        <w:t>גבוה יותר ביחס לרוכשים בשוק החופשי</w:t>
      </w:r>
      <w:r w:rsidRPr="003456FA">
        <w:rPr>
          <w:rFonts w:ascii="David" w:hAnsi="David" w:cs="David"/>
          <w:sz w:val="24"/>
          <w:szCs w:val="24"/>
          <w:rtl/>
        </w:rPr>
        <w:t>.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 </w:t>
      </w:r>
      <w:r w:rsidRPr="003456FA">
        <w:rPr>
          <w:rFonts w:ascii="David" w:hAnsi="David" w:cs="David"/>
          <w:sz w:val="24"/>
          <w:szCs w:val="24"/>
          <w:rtl/>
        </w:rPr>
        <w:t>כאשר מתמקדים במשקי בית נשואים בלבד</w:t>
      </w:r>
      <w:r w:rsidR="00BF5E94" w:rsidRPr="003456FA">
        <w:rPr>
          <w:rFonts w:ascii="David" w:hAnsi="David" w:cs="David"/>
          <w:sz w:val="24"/>
          <w:szCs w:val="24"/>
          <w:rtl/>
        </w:rPr>
        <w:t xml:space="preserve"> (כלומר, עם שני מפרנסים פוטנציאליים)</w:t>
      </w:r>
      <w:r w:rsidRPr="003456FA">
        <w:rPr>
          <w:rFonts w:ascii="David" w:hAnsi="David" w:cs="David"/>
          <w:sz w:val="24"/>
          <w:szCs w:val="24"/>
          <w:rtl/>
        </w:rPr>
        <w:t xml:space="preserve">, </w:t>
      </w:r>
      <w:r w:rsidR="0079554A" w:rsidRPr="003456FA">
        <w:rPr>
          <w:rFonts w:ascii="David" w:hAnsi="David" w:cs="David"/>
          <w:sz w:val="24"/>
          <w:szCs w:val="24"/>
          <w:rtl/>
        </w:rPr>
        <w:t xml:space="preserve">נמצא </w:t>
      </w:r>
      <w:r w:rsidR="00442E70" w:rsidRPr="003456FA">
        <w:rPr>
          <w:rFonts w:ascii="David" w:hAnsi="David" w:cs="David"/>
          <w:sz w:val="24"/>
          <w:szCs w:val="24"/>
          <w:rtl/>
        </w:rPr>
        <w:t>שהכנסתם</w:t>
      </w:r>
      <w:r w:rsidRPr="003456FA">
        <w:rPr>
          <w:rFonts w:ascii="David" w:hAnsi="David" w:cs="David"/>
          <w:sz w:val="24"/>
          <w:szCs w:val="24"/>
          <w:rtl/>
        </w:rPr>
        <w:t xml:space="preserve"> הממוצעת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 </w:t>
      </w:r>
      <w:r w:rsidRPr="003456FA">
        <w:rPr>
          <w:rFonts w:ascii="David" w:hAnsi="David" w:cs="David"/>
          <w:sz w:val="24"/>
          <w:szCs w:val="24"/>
          <w:rtl/>
        </w:rPr>
        <w:t>של הרוכשים במחיר למשתכן הי</w:t>
      </w:r>
      <w:r w:rsidR="00884CBC" w:rsidRPr="003456FA">
        <w:rPr>
          <w:rFonts w:ascii="David" w:hAnsi="David" w:cs="David"/>
          <w:sz w:val="24"/>
          <w:szCs w:val="24"/>
          <w:rtl/>
        </w:rPr>
        <w:t>י</w:t>
      </w:r>
      <w:r w:rsidRPr="003456FA">
        <w:rPr>
          <w:rFonts w:ascii="David" w:hAnsi="David" w:cs="David"/>
          <w:sz w:val="24"/>
          <w:szCs w:val="24"/>
          <w:rtl/>
        </w:rPr>
        <w:t xml:space="preserve">תה </w:t>
      </w:r>
      <w:r w:rsidR="00442E70" w:rsidRPr="003456FA">
        <w:rPr>
          <w:rFonts w:ascii="David" w:hAnsi="David" w:cs="David"/>
          <w:sz w:val="24"/>
          <w:szCs w:val="24"/>
          <w:rtl/>
        </w:rPr>
        <w:t xml:space="preserve">דומה </w:t>
      </w:r>
      <w:r w:rsidRPr="003456FA">
        <w:rPr>
          <w:rFonts w:ascii="David" w:hAnsi="David" w:cs="David"/>
          <w:sz w:val="24"/>
          <w:szCs w:val="24"/>
          <w:rtl/>
        </w:rPr>
        <w:t xml:space="preserve">לזו </w:t>
      </w:r>
      <w:r w:rsidR="00442E70" w:rsidRPr="003456FA">
        <w:rPr>
          <w:rFonts w:ascii="David" w:hAnsi="David" w:cs="David"/>
          <w:sz w:val="24"/>
          <w:szCs w:val="24"/>
          <w:rtl/>
        </w:rPr>
        <w:t>של הרוכשים בשוק החופשי</w:t>
      </w:r>
      <w:r w:rsidRPr="003456FA">
        <w:rPr>
          <w:rFonts w:ascii="David" w:hAnsi="David" w:cs="David"/>
          <w:sz w:val="24"/>
          <w:szCs w:val="24"/>
          <w:rtl/>
        </w:rPr>
        <w:t>.</w:t>
      </w:r>
    </w:p>
    <w:p w14:paraId="474E479C" w14:textId="77777777" w:rsidR="007C3099" w:rsidRPr="003456FA" w:rsidRDefault="007C3099" w:rsidP="00160CCC">
      <w:pPr>
        <w:spacing w:after="8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77DB83A" w14:textId="77777777" w:rsidR="004D7B44" w:rsidRPr="00931CDB" w:rsidRDefault="00E84F29" w:rsidP="007C3099">
      <w:pPr>
        <w:pStyle w:val="3"/>
        <w:jc w:val="center"/>
        <w:rPr>
          <w:rFonts w:ascii="David" w:hAnsi="David" w:cs="David"/>
          <w:color w:val="auto"/>
          <w:sz w:val="28"/>
          <w:szCs w:val="28"/>
          <w:rtl/>
        </w:rPr>
      </w:pPr>
      <w:r w:rsidRPr="00931CDB">
        <w:rPr>
          <w:rFonts w:ascii="David" w:hAnsi="David" w:cs="David"/>
          <w:color w:val="auto"/>
          <w:sz w:val="28"/>
          <w:szCs w:val="28"/>
          <w:rtl/>
        </w:rPr>
        <w:t>לוח 1: מאפייני רוכשי הדירה לראשונה ופוטנציאל הרוכשים</w:t>
      </w:r>
      <w:r w:rsidRPr="00931CDB">
        <w:rPr>
          <w:rFonts w:ascii="David" w:hAnsi="David" w:cs="David"/>
          <w:color w:val="auto"/>
          <w:sz w:val="28"/>
          <w:szCs w:val="28"/>
          <w:vertAlign w:val="superscript"/>
          <w:rtl/>
        </w:rPr>
        <w:t>1</w:t>
      </w:r>
      <w:r w:rsidR="009029BC" w:rsidRPr="00931CDB">
        <w:rPr>
          <w:rFonts w:ascii="David" w:hAnsi="David" w:cs="David"/>
          <w:color w:val="auto"/>
          <w:sz w:val="28"/>
          <w:szCs w:val="28"/>
          <w:rtl/>
        </w:rPr>
        <w:t xml:space="preserve"> זוגות בלבד</w:t>
      </w:r>
      <w:r w:rsidR="009029BC" w:rsidRPr="00931CDB">
        <w:rPr>
          <w:rFonts w:ascii="David" w:hAnsi="David" w:cs="David"/>
          <w:color w:val="auto"/>
          <w:sz w:val="28"/>
          <w:szCs w:val="28"/>
          <w:vertAlign w:val="superscript"/>
          <w:rtl/>
        </w:rPr>
        <w:t>2</w:t>
      </w:r>
      <w:r w:rsidR="009029BC" w:rsidRPr="00931CDB">
        <w:rPr>
          <w:rFonts w:ascii="David" w:hAnsi="David" w:cs="David"/>
          <w:color w:val="auto"/>
          <w:sz w:val="28"/>
          <w:szCs w:val="28"/>
          <w:rtl/>
        </w:rPr>
        <w:t>.</w:t>
      </w:r>
    </w:p>
    <w:tbl>
      <w:tblPr>
        <w:tblStyle w:val="a9"/>
        <w:bidiVisual/>
        <w:tblW w:w="0" w:type="auto"/>
        <w:tblLayout w:type="fixed"/>
        <w:tblLook w:val="04A0" w:firstRow="1" w:lastRow="0" w:firstColumn="1" w:lastColumn="0" w:noHBand="0" w:noVBand="1"/>
        <w:tblCaption w:val="לוח 1: מאפייני רוכשי הדירה לראשונה ופוטנציאל הרוכשים  זוגות בלבד "/>
        <w:tblDescription w:val="בלוח מוצגים שיעור משפחות עם ילדים, הכנסה נטו ממוצעת למשק בית וגיל ממוצע עבור רוכשים בשוק החופשי, רוכשים במחיר למשתכן ופוטנציאל הרוכשים. הנתונים מוצגים עבור שתי תקופות: 2012-2015 ו-2016-2019"/>
      </w:tblPr>
      <w:tblGrid>
        <w:gridCol w:w="1095"/>
        <w:gridCol w:w="970"/>
        <w:gridCol w:w="24"/>
        <w:gridCol w:w="851"/>
        <w:gridCol w:w="990"/>
        <w:gridCol w:w="911"/>
        <w:gridCol w:w="1084"/>
        <w:gridCol w:w="1125"/>
        <w:gridCol w:w="851"/>
        <w:gridCol w:w="900"/>
        <w:gridCol w:w="935"/>
      </w:tblGrid>
      <w:tr w:rsidR="00E84F29" w:rsidRPr="00931CDB" w14:paraId="7CBC3620" w14:textId="77777777" w:rsidTr="00F93A7D">
        <w:trPr>
          <w:tblHeader/>
        </w:trPr>
        <w:tc>
          <w:tcPr>
            <w:tcW w:w="1095" w:type="dxa"/>
          </w:tcPr>
          <w:p w14:paraId="1D114757" w14:textId="77777777" w:rsidR="00C945CF" w:rsidRPr="00931CDB" w:rsidRDefault="00C945CF" w:rsidP="00E84F29">
            <w:pPr>
              <w:spacing w:after="8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</w:tcPr>
          <w:p w14:paraId="3AEA85E9" w14:textId="77777777" w:rsidR="00C945CF" w:rsidRPr="00931CDB" w:rsidRDefault="005E3D8E" w:rsidP="007C3099">
            <w:pPr>
              <w:pStyle w:val="3"/>
              <w:jc w:val="center"/>
              <w:outlineLvl w:val="2"/>
              <w:rPr>
                <w:rFonts w:ascii="David" w:hAnsi="David" w:cs="David"/>
                <w:color w:val="auto"/>
                <w:sz w:val="24"/>
                <w:szCs w:val="24"/>
                <w:rtl/>
              </w:rPr>
            </w:pPr>
            <w:r w:rsidRPr="00931CDB">
              <w:rPr>
                <w:rFonts w:ascii="David" w:hAnsi="David" w:cs="David"/>
                <w:color w:val="auto"/>
                <w:sz w:val="24"/>
                <w:szCs w:val="24"/>
                <w:rtl/>
              </w:rPr>
              <w:t>שיעור משפחות עם ילדים</w:t>
            </w:r>
            <w:r w:rsidR="00A54224">
              <w:rPr>
                <w:rFonts w:ascii="David" w:hAnsi="David" w:cs="David" w:hint="cs"/>
                <w:color w:val="auto"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3120" w:type="dxa"/>
            <w:gridSpan w:val="3"/>
          </w:tcPr>
          <w:p w14:paraId="5220030D" w14:textId="77777777" w:rsidR="00C945CF" w:rsidRPr="00931CDB" w:rsidRDefault="00E04BE5" w:rsidP="007C3099">
            <w:pPr>
              <w:pStyle w:val="3"/>
              <w:jc w:val="center"/>
              <w:outlineLvl w:val="2"/>
              <w:rPr>
                <w:rFonts w:ascii="David" w:hAnsi="David" w:cs="David"/>
                <w:color w:val="auto"/>
                <w:sz w:val="24"/>
                <w:szCs w:val="24"/>
                <w:rtl/>
              </w:rPr>
            </w:pPr>
            <w:r w:rsidRPr="00931CDB">
              <w:rPr>
                <w:rFonts w:ascii="David" w:hAnsi="David" w:cs="David"/>
                <w:color w:val="auto"/>
                <w:sz w:val="24"/>
                <w:szCs w:val="24"/>
                <w:rtl/>
              </w:rPr>
              <w:t>הכנסה</w:t>
            </w:r>
            <w:r w:rsidR="00A54224">
              <w:rPr>
                <w:rFonts w:ascii="David" w:hAnsi="David" w:cs="David" w:hint="cs"/>
                <w:color w:val="auto"/>
                <w:sz w:val="24"/>
                <w:szCs w:val="24"/>
                <w:rtl/>
              </w:rPr>
              <w:t xml:space="preserve"> שנתית</w:t>
            </w:r>
            <w:r w:rsidRPr="00931CDB">
              <w:rPr>
                <w:rFonts w:ascii="David" w:hAnsi="David" w:cs="David"/>
                <w:color w:val="auto"/>
                <w:sz w:val="24"/>
                <w:szCs w:val="24"/>
                <w:rtl/>
              </w:rPr>
              <w:t xml:space="preserve"> נטו ממוצעת למשק </w:t>
            </w:r>
            <w:r w:rsidR="009029BC" w:rsidRPr="00931CDB">
              <w:rPr>
                <w:rFonts w:ascii="David" w:hAnsi="David" w:cs="David"/>
                <w:color w:val="auto"/>
                <w:sz w:val="24"/>
                <w:szCs w:val="24"/>
                <w:rtl/>
              </w:rPr>
              <w:t>בית</w:t>
            </w:r>
            <w:r w:rsidR="009029BC" w:rsidRPr="00931CDB">
              <w:rPr>
                <w:rFonts w:ascii="David" w:hAnsi="David" w:cs="David"/>
                <w:color w:val="auto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2686" w:type="dxa"/>
            <w:gridSpan w:val="3"/>
          </w:tcPr>
          <w:p w14:paraId="3121E789" w14:textId="77777777" w:rsidR="00C945CF" w:rsidRPr="00931CDB" w:rsidRDefault="00CE4DC6" w:rsidP="007C3099">
            <w:pPr>
              <w:pStyle w:val="3"/>
              <w:jc w:val="center"/>
              <w:outlineLvl w:val="2"/>
              <w:rPr>
                <w:rFonts w:ascii="David" w:hAnsi="David" w:cs="David"/>
                <w:color w:val="auto"/>
                <w:sz w:val="24"/>
                <w:szCs w:val="24"/>
              </w:rPr>
            </w:pPr>
            <w:r w:rsidRPr="00931CDB">
              <w:rPr>
                <w:rFonts w:ascii="David" w:hAnsi="David" w:cs="David"/>
                <w:color w:val="auto"/>
                <w:sz w:val="24"/>
                <w:szCs w:val="24"/>
                <w:rtl/>
              </w:rPr>
              <w:t>גיל ממוצע</w:t>
            </w:r>
          </w:p>
        </w:tc>
      </w:tr>
      <w:tr w:rsidR="009029BC" w:rsidRPr="00931CDB" w14:paraId="1735C7D3" w14:textId="77777777" w:rsidTr="00F93A7D">
        <w:tc>
          <w:tcPr>
            <w:tcW w:w="1095" w:type="dxa"/>
          </w:tcPr>
          <w:p w14:paraId="5B757524" w14:textId="77777777" w:rsidR="002F0F71" w:rsidRPr="00931CDB" w:rsidRDefault="002F0F71" w:rsidP="00E84F29">
            <w:pPr>
              <w:spacing w:after="8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94" w:type="dxa"/>
            <w:gridSpan w:val="2"/>
          </w:tcPr>
          <w:p w14:paraId="441BC84F" w14:textId="77777777" w:rsidR="002F0F71" w:rsidRPr="00931CDB" w:rsidRDefault="00F42158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בשוק החופשי</w:t>
            </w:r>
          </w:p>
        </w:tc>
        <w:tc>
          <w:tcPr>
            <w:tcW w:w="851" w:type="dxa"/>
          </w:tcPr>
          <w:p w14:paraId="78E05D8E" w14:textId="77777777" w:rsidR="002F0F71" w:rsidRPr="00931CDB" w:rsidRDefault="00F42158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במסגרת "מחיר למשתכן"</w:t>
            </w:r>
          </w:p>
        </w:tc>
        <w:tc>
          <w:tcPr>
            <w:tcW w:w="990" w:type="dxa"/>
          </w:tcPr>
          <w:p w14:paraId="52720F24" w14:textId="77777777" w:rsidR="002F0F71" w:rsidRPr="00931CDB" w:rsidRDefault="00F42158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פוטנציאל הרוכשים לראשונה</w:t>
            </w:r>
          </w:p>
        </w:tc>
        <w:tc>
          <w:tcPr>
            <w:tcW w:w="911" w:type="dxa"/>
          </w:tcPr>
          <w:p w14:paraId="7CBBA9F9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בשוק החופשי</w:t>
            </w:r>
          </w:p>
        </w:tc>
        <w:tc>
          <w:tcPr>
            <w:tcW w:w="1084" w:type="dxa"/>
          </w:tcPr>
          <w:p w14:paraId="4674A3C0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במסגרת "מחיר למשתכן"</w:t>
            </w:r>
          </w:p>
        </w:tc>
        <w:tc>
          <w:tcPr>
            <w:tcW w:w="1125" w:type="dxa"/>
          </w:tcPr>
          <w:p w14:paraId="03BAE4FB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פוטנציאל הרוכשים לראשונה</w:t>
            </w:r>
          </w:p>
        </w:tc>
        <w:tc>
          <w:tcPr>
            <w:tcW w:w="851" w:type="dxa"/>
          </w:tcPr>
          <w:p w14:paraId="33EF17B3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בשוק החופשי</w:t>
            </w:r>
          </w:p>
        </w:tc>
        <w:tc>
          <w:tcPr>
            <w:tcW w:w="900" w:type="dxa"/>
          </w:tcPr>
          <w:p w14:paraId="766CEF70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רכשו במסגרת "מחיר למשתכן"</w:t>
            </w:r>
          </w:p>
        </w:tc>
        <w:tc>
          <w:tcPr>
            <w:tcW w:w="935" w:type="dxa"/>
          </w:tcPr>
          <w:p w14:paraId="4C2A8B7B" w14:textId="77777777" w:rsidR="002F0F71" w:rsidRPr="00931CDB" w:rsidRDefault="00F312E2" w:rsidP="007C3099">
            <w:pPr>
              <w:spacing w:after="80" w:line="360" w:lineRule="auto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931CDB">
              <w:rPr>
                <w:rFonts w:ascii="David" w:hAnsi="David" w:cs="David"/>
                <w:sz w:val="18"/>
                <w:szCs w:val="18"/>
                <w:rtl/>
              </w:rPr>
              <w:t>פוטנציאל הרוכשים לראשונה</w:t>
            </w:r>
          </w:p>
        </w:tc>
      </w:tr>
      <w:tr w:rsidR="009029BC" w:rsidRPr="00931CDB" w14:paraId="0E3980FE" w14:textId="77777777" w:rsidTr="00F93A7D">
        <w:tc>
          <w:tcPr>
            <w:tcW w:w="1095" w:type="dxa"/>
          </w:tcPr>
          <w:p w14:paraId="053FB0D7" w14:textId="77777777" w:rsidR="002F0F71" w:rsidRPr="00931CDB" w:rsidRDefault="002F0F71" w:rsidP="00E84F29">
            <w:pPr>
              <w:spacing w:after="80" w:line="360" w:lineRule="auto"/>
              <w:rPr>
                <w:rFonts w:ascii="David" w:hAnsi="David" w:cs="David"/>
                <w:rtl/>
              </w:rPr>
            </w:pPr>
            <w:r w:rsidRPr="00931CDB">
              <w:rPr>
                <w:rFonts w:ascii="David" w:hAnsi="David" w:cs="David"/>
                <w:rtl/>
              </w:rPr>
              <w:t>2012-2015</w:t>
            </w:r>
          </w:p>
        </w:tc>
        <w:tc>
          <w:tcPr>
            <w:tcW w:w="970" w:type="dxa"/>
          </w:tcPr>
          <w:p w14:paraId="776FCAA5" w14:textId="77777777" w:rsidR="002F0F71" w:rsidRPr="007C3099" w:rsidRDefault="00A5422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 w:hint="cs"/>
                <w:sz w:val="22"/>
                <w:szCs w:val="22"/>
                <w:rtl/>
              </w:rPr>
              <w:t>65</w:t>
            </w:r>
          </w:p>
        </w:tc>
        <w:tc>
          <w:tcPr>
            <w:tcW w:w="875" w:type="dxa"/>
            <w:gridSpan w:val="2"/>
          </w:tcPr>
          <w:p w14:paraId="16BE1208" w14:textId="77777777" w:rsidR="002F0F71" w:rsidRPr="007C3099" w:rsidRDefault="002F0F71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14C67A93" w14:textId="77777777" w:rsidR="002F0F71" w:rsidRPr="007C3099" w:rsidRDefault="00A5422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 w:hint="cs"/>
                <w:sz w:val="22"/>
                <w:szCs w:val="22"/>
                <w:rtl/>
              </w:rPr>
              <w:t>77</w:t>
            </w:r>
          </w:p>
        </w:tc>
        <w:tc>
          <w:tcPr>
            <w:tcW w:w="911" w:type="dxa"/>
          </w:tcPr>
          <w:p w14:paraId="1D591FB0" w14:textId="77777777" w:rsidR="002F0F71" w:rsidRPr="007C3099" w:rsidRDefault="00B35DAC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163,519</w:t>
            </w:r>
          </w:p>
        </w:tc>
        <w:tc>
          <w:tcPr>
            <w:tcW w:w="1084" w:type="dxa"/>
          </w:tcPr>
          <w:p w14:paraId="7F2164F2" w14:textId="77777777" w:rsidR="002F0F71" w:rsidRPr="007C3099" w:rsidRDefault="002F0F71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5" w:type="dxa"/>
          </w:tcPr>
          <w:p w14:paraId="3F2A9917" w14:textId="77777777" w:rsidR="002F0F71" w:rsidRPr="007C3099" w:rsidRDefault="00B35DAC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106,001</w:t>
            </w:r>
          </w:p>
        </w:tc>
        <w:tc>
          <w:tcPr>
            <w:tcW w:w="851" w:type="dxa"/>
          </w:tcPr>
          <w:p w14:paraId="603FE6E3" w14:textId="77777777" w:rsidR="002F0F71" w:rsidRPr="007C3099" w:rsidRDefault="00273447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30.4</w:t>
            </w:r>
          </w:p>
        </w:tc>
        <w:tc>
          <w:tcPr>
            <w:tcW w:w="900" w:type="dxa"/>
          </w:tcPr>
          <w:p w14:paraId="0E898303" w14:textId="77777777" w:rsidR="002F0F71" w:rsidRPr="007C3099" w:rsidRDefault="002F0F71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935" w:type="dxa"/>
          </w:tcPr>
          <w:p w14:paraId="4C73B6D2" w14:textId="77777777" w:rsidR="002F0F71" w:rsidRPr="007C3099" w:rsidRDefault="00273447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33.4</w:t>
            </w:r>
          </w:p>
        </w:tc>
      </w:tr>
      <w:tr w:rsidR="009029BC" w:rsidRPr="00931CDB" w14:paraId="06552273" w14:textId="77777777" w:rsidTr="00F93A7D">
        <w:tc>
          <w:tcPr>
            <w:tcW w:w="1095" w:type="dxa"/>
          </w:tcPr>
          <w:p w14:paraId="4F163690" w14:textId="77777777" w:rsidR="002F0F71" w:rsidRPr="00931CDB" w:rsidRDefault="002F0F71" w:rsidP="00E84F29">
            <w:pPr>
              <w:spacing w:after="80" w:line="360" w:lineRule="auto"/>
              <w:rPr>
                <w:rFonts w:ascii="David" w:hAnsi="David" w:cs="David"/>
                <w:rtl/>
              </w:rPr>
            </w:pPr>
            <w:r w:rsidRPr="00931CDB">
              <w:rPr>
                <w:rFonts w:ascii="David" w:hAnsi="David" w:cs="David"/>
                <w:rtl/>
              </w:rPr>
              <w:t>2016-2019</w:t>
            </w:r>
          </w:p>
        </w:tc>
        <w:tc>
          <w:tcPr>
            <w:tcW w:w="970" w:type="dxa"/>
          </w:tcPr>
          <w:p w14:paraId="2238052F" w14:textId="77777777" w:rsidR="002F0F71" w:rsidRPr="007C3099" w:rsidRDefault="00A5422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 w:hint="cs"/>
                <w:sz w:val="22"/>
                <w:szCs w:val="22"/>
                <w:rtl/>
              </w:rPr>
              <w:t>68</w:t>
            </w:r>
          </w:p>
        </w:tc>
        <w:tc>
          <w:tcPr>
            <w:tcW w:w="875" w:type="dxa"/>
            <w:gridSpan w:val="2"/>
          </w:tcPr>
          <w:p w14:paraId="5A2BB1DE" w14:textId="77777777" w:rsidR="002F0F71" w:rsidRPr="007C3099" w:rsidRDefault="00A5422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 w:hint="cs"/>
                <w:sz w:val="22"/>
                <w:szCs w:val="22"/>
                <w:rtl/>
              </w:rPr>
              <w:t>77</w:t>
            </w:r>
          </w:p>
        </w:tc>
        <w:tc>
          <w:tcPr>
            <w:tcW w:w="990" w:type="dxa"/>
          </w:tcPr>
          <w:p w14:paraId="59536AA9" w14:textId="77777777" w:rsidR="002F0F71" w:rsidRPr="007C3099" w:rsidRDefault="00A5422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 w:hint="cs"/>
                <w:sz w:val="22"/>
                <w:szCs w:val="22"/>
                <w:rtl/>
              </w:rPr>
              <w:t>77</w:t>
            </w:r>
          </w:p>
        </w:tc>
        <w:tc>
          <w:tcPr>
            <w:tcW w:w="911" w:type="dxa"/>
          </w:tcPr>
          <w:p w14:paraId="702FCD81" w14:textId="77777777" w:rsidR="002F0F71" w:rsidRPr="007C3099" w:rsidRDefault="00D44D5D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177,843</w:t>
            </w:r>
          </w:p>
        </w:tc>
        <w:tc>
          <w:tcPr>
            <w:tcW w:w="1084" w:type="dxa"/>
          </w:tcPr>
          <w:p w14:paraId="74EBAE38" w14:textId="77777777" w:rsidR="002F0F71" w:rsidRPr="007C3099" w:rsidRDefault="00D44D5D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189,039</w:t>
            </w:r>
          </w:p>
        </w:tc>
        <w:tc>
          <w:tcPr>
            <w:tcW w:w="1125" w:type="dxa"/>
          </w:tcPr>
          <w:p w14:paraId="10878AF7" w14:textId="77777777" w:rsidR="002F0F71" w:rsidRPr="007C3099" w:rsidRDefault="00D44D5D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118,580</w:t>
            </w:r>
          </w:p>
        </w:tc>
        <w:tc>
          <w:tcPr>
            <w:tcW w:w="851" w:type="dxa"/>
          </w:tcPr>
          <w:p w14:paraId="3AEAD982" w14:textId="77777777" w:rsidR="002F0F71" w:rsidRPr="007C3099" w:rsidRDefault="008208E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30.4</w:t>
            </w:r>
          </w:p>
        </w:tc>
        <w:tc>
          <w:tcPr>
            <w:tcW w:w="900" w:type="dxa"/>
          </w:tcPr>
          <w:p w14:paraId="5EA71768" w14:textId="77777777" w:rsidR="002F0F71" w:rsidRPr="007C3099" w:rsidRDefault="008208E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31.2</w:t>
            </w:r>
          </w:p>
        </w:tc>
        <w:tc>
          <w:tcPr>
            <w:tcW w:w="935" w:type="dxa"/>
          </w:tcPr>
          <w:p w14:paraId="4B39E00D" w14:textId="77777777" w:rsidR="002F0F71" w:rsidRPr="007C3099" w:rsidRDefault="008208E4" w:rsidP="007C3099">
            <w:pPr>
              <w:spacing w:after="80"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7C3099">
              <w:rPr>
                <w:rFonts w:ascii="David" w:hAnsi="David" w:cs="David"/>
                <w:sz w:val="22"/>
                <w:szCs w:val="22"/>
                <w:rtl/>
              </w:rPr>
              <w:t>33.2</w:t>
            </w:r>
          </w:p>
        </w:tc>
      </w:tr>
    </w:tbl>
    <w:p w14:paraId="18E902B3" w14:textId="77777777" w:rsidR="00962960" w:rsidRPr="00931CDB" w:rsidRDefault="00884CBC" w:rsidP="00884CBC">
      <w:pPr>
        <w:spacing w:after="0"/>
        <w:jc w:val="both"/>
        <w:rPr>
          <w:rFonts w:ascii="David" w:eastAsia="Times New Roman" w:hAnsi="David" w:cs="David"/>
          <w:color w:val="000000"/>
          <w:sz w:val="20"/>
          <w:szCs w:val="20"/>
          <w:rtl/>
        </w:rPr>
      </w:pPr>
      <w:r w:rsidRPr="00931CDB">
        <w:rPr>
          <w:rFonts w:ascii="David" w:eastAsia="Times New Roman" w:hAnsi="David" w:cs="David"/>
          <w:color w:val="000000"/>
          <w:sz w:val="20"/>
          <w:szCs w:val="20"/>
          <w:vertAlign w:val="superscript"/>
          <w:rtl/>
        </w:rPr>
        <w:t>1</w:t>
      </w:r>
      <w:r w:rsidRPr="00931CDB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פוטנציאל הרוכשים כולל את כל מי שעד אותה שנה לא הי</w:t>
      </w:r>
      <w:r w:rsidR="0015664C" w:rsidRPr="00931CDB">
        <w:rPr>
          <w:rFonts w:ascii="David" w:eastAsia="Times New Roman" w:hAnsi="David" w:cs="David"/>
          <w:color w:val="000000"/>
          <w:sz w:val="20"/>
          <w:szCs w:val="20"/>
          <w:rtl/>
        </w:rPr>
        <w:t>ת</w:t>
      </w:r>
      <w:r w:rsidRPr="00931CDB">
        <w:rPr>
          <w:rFonts w:ascii="David" w:eastAsia="Times New Roman" w:hAnsi="David" w:cs="David"/>
          <w:color w:val="000000"/>
          <w:sz w:val="20"/>
          <w:szCs w:val="20"/>
          <w:rtl/>
        </w:rPr>
        <w:t>ה בבעלותו דירה מעולם; אוכלוסיית המחקר כוללת שכירים עד גיל 40</w:t>
      </w:r>
    </w:p>
    <w:p w14:paraId="3E194F0A" w14:textId="77777777" w:rsidR="00962960" w:rsidRPr="00931CDB" w:rsidRDefault="00884CBC" w:rsidP="00884CBC">
      <w:pPr>
        <w:spacing w:before="40" w:after="0"/>
        <w:rPr>
          <w:rFonts w:ascii="David" w:eastAsia="Times New Roman" w:hAnsi="David" w:cs="David"/>
          <w:color w:val="000000"/>
          <w:sz w:val="20"/>
          <w:szCs w:val="20"/>
          <w:rtl/>
        </w:rPr>
      </w:pPr>
      <w:r w:rsidRPr="00931CDB">
        <w:rPr>
          <w:rFonts w:ascii="David" w:eastAsia="Times New Roman" w:hAnsi="David" w:cs="David"/>
          <w:color w:val="000000"/>
          <w:sz w:val="20"/>
          <w:szCs w:val="20"/>
          <w:vertAlign w:val="superscript"/>
          <w:rtl/>
        </w:rPr>
        <w:t>2</w:t>
      </w:r>
      <w:r w:rsidRPr="00931CDB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 </w:t>
      </w:r>
      <w:r w:rsidR="00962960" w:rsidRPr="00931CDB">
        <w:rPr>
          <w:rFonts w:ascii="David" w:eastAsia="Times New Roman" w:hAnsi="David" w:cs="David"/>
          <w:color w:val="000000"/>
          <w:sz w:val="20"/>
          <w:szCs w:val="20"/>
          <w:rtl/>
        </w:rPr>
        <w:t>זוגות נשואים הם זוגות המתגוררים יחד ומנהלים משק בית משותף.</w:t>
      </w:r>
    </w:p>
    <w:p w14:paraId="6BFA0D72" w14:textId="798DF4B7" w:rsidR="00962960" w:rsidRPr="007C3099" w:rsidRDefault="008307AC" w:rsidP="007C3099">
      <w:pPr>
        <w:spacing w:before="20" w:after="20" w:line="240" w:lineRule="auto"/>
        <w:rPr>
          <w:rFonts w:ascii="David" w:eastAsia="Times New Roman" w:hAnsi="David" w:cs="David"/>
          <w:color w:val="000000"/>
          <w:sz w:val="20"/>
          <w:szCs w:val="20"/>
        </w:rPr>
      </w:pPr>
      <w:r>
        <w:rPr>
          <w:rFonts w:ascii="David" w:eastAsia="Times New Roman" w:hAnsi="David" w:cs="David" w:hint="cs"/>
          <w:color w:val="000000"/>
          <w:sz w:val="20"/>
          <w:szCs w:val="20"/>
          <w:vertAlign w:val="superscript"/>
          <w:rtl/>
        </w:rPr>
        <w:t>3</w:t>
      </w:r>
      <w:r w:rsidRPr="00931CDB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הנתון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של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הכנסה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מתייחס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להכנסה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נטו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של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משקי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בית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מעבודה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שכירה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, </w:t>
      </w:r>
      <w:r w:rsidR="00962960" w:rsidRPr="007C3099">
        <w:rPr>
          <w:rFonts w:ascii="David" w:eastAsia="Times New Roman" w:hAnsi="David" w:cs="David" w:hint="eastAsia"/>
          <w:color w:val="000000"/>
          <w:sz w:val="20"/>
          <w:szCs w:val="20"/>
          <w:rtl/>
        </w:rPr>
        <w:t>במחירי</w:t>
      </w:r>
      <w:r w:rsidR="00962960" w:rsidRPr="007C3099">
        <w:rPr>
          <w:rFonts w:ascii="David" w:eastAsia="Times New Roman" w:hAnsi="David" w:cs="David"/>
          <w:color w:val="000000"/>
          <w:sz w:val="20"/>
          <w:szCs w:val="20"/>
          <w:rtl/>
        </w:rPr>
        <w:t xml:space="preserve"> 2018. </w:t>
      </w:r>
    </w:p>
    <w:p w14:paraId="72E2ADF2" w14:textId="77777777" w:rsidR="00962960" w:rsidRPr="00931CDB" w:rsidRDefault="00962960" w:rsidP="001A1274">
      <w:pPr>
        <w:spacing w:after="8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D380D87" w14:textId="77777777" w:rsidR="00A6038C" w:rsidRDefault="00A6038C" w:rsidP="00A6038C">
      <w:pPr>
        <w:spacing w:after="0" w:line="360" w:lineRule="auto"/>
        <w:contextualSpacing/>
        <w:jc w:val="both"/>
        <w:rPr>
          <w:rFonts w:ascii="David" w:hAnsi="David" w:cs="David"/>
          <w:i/>
          <w:sz w:val="24"/>
          <w:szCs w:val="24"/>
          <w:rtl/>
        </w:rPr>
      </w:pPr>
    </w:p>
    <w:p w14:paraId="6A6BF48B" w14:textId="77777777" w:rsidR="00837371" w:rsidRPr="001130C0" w:rsidRDefault="00370772" w:rsidP="00A6038C">
      <w:pPr>
        <w:spacing w:after="0" w:line="360" w:lineRule="auto"/>
        <w:contextualSpacing/>
        <w:jc w:val="both"/>
        <w:rPr>
          <w:rFonts w:ascii="David" w:hAnsi="David" w:cs="David"/>
          <w:b/>
          <w:bCs/>
          <w:i/>
          <w:sz w:val="24"/>
          <w:szCs w:val="24"/>
        </w:rPr>
      </w:pPr>
      <w:r w:rsidRPr="00931CDB">
        <w:rPr>
          <w:rFonts w:ascii="David" w:hAnsi="David" w:cs="David"/>
          <w:i/>
          <w:sz w:val="24"/>
          <w:szCs w:val="24"/>
          <w:rtl/>
        </w:rPr>
        <w:t xml:space="preserve">תוצאות </w:t>
      </w:r>
      <w:r w:rsidR="00E140DC" w:rsidRPr="00931CDB">
        <w:rPr>
          <w:rFonts w:ascii="David" w:hAnsi="David" w:cs="David"/>
          <w:i/>
          <w:sz w:val="24"/>
          <w:szCs w:val="24"/>
          <w:rtl/>
        </w:rPr>
        <w:t>הנ</w:t>
      </w:r>
      <w:r w:rsidR="00465F24" w:rsidRPr="00931CDB">
        <w:rPr>
          <w:rFonts w:ascii="David" w:hAnsi="David" w:cs="David"/>
          <w:i/>
          <w:sz w:val="24"/>
          <w:szCs w:val="24"/>
          <w:rtl/>
        </w:rPr>
        <w:t>י</w:t>
      </w:r>
      <w:r w:rsidR="00E140DC" w:rsidRPr="00931CDB">
        <w:rPr>
          <w:rFonts w:ascii="David" w:hAnsi="David" w:cs="David"/>
          <w:i/>
          <w:sz w:val="24"/>
          <w:szCs w:val="24"/>
          <w:rtl/>
        </w:rPr>
        <w:t>תוח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 מצביעות על כך </w:t>
      </w:r>
      <w:r w:rsidR="005F24A5">
        <w:rPr>
          <w:rFonts w:ascii="David" w:hAnsi="David" w:cs="David" w:hint="cs"/>
          <w:i/>
          <w:sz w:val="24"/>
          <w:szCs w:val="24"/>
          <w:rtl/>
        </w:rPr>
        <w:t>ש</w:t>
      </w:r>
      <w:r w:rsidRPr="00931CDB">
        <w:rPr>
          <w:rFonts w:ascii="David" w:hAnsi="David" w:cs="David"/>
          <w:i/>
          <w:sz w:val="24"/>
          <w:szCs w:val="24"/>
          <w:rtl/>
        </w:rPr>
        <w:t>בשנים 2016</w:t>
      </w:r>
      <w:r w:rsidRPr="00931CDB">
        <w:rPr>
          <w:rFonts w:ascii="David" w:hAnsi="David" w:cs="David"/>
          <w:i/>
          <w:sz w:val="20"/>
          <w:szCs w:val="20"/>
          <w:rtl/>
        </w:rPr>
        <w:t>—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2019 עלה הסיכוי של משפחות צעירות, ובפרט </w:t>
      </w:r>
      <w:r w:rsidR="00E73442" w:rsidRPr="00931CDB">
        <w:rPr>
          <w:rFonts w:ascii="David" w:hAnsi="David" w:cs="David"/>
          <w:i/>
          <w:sz w:val="24"/>
          <w:szCs w:val="24"/>
          <w:rtl/>
        </w:rPr>
        <w:t xml:space="preserve">אלו 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עם ילדים, לרכוש דירה לראשונה, בין היתר בשל זכאותן של משפחות אלה לרכוש דירות במסגרת תוכנית "מחיר למשתכן". 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>כמ</w:t>
      </w:r>
      <w:r w:rsidR="00884CBC" w:rsidRPr="00931CDB">
        <w:rPr>
          <w:rFonts w:ascii="David" w:hAnsi="David" w:cs="David"/>
          <w:i/>
          <w:sz w:val="24"/>
          <w:szCs w:val="24"/>
          <w:rtl/>
        </w:rPr>
        <w:t>ו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 xml:space="preserve"> כן</w:t>
      </w:r>
      <w:r w:rsidR="00BF5E94" w:rsidRPr="00931CDB">
        <w:rPr>
          <w:rFonts w:ascii="David" w:hAnsi="David" w:cs="David"/>
          <w:i/>
          <w:sz w:val="24"/>
          <w:szCs w:val="24"/>
          <w:rtl/>
        </w:rPr>
        <w:t>,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 xml:space="preserve"> נמצא </w:t>
      </w:r>
      <w:r w:rsidR="00EC7EEB" w:rsidRPr="00931CDB">
        <w:rPr>
          <w:rFonts w:ascii="David" w:hAnsi="David" w:cs="David"/>
          <w:i/>
          <w:sz w:val="24"/>
          <w:szCs w:val="24"/>
          <w:rtl/>
        </w:rPr>
        <w:t>שה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 xml:space="preserve">הסתברות לרכוש דירה לראשונה </w:t>
      </w:r>
      <w:r w:rsidR="003510DD" w:rsidRPr="00931CDB">
        <w:rPr>
          <w:rFonts w:ascii="David" w:hAnsi="David" w:cs="David"/>
          <w:i/>
          <w:sz w:val="24"/>
          <w:szCs w:val="24"/>
          <w:rtl/>
        </w:rPr>
        <w:t xml:space="preserve">עלתה </w:t>
      </w:r>
      <w:r w:rsidR="00EC7EEB" w:rsidRPr="00931CDB">
        <w:rPr>
          <w:rFonts w:ascii="David" w:hAnsi="David" w:cs="David"/>
          <w:i/>
          <w:sz w:val="24"/>
          <w:szCs w:val="24"/>
          <w:rtl/>
        </w:rPr>
        <w:t>בקרב כל חמישוני ההכנסה</w:t>
      </w:r>
      <w:r w:rsidR="00962960" w:rsidRPr="00931CDB">
        <w:rPr>
          <w:rFonts w:ascii="David" w:hAnsi="David" w:cs="David"/>
          <w:i/>
          <w:sz w:val="24"/>
          <w:szCs w:val="24"/>
          <w:rtl/>
        </w:rPr>
        <w:t xml:space="preserve"> (איור 1)</w:t>
      </w:r>
      <w:r w:rsidR="00EC7EEB" w:rsidRPr="00931CDB">
        <w:rPr>
          <w:rFonts w:ascii="David" w:hAnsi="David" w:cs="David"/>
          <w:i/>
          <w:sz w:val="24"/>
          <w:szCs w:val="24"/>
          <w:rtl/>
        </w:rPr>
        <w:t>. אולם הסיכוי של החמישונים ה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גבוהים </w:t>
      </w:r>
      <w:r w:rsidR="00EC7EEB" w:rsidRPr="00931CDB">
        <w:rPr>
          <w:rFonts w:ascii="David" w:hAnsi="David" w:cs="David"/>
          <w:i/>
          <w:sz w:val="24"/>
          <w:szCs w:val="24"/>
          <w:rtl/>
        </w:rPr>
        <w:t>עלה ביותר, כך ש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 xml:space="preserve">התרחב הפער </w:t>
      </w:r>
      <w:r w:rsidR="006F64AD" w:rsidRPr="00931CDB">
        <w:rPr>
          <w:rFonts w:ascii="David" w:hAnsi="David" w:cs="David"/>
          <w:i/>
          <w:sz w:val="24"/>
          <w:szCs w:val="24"/>
          <w:rtl/>
        </w:rPr>
        <w:t xml:space="preserve">בסיכוי לרכוש דירה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בין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החמישון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העליון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לבין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שאר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החמישונים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,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ובפרט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זה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  </w:t>
      </w:r>
      <w:r w:rsidR="006F64AD" w:rsidRPr="006F64AD">
        <w:rPr>
          <w:rFonts w:ascii="David" w:hAnsi="David" w:cs="David" w:hint="eastAsia"/>
          <w:i/>
          <w:sz w:val="24"/>
          <w:szCs w:val="24"/>
          <w:rtl/>
        </w:rPr>
        <w:t>התחתון</w:t>
      </w:r>
      <w:r w:rsidR="006F64AD" w:rsidRPr="006F64AD">
        <w:rPr>
          <w:rFonts w:ascii="David" w:hAnsi="David" w:cs="David"/>
          <w:i/>
          <w:sz w:val="24"/>
          <w:szCs w:val="24"/>
          <w:rtl/>
        </w:rPr>
        <w:t xml:space="preserve">.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>כאשר מתמקדים רק במשקי הבית שלא קנו דירה במסגרת מחיר למשתכן</w:t>
      </w:r>
      <w:r w:rsidR="00A35C1D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F93A7D" w:rsidRPr="00F93A7D">
        <w:rPr>
          <w:rFonts w:ascii="David" w:hAnsi="David" w:cs="David"/>
          <w:sz w:val="24"/>
          <w:szCs w:val="24"/>
          <w:rtl/>
        </w:rPr>
        <w:t>בשנים 2016</w:t>
      </w:r>
      <w:r w:rsidR="00F93A7D" w:rsidRPr="00F93A7D">
        <w:rPr>
          <w:rFonts w:ascii="David" w:hAnsi="David" w:cs="David"/>
          <w:sz w:val="20"/>
          <w:szCs w:val="20"/>
          <w:rtl/>
        </w:rPr>
        <w:t>—</w:t>
      </w:r>
      <w:r w:rsidR="00F93A7D" w:rsidRPr="00F93A7D">
        <w:rPr>
          <w:rFonts w:ascii="David" w:hAnsi="David" w:cs="David"/>
          <w:sz w:val="24"/>
          <w:szCs w:val="24"/>
          <w:rtl/>
        </w:rPr>
        <w:t>2019</w:t>
      </w:r>
      <w:r w:rsidR="00D22A43" w:rsidRPr="00F93A7D">
        <w:rPr>
          <w:rFonts w:ascii="David" w:hAnsi="David" w:cs="David"/>
          <w:i/>
          <w:sz w:val="24"/>
          <w:szCs w:val="24"/>
          <w:rtl/>
        </w:rPr>
        <w:t>,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 אם בגלל שלא זכו </w:t>
      </w:r>
      <w:r w:rsidR="00BF5E94" w:rsidRPr="00931CDB">
        <w:rPr>
          <w:rFonts w:ascii="David" w:hAnsi="David" w:cs="David"/>
          <w:i/>
          <w:sz w:val="24"/>
          <w:szCs w:val="24"/>
          <w:rtl/>
        </w:rPr>
        <w:t xml:space="preserve">בהגרלה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או בגלל שלא ניגשו </w:t>
      </w:r>
      <w:r w:rsidR="00BF5E94" w:rsidRPr="00931CDB">
        <w:rPr>
          <w:rFonts w:ascii="David" w:hAnsi="David" w:cs="David"/>
          <w:i/>
          <w:sz w:val="24"/>
          <w:szCs w:val="24"/>
          <w:rtl/>
        </w:rPr>
        <w:t>לכזו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>, נמצא ש</w:t>
      </w:r>
      <w:r w:rsidR="00AA4E50" w:rsidRPr="00931CDB">
        <w:rPr>
          <w:rFonts w:ascii="David" w:hAnsi="David" w:cs="David"/>
          <w:i/>
          <w:sz w:val="24"/>
          <w:szCs w:val="24"/>
          <w:rtl/>
        </w:rPr>
        <w:t xml:space="preserve">הסיכוי </w:t>
      </w:r>
      <w:r w:rsidRPr="00931CDB">
        <w:rPr>
          <w:rFonts w:ascii="David" w:hAnsi="David" w:cs="David"/>
          <w:i/>
          <w:sz w:val="24"/>
          <w:szCs w:val="24"/>
          <w:rtl/>
        </w:rPr>
        <w:t>לרכוש דירה נותר יציב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 </w:t>
      </w:r>
      <w:r w:rsidR="00A35C1D">
        <w:rPr>
          <w:rFonts w:ascii="David" w:hAnsi="David" w:cs="David" w:hint="cs"/>
          <w:i/>
          <w:sz w:val="24"/>
          <w:szCs w:val="24"/>
          <w:rtl/>
        </w:rPr>
        <w:t xml:space="preserve">ביחס לשנים </w:t>
      </w:r>
      <w:r w:rsidR="00A35C1D" w:rsidRPr="003456FA">
        <w:rPr>
          <w:rFonts w:ascii="David" w:hAnsi="David" w:cs="David"/>
          <w:sz w:val="24"/>
          <w:szCs w:val="24"/>
          <w:rtl/>
        </w:rPr>
        <w:t>2012—2015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>.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יתרה מכך, 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הסיכוי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של משקי בית אלה 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לרכוש דירה בשוק החופשי בפריפריה אף עלה עבור חמישוני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>ה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הכנסה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>ה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נמוכים. אפשר להסיק מכך שהרחבת ההיצע </w:t>
      </w:r>
      <w:r w:rsidR="00D22A43" w:rsidRPr="00931CDB">
        <w:rPr>
          <w:rFonts w:ascii="David" w:hAnsi="David" w:cs="David"/>
          <w:i/>
          <w:sz w:val="24"/>
          <w:szCs w:val="24"/>
          <w:rtl/>
        </w:rPr>
        <w:t xml:space="preserve">שהתרחשה </w:t>
      </w:r>
      <w:r w:rsidRPr="00931CDB">
        <w:rPr>
          <w:rFonts w:ascii="David" w:hAnsi="David" w:cs="David"/>
          <w:i/>
          <w:sz w:val="24"/>
          <w:szCs w:val="24"/>
          <w:rtl/>
        </w:rPr>
        <w:t>בשנים 2016</w:t>
      </w:r>
      <w:r w:rsidRPr="00931CDB">
        <w:rPr>
          <w:rFonts w:ascii="David" w:hAnsi="David" w:cs="David"/>
          <w:i/>
          <w:sz w:val="20"/>
          <w:szCs w:val="20"/>
          <w:rtl/>
        </w:rPr>
        <w:t>—</w:t>
      </w:r>
      <w:r w:rsidRPr="00931CDB">
        <w:rPr>
          <w:rFonts w:ascii="David" w:hAnsi="David" w:cs="David"/>
          <w:i/>
          <w:sz w:val="24"/>
          <w:szCs w:val="24"/>
          <w:rtl/>
        </w:rPr>
        <w:t>2019 הייתה משמעותית בהשוואה לשנים 2012</w:t>
      </w:r>
      <w:r w:rsidRPr="00931CDB">
        <w:rPr>
          <w:rFonts w:ascii="David" w:hAnsi="David" w:cs="David"/>
          <w:i/>
          <w:sz w:val="20"/>
          <w:szCs w:val="20"/>
          <w:rtl/>
        </w:rPr>
        <w:t>—</w:t>
      </w:r>
      <w:r w:rsidRPr="00931CDB">
        <w:rPr>
          <w:rFonts w:ascii="David" w:hAnsi="David" w:cs="David"/>
          <w:i/>
          <w:sz w:val="24"/>
          <w:szCs w:val="24"/>
          <w:rtl/>
        </w:rPr>
        <w:t xml:space="preserve">2015, ולכן הסיכוי של מי שלא זכו בהגרלות </w:t>
      </w:r>
      <w:r w:rsidRPr="00931CDB">
        <w:rPr>
          <w:rFonts w:ascii="David" w:hAnsi="David" w:cs="David"/>
          <w:sz w:val="24"/>
          <w:szCs w:val="24"/>
          <w:rtl/>
        </w:rPr>
        <w:t>"מחיר למשתכן"</w:t>
      </w:r>
      <w:r w:rsidR="00D22A43" w:rsidRPr="00931CDB">
        <w:rPr>
          <w:rFonts w:ascii="David" w:hAnsi="David" w:cs="David"/>
          <w:sz w:val="24"/>
          <w:szCs w:val="24"/>
          <w:rtl/>
        </w:rPr>
        <w:t xml:space="preserve"> לרכוש דירה</w:t>
      </w:r>
      <w:r w:rsidRPr="00931CDB">
        <w:rPr>
          <w:rFonts w:ascii="David" w:hAnsi="David" w:cs="David"/>
          <w:sz w:val="24"/>
          <w:szCs w:val="24"/>
          <w:rtl/>
        </w:rPr>
        <w:t xml:space="preserve"> </w:t>
      </w:r>
      <w:r w:rsidRPr="00931CDB">
        <w:rPr>
          <w:rFonts w:ascii="David" w:hAnsi="David" w:cs="David"/>
          <w:i/>
          <w:sz w:val="24"/>
          <w:szCs w:val="24"/>
          <w:rtl/>
        </w:rPr>
        <w:t>לא נפגע.</w:t>
      </w:r>
      <w:r w:rsidR="00837371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C2254E">
        <w:rPr>
          <w:rFonts w:ascii="David" w:hAnsi="David" w:cs="David" w:hint="cs"/>
          <w:b/>
          <w:bCs/>
          <w:i/>
          <w:sz w:val="24"/>
          <w:szCs w:val="24"/>
          <w:rtl/>
        </w:rPr>
        <w:t>מכך</w:t>
      </w:r>
      <w:r w:rsidR="00331C0F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ניתן להסיק ש</w:t>
      </w:r>
      <w:r w:rsidR="00837371">
        <w:rPr>
          <w:rFonts w:ascii="David" w:hAnsi="David" w:cs="David" w:hint="cs"/>
          <w:b/>
          <w:bCs/>
          <w:i/>
          <w:sz w:val="24"/>
          <w:szCs w:val="24"/>
          <w:rtl/>
        </w:rPr>
        <w:t>שמירה על רמה גבוהה של היצע הבנייה</w:t>
      </w:r>
      <w:r w:rsidR="00331C0F">
        <w:rPr>
          <w:rFonts w:ascii="David" w:hAnsi="David" w:cs="David" w:hint="cs"/>
          <w:b/>
          <w:bCs/>
          <w:i/>
          <w:sz w:val="24"/>
          <w:szCs w:val="24"/>
          <w:rtl/>
        </w:rPr>
        <w:t>, כפי שהיה למ</w:t>
      </w:r>
      <w:r w:rsidR="00C2254E">
        <w:rPr>
          <w:rFonts w:ascii="David" w:hAnsi="David" w:cs="David" w:hint="cs"/>
          <w:b/>
          <w:bCs/>
          <w:i/>
          <w:sz w:val="24"/>
          <w:szCs w:val="24"/>
          <w:rtl/>
        </w:rPr>
        <w:t>ש</w:t>
      </w:r>
      <w:r w:rsidR="00331C0F">
        <w:rPr>
          <w:rFonts w:ascii="David" w:hAnsi="David" w:cs="David" w:hint="cs"/>
          <w:b/>
          <w:bCs/>
          <w:i/>
          <w:sz w:val="24"/>
          <w:szCs w:val="24"/>
          <w:rtl/>
        </w:rPr>
        <w:t>ל בשנים 202</w:t>
      </w:r>
      <w:r w:rsidR="00C2254E">
        <w:rPr>
          <w:rFonts w:ascii="David" w:hAnsi="David" w:cs="David" w:hint="cs"/>
          <w:b/>
          <w:bCs/>
          <w:i/>
          <w:sz w:val="24"/>
          <w:szCs w:val="24"/>
          <w:rtl/>
        </w:rPr>
        <w:t>2</w:t>
      </w:r>
      <w:r w:rsidR="00331C0F">
        <w:rPr>
          <w:rFonts w:ascii="David" w:hAnsi="David" w:cs="David" w:hint="cs"/>
          <w:b/>
          <w:bCs/>
          <w:i/>
          <w:sz w:val="24"/>
          <w:szCs w:val="24"/>
          <w:rtl/>
        </w:rPr>
        <w:t>-202</w:t>
      </w:r>
      <w:r w:rsidR="00C2254E">
        <w:rPr>
          <w:rFonts w:ascii="David" w:hAnsi="David" w:cs="David" w:hint="cs"/>
          <w:b/>
          <w:bCs/>
          <w:i/>
          <w:sz w:val="24"/>
          <w:szCs w:val="24"/>
          <w:rtl/>
        </w:rPr>
        <w:t>1</w:t>
      </w:r>
      <w:r w:rsidR="00331C0F">
        <w:rPr>
          <w:rFonts w:ascii="David" w:hAnsi="David" w:cs="David" w:hint="cs"/>
          <w:b/>
          <w:bCs/>
          <w:i/>
          <w:sz w:val="24"/>
          <w:szCs w:val="24"/>
          <w:rtl/>
        </w:rPr>
        <w:t>,</w:t>
      </w:r>
      <w:r w:rsidR="00837371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חשובה לקיום נשיגות דיור לכלל האוכלוסיה: </w:t>
      </w:r>
      <w:r w:rsidR="00C2254E" w:rsidRPr="00C2254E">
        <w:rPr>
          <w:rFonts w:ascii="David" w:hAnsi="David" w:cs="David" w:hint="cs"/>
          <w:b/>
          <w:bCs/>
          <w:i/>
          <w:sz w:val="24"/>
          <w:szCs w:val="24"/>
          <w:rtl/>
        </w:rPr>
        <w:t>הן לאלו הזכאים לסבסוד ו</w:t>
      </w:r>
      <w:r w:rsidR="00737159">
        <w:rPr>
          <w:rFonts w:ascii="David" w:hAnsi="David" w:cs="David" w:hint="cs"/>
          <w:b/>
          <w:bCs/>
          <w:i/>
          <w:sz w:val="24"/>
          <w:szCs w:val="24"/>
          <w:rtl/>
        </w:rPr>
        <w:t>הן לאלו שלא, או שלא זכו בהגרלות</w:t>
      </w:r>
      <w:r w:rsidR="00837371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. </w:t>
      </w:r>
    </w:p>
    <w:p w14:paraId="4A91661E" w14:textId="77777777" w:rsidR="00962960" w:rsidRPr="00837371" w:rsidRDefault="00962960" w:rsidP="00F93A7D">
      <w:pPr>
        <w:spacing w:after="80" w:line="360" w:lineRule="auto"/>
        <w:jc w:val="both"/>
        <w:rPr>
          <w:rFonts w:ascii="David" w:hAnsi="David" w:cs="David"/>
          <w:i/>
          <w:sz w:val="24"/>
          <w:szCs w:val="24"/>
          <w:rtl/>
        </w:rPr>
      </w:pPr>
    </w:p>
    <w:p w14:paraId="47075CC6" w14:textId="77777777" w:rsidR="00962960" w:rsidRPr="00931CDB" w:rsidRDefault="00962960" w:rsidP="00BF5E94">
      <w:pPr>
        <w:spacing w:after="8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07EE389" w14:textId="77777777" w:rsidR="00B1004D" w:rsidRDefault="00B1004D" w:rsidP="00055CB8">
      <w:pPr>
        <w:pStyle w:val="3"/>
        <w:rPr>
          <w:rFonts w:ascii="David" w:hAnsi="David" w:cs="David"/>
          <w:color w:val="auto"/>
          <w:sz w:val="28"/>
          <w:szCs w:val="28"/>
          <w:rtl/>
        </w:rPr>
      </w:pPr>
      <w:r w:rsidRPr="00931CDB">
        <w:rPr>
          <w:rFonts w:ascii="David" w:hAnsi="David" w:cs="David"/>
          <w:color w:val="auto"/>
          <w:sz w:val="28"/>
          <w:szCs w:val="28"/>
          <w:rtl/>
        </w:rPr>
        <w:lastRenderedPageBreak/>
        <w:t xml:space="preserve">איור 1: ההסתברות הנאמדת </w:t>
      </w:r>
      <w:r w:rsidR="00962960" w:rsidRPr="00931CDB">
        <w:rPr>
          <w:rFonts w:ascii="David" w:hAnsi="David" w:cs="David"/>
          <w:color w:val="auto"/>
          <w:sz w:val="28"/>
          <w:szCs w:val="28"/>
          <w:rtl/>
        </w:rPr>
        <w:t>של מחוסרי דיור בבעלות</w:t>
      </w:r>
      <w:r w:rsidR="00055CB8" w:rsidRPr="00931CDB">
        <w:rPr>
          <w:rFonts w:ascii="David" w:hAnsi="David" w:cs="David"/>
          <w:color w:val="auto"/>
          <w:sz w:val="28"/>
          <w:szCs w:val="28"/>
          <w:vertAlign w:val="superscript"/>
          <w:rtl/>
        </w:rPr>
        <w:t>1</w:t>
      </w:r>
      <w:r w:rsidR="00962960" w:rsidRPr="00931CDB">
        <w:rPr>
          <w:rFonts w:ascii="David" w:hAnsi="David" w:cs="David"/>
          <w:color w:val="auto"/>
          <w:sz w:val="28"/>
          <w:szCs w:val="28"/>
          <w:rtl/>
        </w:rPr>
        <w:t xml:space="preserve"> </w:t>
      </w:r>
      <w:r w:rsidRPr="00931CDB">
        <w:rPr>
          <w:rFonts w:ascii="David" w:hAnsi="David" w:cs="David"/>
          <w:color w:val="auto"/>
          <w:sz w:val="28"/>
          <w:szCs w:val="28"/>
          <w:rtl/>
        </w:rPr>
        <w:t>לרכוש דירה בשנים 2019-2016 ובשנים 2015-2012, לפי חמישוני הכנסה</w:t>
      </w:r>
      <w:r w:rsidR="00815B11" w:rsidRPr="00931CDB">
        <w:rPr>
          <w:rFonts w:ascii="David" w:hAnsi="David" w:cs="David"/>
          <w:color w:val="auto"/>
          <w:sz w:val="28"/>
          <w:szCs w:val="28"/>
          <w:vertAlign w:val="superscript"/>
          <w:rtl/>
        </w:rPr>
        <w:t>2</w:t>
      </w:r>
      <w:r w:rsidR="0069402C" w:rsidRPr="00931CDB">
        <w:rPr>
          <w:rFonts w:ascii="David" w:hAnsi="David" w:cs="David"/>
          <w:color w:val="auto"/>
          <w:sz w:val="28"/>
          <w:szCs w:val="28"/>
          <w:rtl/>
        </w:rPr>
        <w:t>.</w:t>
      </w:r>
    </w:p>
    <w:p w14:paraId="1EEBBCD0" w14:textId="77777777" w:rsidR="00F93A7D" w:rsidRPr="0060421D" w:rsidRDefault="00F93A7D" w:rsidP="0060421D">
      <w:pPr>
        <w:rPr>
          <w:rtl/>
        </w:rPr>
      </w:pPr>
      <w:r w:rsidRPr="00F93A7D">
        <w:rPr>
          <w:rFonts w:cs="Arial"/>
          <w:noProof/>
          <w:rtl/>
        </w:rPr>
        <w:drawing>
          <wp:inline distT="0" distB="0" distL="0" distR="0" wp14:anchorId="029E7138" wp14:editId="136A2E30">
            <wp:extent cx="4855845" cy="4275455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3A53" w14:textId="77777777" w:rsidR="00055CB8" w:rsidRPr="009B47B4" w:rsidRDefault="009B47B4" w:rsidP="009B47B4">
      <w:pPr>
        <w:spacing w:after="0"/>
        <w:jc w:val="both"/>
        <w:rPr>
          <w:rFonts w:ascii="David" w:eastAsia="Times New Roman" w:hAnsi="David" w:cs="David"/>
          <w:color w:val="000000"/>
          <w:sz w:val="20"/>
          <w:szCs w:val="20"/>
          <w:rtl/>
        </w:rPr>
      </w:pPr>
      <w:r w:rsidRPr="009B47B4">
        <w:rPr>
          <w:rFonts w:ascii="David" w:eastAsia="Times New Roman" w:hAnsi="David" w:cs="David" w:hint="cs"/>
          <w:color w:val="000000"/>
          <w:sz w:val="24"/>
          <w:szCs w:val="24"/>
          <w:vertAlign w:val="superscript"/>
          <w:rtl/>
        </w:rPr>
        <w:t>1</w:t>
      </w:r>
      <w:r w:rsidR="008E7503">
        <w:rPr>
          <w:rFonts w:ascii="David" w:eastAsia="Times New Roman" w:hAnsi="David" w:cs="David" w:hint="cs"/>
          <w:color w:val="000000"/>
          <w:sz w:val="20"/>
          <w:szCs w:val="20"/>
          <w:rtl/>
        </w:rPr>
        <w:t xml:space="preserve"> </w:t>
      </w:r>
      <w:r w:rsidR="00055CB8" w:rsidRPr="009B47B4">
        <w:rPr>
          <w:rFonts w:ascii="David" w:eastAsia="Times New Roman" w:hAnsi="David" w:cs="David"/>
          <w:color w:val="000000"/>
          <w:sz w:val="20"/>
          <w:szCs w:val="20"/>
          <w:rtl/>
        </w:rPr>
        <w:t>מחוסרי דיור בבעלות הם משקי בית שאין ולא הייתה בבעלותם דירה.</w:t>
      </w:r>
    </w:p>
    <w:p w14:paraId="1445616D" w14:textId="77777777" w:rsidR="006B5853" w:rsidRPr="009B47B4" w:rsidRDefault="00055CB8" w:rsidP="009B47B4">
      <w:pPr>
        <w:spacing w:after="0"/>
        <w:jc w:val="both"/>
        <w:rPr>
          <w:rFonts w:ascii="David" w:eastAsia="Times New Roman" w:hAnsi="David" w:cs="David"/>
          <w:color w:val="000000"/>
          <w:sz w:val="22"/>
          <w:szCs w:val="22"/>
          <w:vertAlign w:val="superscript"/>
          <w:rtl/>
        </w:rPr>
      </w:pPr>
      <w:r w:rsidRPr="009B47B4">
        <w:rPr>
          <w:rFonts w:ascii="David" w:eastAsia="Times New Roman" w:hAnsi="David" w:cs="David"/>
          <w:color w:val="000000"/>
          <w:sz w:val="24"/>
          <w:szCs w:val="24"/>
          <w:vertAlign w:val="superscript"/>
          <w:rtl/>
        </w:rPr>
        <w:t>2</w:t>
      </w:r>
      <w:r w:rsidR="009B47B4">
        <w:rPr>
          <w:rFonts w:ascii="David" w:eastAsia="Times New Roman" w:hAnsi="David" w:cs="David" w:hint="cs"/>
          <w:color w:val="000000"/>
          <w:sz w:val="22"/>
          <w:szCs w:val="22"/>
          <w:vertAlign w:val="superscript"/>
          <w:rtl/>
        </w:rPr>
        <w:t xml:space="preserve"> </w:t>
      </w:r>
      <w:r w:rsidRPr="009B47B4">
        <w:rPr>
          <w:rFonts w:ascii="David" w:eastAsia="Times New Roman" w:hAnsi="David" w:cs="David"/>
          <w:color w:val="000000"/>
          <w:sz w:val="20"/>
          <w:szCs w:val="20"/>
          <w:rtl/>
        </w:rPr>
        <w:t>חמישוני הכנסה חושבו על פי התפלגות ההכנסות במדגם</w:t>
      </w:r>
      <w:r w:rsidRPr="009B47B4">
        <w:rPr>
          <w:rFonts w:ascii="David" w:eastAsia="Times New Roman" w:hAnsi="David" w:cs="David"/>
          <w:color w:val="000000"/>
          <w:sz w:val="22"/>
          <w:szCs w:val="22"/>
          <w:vertAlign w:val="superscript"/>
          <w:rtl/>
        </w:rPr>
        <w:t>.</w:t>
      </w:r>
    </w:p>
    <w:p w14:paraId="44B75788" w14:textId="77777777" w:rsidR="00055CB8" w:rsidRPr="009B47B4" w:rsidRDefault="00055CB8" w:rsidP="009B47B4">
      <w:pPr>
        <w:spacing w:after="0"/>
        <w:jc w:val="both"/>
        <w:rPr>
          <w:rFonts w:ascii="David" w:eastAsia="Times New Roman" w:hAnsi="David" w:cs="David"/>
          <w:color w:val="000000"/>
          <w:sz w:val="20"/>
          <w:szCs w:val="20"/>
          <w:vertAlign w:val="superscript"/>
          <w:rtl/>
        </w:rPr>
      </w:pPr>
    </w:p>
    <w:sectPr w:rsidR="00055CB8" w:rsidRPr="009B47B4" w:rsidSect="00345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BD0E" w14:textId="77777777" w:rsidR="00BD4EA4" w:rsidRDefault="00BD4EA4" w:rsidP="00BE7C5C">
      <w:pPr>
        <w:spacing w:after="0" w:line="240" w:lineRule="auto"/>
      </w:pPr>
      <w:r>
        <w:separator/>
      </w:r>
    </w:p>
  </w:endnote>
  <w:endnote w:type="continuationSeparator" w:id="0">
    <w:p w14:paraId="3F252D82" w14:textId="77777777" w:rsidR="00BD4EA4" w:rsidRDefault="00BD4EA4" w:rsidP="00BE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CCC3" w14:textId="77777777" w:rsidR="007152C3" w:rsidRDefault="007152C3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B5D6" w14:textId="77777777" w:rsidR="007152C3" w:rsidRDefault="007152C3">
    <w:pPr>
      <w:pStyle w:val="a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2571" w14:textId="77777777" w:rsidR="007152C3" w:rsidRDefault="007152C3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12CE" w14:textId="77777777" w:rsidR="00BD4EA4" w:rsidRDefault="00BD4EA4" w:rsidP="00BE7C5C">
      <w:pPr>
        <w:spacing w:after="0" w:line="240" w:lineRule="auto"/>
      </w:pPr>
      <w:r>
        <w:separator/>
      </w:r>
    </w:p>
  </w:footnote>
  <w:footnote w:type="continuationSeparator" w:id="0">
    <w:p w14:paraId="1817C3D9" w14:textId="77777777" w:rsidR="00BD4EA4" w:rsidRDefault="00BD4EA4" w:rsidP="00BE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83B3" w14:textId="77777777" w:rsidR="007152C3" w:rsidRDefault="007152C3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B8F5" w14:textId="77777777" w:rsidR="007152C3" w:rsidRDefault="007152C3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4CE8" w14:textId="77777777" w:rsidR="007152C3" w:rsidRDefault="007152C3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164"/>
    <w:multiLevelType w:val="hybridMultilevel"/>
    <w:tmpl w:val="CDFCB30C"/>
    <w:lvl w:ilvl="0" w:tplc="80B07B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679"/>
    <w:multiLevelType w:val="hybridMultilevel"/>
    <w:tmpl w:val="DE4A6EC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639812DF"/>
    <w:multiLevelType w:val="hybridMultilevel"/>
    <w:tmpl w:val="406A7430"/>
    <w:lvl w:ilvl="0" w:tplc="DE4A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6F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4A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EA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C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4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A7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85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8A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4F477A"/>
    <w:multiLevelType w:val="hybridMultilevel"/>
    <w:tmpl w:val="D0D62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5C"/>
    <w:rsid w:val="00000CDB"/>
    <w:rsid w:val="00003559"/>
    <w:rsid w:val="00015AF4"/>
    <w:rsid w:val="00017294"/>
    <w:rsid w:val="0002421E"/>
    <w:rsid w:val="000334FE"/>
    <w:rsid w:val="0004099B"/>
    <w:rsid w:val="000502B7"/>
    <w:rsid w:val="00055CB8"/>
    <w:rsid w:val="000573DB"/>
    <w:rsid w:val="000648F0"/>
    <w:rsid w:val="000840CB"/>
    <w:rsid w:val="00095232"/>
    <w:rsid w:val="000B2CCD"/>
    <w:rsid w:val="000C7579"/>
    <w:rsid w:val="000F50EE"/>
    <w:rsid w:val="001130C0"/>
    <w:rsid w:val="00117C66"/>
    <w:rsid w:val="0012764B"/>
    <w:rsid w:val="0015664C"/>
    <w:rsid w:val="00160491"/>
    <w:rsid w:val="00160CCC"/>
    <w:rsid w:val="00181B4D"/>
    <w:rsid w:val="001A1274"/>
    <w:rsid w:val="001C3A44"/>
    <w:rsid w:val="00207990"/>
    <w:rsid w:val="00226936"/>
    <w:rsid w:val="00230571"/>
    <w:rsid w:val="00236297"/>
    <w:rsid w:val="002375CA"/>
    <w:rsid w:val="0025765C"/>
    <w:rsid w:val="00273447"/>
    <w:rsid w:val="002749CC"/>
    <w:rsid w:val="002925AC"/>
    <w:rsid w:val="002A0165"/>
    <w:rsid w:val="002B1AB8"/>
    <w:rsid w:val="002B7B94"/>
    <w:rsid w:val="002D5958"/>
    <w:rsid w:val="002F0F71"/>
    <w:rsid w:val="002F39EC"/>
    <w:rsid w:val="00331C0F"/>
    <w:rsid w:val="00334C2E"/>
    <w:rsid w:val="003456FA"/>
    <w:rsid w:val="00345776"/>
    <w:rsid w:val="00350C56"/>
    <w:rsid w:val="003510DD"/>
    <w:rsid w:val="00366DB1"/>
    <w:rsid w:val="00370772"/>
    <w:rsid w:val="0037395D"/>
    <w:rsid w:val="0037794A"/>
    <w:rsid w:val="00377CFD"/>
    <w:rsid w:val="003A140F"/>
    <w:rsid w:val="003B2891"/>
    <w:rsid w:val="003C514B"/>
    <w:rsid w:val="003D1D30"/>
    <w:rsid w:val="0040033F"/>
    <w:rsid w:val="00410BC6"/>
    <w:rsid w:val="00414261"/>
    <w:rsid w:val="00423C85"/>
    <w:rsid w:val="00442E70"/>
    <w:rsid w:val="00452A48"/>
    <w:rsid w:val="00465F24"/>
    <w:rsid w:val="00471071"/>
    <w:rsid w:val="00472741"/>
    <w:rsid w:val="004962D4"/>
    <w:rsid w:val="004A3D82"/>
    <w:rsid w:val="004D47C9"/>
    <w:rsid w:val="004D6768"/>
    <w:rsid w:val="004D7B44"/>
    <w:rsid w:val="004E108B"/>
    <w:rsid w:val="00515CDD"/>
    <w:rsid w:val="005301FC"/>
    <w:rsid w:val="005643ED"/>
    <w:rsid w:val="005C3805"/>
    <w:rsid w:val="005D7BF9"/>
    <w:rsid w:val="005E014A"/>
    <w:rsid w:val="005E1172"/>
    <w:rsid w:val="005E1FDD"/>
    <w:rsid w:val="005E3D8E"/>
    <w:rsid w:val="005F24A5"/>
    <w:rsid w:val="005F5473"/>
    <w:rsid w:val="005F7144"/>
    <w:rsid w:val="005F7960"/>
    <w:rsid w:val="0060421D"/>
    <w:rsid w:val="006162A5"/>
    <w:rsid w:val="006443CF"/>
    <w:rsid w:val="00656965"/>
    <w:rsid w:val="006616BB"/>
    <w:rsid w:val="006727EB"/>
    <w:rsid w:val="006837FA"/>
    <w:rsid w:val="0069402C"/>
    <w:rsid w:val="006A3662"/>
    <w:rsid w:val="006B4AF2"/>
    <w:rsid w:val="006B5853"/>
    <w:rsid w:val="006C1544"/>
    <w:rsid w:val="006C3964"/>
    <w:rsid w:val="006D4AF1"/>
    <w:rsid w:val="006F584B"/>
    <w:rsid w:val="006F64AD"/>
    <w:rsid w:val="0071506A"/>
    <w:rsid w:val="007152C3"/>
    <w:rsid w:val="00723028"/>
    <w:rsid w:val="007308F3"/>
    <w:rsid w:val="00731373"/>
    <w:rsid w:val="007334DF"/>
    <w:rsid w:val="007365C7"/>
    <w:rsid w:val="007366C1"/>
    <w:rsid w:val="00737159"/>
    <w:rsid w:val="0077258E"/>
    <w:rsid w:val="0079554A"/>
    <w:rsid w:val="007B3B29"/>
    <w:rsid w:val="007C3099"/>
    <w:rsid w:val="007D0078"/>
    <w:rsid w:val="007F37FE"/>
    <w:rsid w:val="00815B11"/>
    <w:rsid w:val="008208E4"/>
    <w:rsid w:val="008307AC"/>
    <w:rsid w:val="00837371"/>
    <w:rsid w:val="0085558E"/>
    <w:rsid w:val="00884CBC"/>
    <w:rsid w:val="008A5604"/>
    <w:rsid w:val="008C1EF8"/>
    <w:rsid w:val="008E7503"/>
    <w:rsid w:val="009029BC"/>
    <w:rsid w:val="009041F3"/>
    <w:rsid w:val="0091577A"/>
    <w:rsid w:val="0092123B"/>
    <w:rsid w:val="00921D3E"/>
    <w:rsid w:val="00931CDB"/>
    <w:rsid w:val="0094443C"/>
    <w:rsid w:val="00962960"/>
    <w:rsid w:val="009636D7"/>
    <w:rsid w:val="00983C26"/>
    <w:rsid w:val="00984897"/>
    <w:rsid w:val="009B47B4"/>
    <w:rsid w:val="009B5C9B"/>
    <w:rsid w:val="009E127B"/>
    <w:rsid w:val="009E5BA9"/>
    <w:rsid w:val="009F0CD2"/>
    <w:rsid w:val="009F4964"/>
    <w:rsid w:val="00A20672"/>
    <w:rsid w:val="00A35C1D"/>
    <w:rsid w:val="00A36367"/>
    <w:rsid w:val="00A41B94"/>
    <w:rsid w:val="00A422A3"/>
    <w:rsid w:val="00A54224"/>
    <w:rsid w:val="00A6038C"/>
    <w:rsid w:val="00A63C40"/>
    <w:rsid w:val="00A67B34"/>
    <w:rsid w:val="00A93AE2"/>
    <w:rsid w:val="00AA4E50"/>
    <w:rsid w:val="00AE4708"/>
    <w:rsid w:val="00AE5137"/>
    <w:rsid w:val="00AE6496"/>
    <w:rsid w:val="00B1004D"/>
    <w:rsid w:val="00B126D7"/>
    <w:rsid w:val="00B21899"/>
    <w:rsid w:val="00B24F23"/>
    <w:rsid w:val="00B27805"/>
    <w:rsid w:val="00B312D1"/>
    <w:rsid w:val="00B316D3"/>
    <w:rsid w:val="00B35DAC"/>
    <w:rsid w:val="00B7394F"/>
    <w:rsid w:val="00BA342F"/>
    <w:rsid w:val="00BA5B8E"/>
    <w:rsid w:val="00BB230E"/>
    <w:rsid w:val="00BD4EA4"/>
    <w:rsid w:val="00BD724A"/>
    <w:rsid w:val="00BE5620"/>
    <w:rsid w:val="00BE7C5C"/>
    <w:rsid w:val="00BF5E94"/>
    <w:rsid w:val="00C02B8F"/>
    <w:rsid w:val="00C101BE"/>
    <w:rsid w:val="00C2254E"/>
    <w:rsid w:val="00C401E5"/>
    <w:rsid w:val="00C57812"/>
    <w:rsid w:val="00C8272E"/>
    <w:rsid w:val="00C945CF"/>
    <w:rsid w:val="00CA3683"/>
    <w:rsid w:val="00CD4D70"/>
    <w:rsid w:val="00CD7A2F"/>
    <w:rsid w:val="00CE2DC4"/>
    <w:rsid w:val="00CE4DC6"/>
    <w:rsid w:val="00D07FAF"/>
    <w:rsid w:val="00D12035"/>
    <w:rsid w:val="00D17D1A"/>
    <w:rsid w:val="00D22A43"/>
    <w:rsid w:val="00D44D5D"/>
    <w:rsid w:val="00D7239B"/>
    <w:rsid w:val="00DE14FD"/>
    <w:rsid w:val="00E02963"/>
    <w:rsid w:val="00E04BE5"/>
    <w:rsid w:val="00E07420"/>
    <w:rsid w:val="00E140DC"/>
    <w:rsid w:val="00E50B7D"/>
    <w:rsid w:val="00E54410"/>
    <w:rsid w:val="00E73442"/>
    <w:rsid w:val="00E77BA3"/>
    <w:rsid w:val="00E84F29"/>
    <w:rsid w:val="00EA350A"/>
    <w:rsid w:val="00EA6ABB"/>
    <w:rsid w:val="00EB6C56"/>
    <w:rsid w:val="00EB7D1E"/>
    <w:rsid w:val="00EC17DF"/>
    <w:rsid w:val="00EC7EEB"/>
    <w:rsid w:val="00EF011B"/>
    <w:rsid w:val="00EF1717"/>
    <w:rsid w:val="00EF6206"/>
    <w:rsid w:val="00F029E8"/>
    <w:rsid w:val="00F05F95"/>
    <w:rsid w:val="00F1545C"/>
    <w:rsid w:val="00F178F5"/>
    <w:rsid w:val="00F312E2"/>
    <w:rsid w:val="00F36A82"/>
    <w:rsid w:val="00F42158"/>
    <w:rsid w:val="00F445E2"/>
    <w:rsid w:val="00F4698E"/>
    <w:rsid w:val="00F60A94"/>
    <w:rsid w:val="00F62203"/>
    <w:rsid w:val="00F872CC"/>
    <w:rsid w:val="00F93A7D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E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63"/>
  </w:style>
  <w:style w:type="paragraph" w:styleId="1">
    <w:name w:val="heading 1"/>
    <w:basedOn w:val="a"/>
    <w:next w:val="a"/>
    <w:link w:val="10"/>
    <w:uiPriority w:val="9"/>
    <w:qFormat/>
    <w:rsid w:val="00E02963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29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2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הערות שוליים"/>
    <w:basedOn w:val="a"/>
    <w:uiPriority w:val="99"/>
    <w:rsid w:val="00BE7C5C"/>
    <w:pPr>
      <w:suppressAutoHyphens/>
      <w:autoSpaceDE w:val="0"/>
      <w:autoSpaceDN w:val="0"/>
      <w:adjustRightInd w:val="0"/>
      <w:spacing w:after="0" w:line="200" w:lineRule="atLeast"/>
      <w:ind w:hanging="227"/>
      <w:jc w:val="both"/>
      <w:textAlignment w:val="center"/>
    </w:pPr>
    <w:rPr>
      <w:rFonts w:ascii="David" w:cs="David"/>
      <w:color w:val="000000"/>
      <w:sz w:val="20"/>
      <w:szCs w:val="20"/>
    </w:rPr>
  </w:style>
  <w:style w:type="character" w:customStyle="1" w:styleId="a4">
    <w:name w:val="הפנייה להערת שוליים"/>
    <w:uiPriority w:val="99"/>
    <w:rsid w:val="00BE7C5C"/>
    <w:rPr>
      <w:rFonts w:ascii="Times New Roman" w:hAnsi="Times New Roman" w:cs="Times New Roman"/>
      <w:w w:val="100"/>
      <w:sz w:val="20"/>
      <w:szCs w:val="20"/>
      <w:vertAlign w:val="superscript"/>
    </w:rPr>
  </w:style>
  <w:style w:type="character" w:customStyle="1" w:styleId="10">
    <w:name w:val="כותרת 1 תו"/>
    <w:basedOn w:val="a0"/>
    <w:link w:val="1"/>
    <w:uiPriority w:val="9"/>
    <w:rsid w:val="00E0296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4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4577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2"/>
    <w:rsid w:val="00345776"/>
    <w:rPr>
      <w:rFonts w:ascii="David" w:eastAsia="David" w:hAnsi="David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345776"/>
    <w:pPr>
      <w:widowControl w:val="0"/>
      <w:shd w:val="clear" w:color="auto" w:fill="FFFFFF"/>
      <w:spacing w:after="60" w:line="312" w:lineRule="exact"/>
      <w:ind w:hanging="340"/>
      <w:jc w:val="both"/>
    </w:pPr>
    <w:rPr>
      <w:rFonts w:ascii="David" w:eastAsia="David" w:hAnsi="David"/>
      <w:sz w:val="20"/>
      <w:szCs w:val="20"/>
    </w:rPr>
  </w:style>
  <w:style w:type="character" w:styleId="a7">
    <w:name w:val="Strong"/>
    <w:basedOn w:val="a0"/>
    <w:uiPriority w:val="22"/>
    <w:qFormat/>
    <w:rsid w:val="00E02963"/>
    <w:rPr>
      <w:b/>
      <w:bCs/>
    </w:rPr>
  </w:style>
  <w:style w:type="paragraph" w:styleId="a8">
    <w:name w:val="List Paragraph"/>
    <w:basedOn w:val="a"/>
    <w:uiPriority w:val="34"/>
    <w:qFormat/>
    <w:rsid w:val="00345776"/>
    <w:pPr>
      <w:ind w:left="720"/>
      <w:contextualSpacing/>
    </w:pPr>
  </w:style>
  <w:style w:type="table" w:styleId="a9">
    <w:name w:val="Table Grid"/>
    <w:basedOn w:val="a1"/>
    <w:rsid w:val="00AE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5C9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B5C9B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9B5C9B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A3D82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rsid w:val="004A3D82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A3D82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423C85"/>
    <w:pPr>
      <w:spacing w:after="200"/>
    </w:pPr>
    <w:rPr>
      <w:b/>
      <w:bCs/>
    </w:rPr>
  </w:style>
  <w:style w:type="character" w:customStyle="1" w:styleId="af1">
    <w:name w:val="נושא הערה תו"/>
    <w:basedOn w:val="ac"/>
    <w:link w:val="af0"/>
    <w:uiPriority w:val="99"/>
    <w:semiHidden/>
    <w:rsid w:val="00423C85"/>
    <w:rPr>
      <w:b/>
      <w:bCs/>
      <w:sz w:val="20"/>
      <w:szCs w:val="20"/>
    </w:rPr>
  </w:style>
  <w:style w:type="character" w:customStyle="1" w:styleId="20">
    <w:name w:val="כותרת 2 תו"/>
    <w:basedOn w:val="a0"/>
    <w:link w:val="2"/>
    <w:uiPriority w:val="9"/>
    <w:rsid w:val="00E02963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02963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כותרת 4 תו"/>
    <w:basedOn w:val="a0"/>
    <w:link w:val="4"/>
    <w:uiPriority w:val="9"/>
    <w:semiHidden/>
    <w:rsid w:val="00E02963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E02963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E0296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E02963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כותרת 8 תו"/>
    <w:basedOn w:val="a0"/>
    <w:link w:val="8"/>
    <w:uiPriority w:val="9"/>
    <w:semiHidden/>
    <w:rsid w:val="00E02963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כותרת 9 תו"/>
    <w:basedOn w:val="a0"/>
    <w:link w:val="9"/>
    <w:uiPriority w:val="9"/>
    <w:semiHidden/>
    <w:rsid w:val="00E02963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E0296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E02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4">
    <w:name w:val="כותרת טקסט תו"/>
    <w:basedOn w:val="a0"/>
    <w:link w:val="af3"/>
    <w:uiPriority w:val="10"/>
    <w:rsid w:val="00E0296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5">
    <w:name w:val="Subtitle"/>
    <w:basedOn w:val="a"/>
    <w:next w:val="a"/>
    <w:link w:val="af6"/>
    <w:uiPriority w:val="11"/>
    <w:qFormat/>
    <w:rsid w:val="00E0296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6">
    <w:name w:val="כותרת משנה תו"/>
    <w:basedOn w:val="a0"/>
    <w:link w:val="af5"/>
    <w:uiPriority w:val="11"/>
    <w:rsid w:val="00E02963"/>
    <w:rPr>
      <w:caps/>
      <w:color w:val="404040" w:themeColor="text1" w:themeTint="BF"/>
      <w:spacing w:val="20"/>
      <w:sz w:val="28"/>
      <w:szCs w:val="28"/>
    </w:rPr>
  </w:style>
  <w:style w:type="character" w:styleId="af7">
    <w:name w:val="Emphasis"/>
    <w:basedOn w:val="a0"/>
    <w:uiPriority w:val="20"/>
    <w:qFormat/>
    <w:rsid w:val="00E02963"/>
    <w:rPr>
      <w:i/>
      <w:iCs/>
      <w:color w:val="000000" w:themeColor="text1"/>
    </w:rPr>
  </w:style>
  <w:style w:type="paragraph" w:styleId="af8">
    <w:name w:val="No Spacing"/>
    <w:uiPriority w:val="1"/>
    <w:qFormat/>
    <w:rsid w:val="00E02963"/>
    <w:pPr>
      <w:spacing w:after="0" w:line="240" w:lineRule="auto"/>
    </w:pPr>
  </w:style>
  <w:style w:type="paragraph" w:styleId="af9">
    <w:name w:val="Quote"/>
    <w:basedOn w:val="a"/>
    <w:next w:val="a"/>
    <w:link w:val="afa"/>
    <w:uiPriority w:val="29"/>
    <w:qFormat/>
    <w:rsid w:val="00E0296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a">
    <w:name w:val="ציטוט תו"/>
    <w:basedOn w:val="a0"/>
    <w:link w:val="af9"/>
    <w:uiPriority w:val="29"/>
    <w:rsid w:val="00E029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E02963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ציטוט חזק תו"/>
    <w:basedOn w:val="a0"/>
    <w:link w:val="afb"/>
    <w:uiPriority w:val="30"/>
    <w:rsid w:val="00E02963"/>
    <w:rPr>
      <w:rFonts w:asciiTheme="majorHAnsi" w:eastAsiaTheme="majorEastAsia" w:hAnsiTheme="majorHAnsi" w:cstheme="majorBidi"/>
      <w:sz w:val="24"/>
      <w:szCs w:val="24"/>
    </w:rPr>
  </w:style>
  <w:style w:type="character" w:styleId="afd">
    <w:name w:val="Subtle Emphasis"/>
    <w:basedOn w:val="a0"/>
    <w:uiPriority w:val="19"/>
    <w:qFormat/>
    <w:rsid w:val="00E02963"/>
    <w:rPr>
      <w:i/>
      <w:iCs/>
      <w:color w:val="595959" w:themeColor="text1" w:themeTint="A6"/>
    </w:rPr>
  </w:style>
  <w:style w:type="character" w:styleId="afe">
    <w:name w:val="Intense Emphasis"/>
    <w:basedOn w:val="a0"/>
    <w:uiPriority w:val="21"/>
    <w:qFormat/>
    <w:rsid w:val="00E02963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f">
    <w:name w:val="Subtle Reference"/>
    <w:basedOn w:val="a0"/>
    <w:uiPriority w:val="31"/>
    <w:qFormat/>
    <w:rsid w:val="00E0296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E02963"/>
    <w:rPr>
      <w:b/>
      <w:bCs/>
      <w:caps w:val="0"/>
      <w:smallCaps/>
      <w:color w:val="auto"/>
      <w:spacing w:val="0"/>
      <w:u w:val="single"/>
    </w:rPr>
  </w:style>
  <w:style w:type="character" w:styleId="aff1">
    <w:name w:val="Book Title"/>
    <w:basedOn w:val="a0"/>
    <w:uiPriority w:val="33"/>
    <w:qFormat/>
    <w:rsid w:val="00E02963"/>
    <w:rPr>
      <w:b/>
      <w:bCs/>
      <w:caps w:val="0"/>
      <w:smallCap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E02963"/>
    <w:pPr>
      <w:outlineLvl w:val="9"/>
    </w:pPr>
  </w:style>
  <w:style w:type="paragraph" w:styleId="aff3">
    <w:name w:val="Revision"/>
    <w:hidden/>
    <w:uiPriority w:val="99"/>
    <w:semiHidden/>
    <w:rsid w:val="00C101BE"/>
    <w:pPr>
      <w:bidi w:val="0"/>
      <w:spacing w:after="0" w:line="240" w:lineRule="auto"/>
    </w:pPr>
  </w:style>
  <w:style w:type="paragraph" w:styleId="aff4">
    <w:name w:val="header"/>
    <w:basedOn w:val="a"/>
    <w:link w:val="aff5"/>
    <w:uiPriority w:val="99"/>
    <w:unhideWhenUsed/>
    <w:rsid w:val="00715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f5">
    <w:name w:val="כותרת עליונה תו"/>
    <w:basedOn w:val="a0"/>
    <w:link w:val="aff4"/>
    <w:uiPriority w:val="99"/>
    <w:rsid w:val="007152C3"/>
  </w:style>
  <w:style w:type="paragraph" w:styleId="aff6">
    <w:name w:val="footer"/>
    <w:basedOn w:val="a"/>
    <w:link w:val="aff7"/>
    <w:uiPriority w:val="99"/>
    <w:unhideWhenUsed/>
    <w:rsid w:val="00715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f7">
    <w:name w:val="כותרת תחתונה תו"/>
    <w:basedOn w:val="a0"/>
    <w:link w:val="aff6"/>
    <w:uiPriority w:val="99"/>
    <w:rsid w:val="0071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2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47F4-97BB-4BB8-9B39-EBAE5B1C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2023-08-20T05:54:00Z</dcterms:created>
  <dcterms:modified xsi:type="dcterms:W3CDTF">2023-08-20T05:54:00Z</dcterms:modified>
</cp:coreProperties>
</file>