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B251E6" w:rsidRPr="0047193D" w14:paraId="2DB2B452" w14:textId="77777777" w:rsidTr="003A1356">
        <w:tc>
          <w:tcPr>
            <w:tcW w:w="3343" w:type="dxa"/>
            <w:tcBorders>
              <w:top w:val="nil"/>
              <w:left w:val="nil"/>
              <w:bottom w:val="nil"/>
              <w:right w:val="nil"/>
            </w:tcBorders>
            <w:vAlign w:val="center"/>
          </w:tcPr>
          <w:p w14:paraId="0488DE29" w14:textId="77777777" w:rsidR="00B251E6" w:rsidRPr="0047193D" w:rsidRDefault="00B251E6" w:rsidP="003A1356">
            <w:pPr>
              <w:spacing w:line="480" w:lineRule="auto"/>
              <w:ind w:left="97"/>
              <w:jc w:val="center"/>
              <w:rPr>
                <w:rFonts w:cstheme="minorHAnsi"/>
                <w:b/>
                <w:bCs/>
                <w:sz w:val="24"/>
                <w:szCs w:val="24"/>
              </w:rPr>
            </w:pPr>
            <w:r w:rsidRPr="0047193D">
              <w:rPr>
                <w:rFonts w:cstheme="minorHAnsi"/>
                <w:b/>
                <w:bCs/>
                <w:sz w:val="24"/>
                <w:szCs w:val="24"/>
                <w:rtl/>
              </w:rPr>
              <w:t>בנק ישראל</w:t>
            </w:r>
          </w:p>
          <w:p w14:paraId="11BF6E44" w14:textId="77777777" w:rsidR="00B251E6" w:rsidRPr="0047193D" w:rsidRDefault="00B251E6" w:rsidP="003A1356">
            <w:pPr>
              <w:spacing w:line="480" w:lineRule="auto"/>
              <w:ind w:left="97" w:right="-101"/>
              <w:jc w:val="center"/>
              <w:rPr>
                <w:rFonts w:cstheme="minorHAnsi"/>
                <w:sz w:val="24"/>
                <w:szCs w:val="24"/>
              </w:rPr>
            </w:pPr>
            <w:r w:rsidRPr="0047193D">
              <w:rPr>
                <w:rFonts w:cstheme="minorHAnsi"/>
                <w:sz w:val="24"/>
                <w:szCs w:val="24"/>
                <w:rtl/>
              </w:rPr>
              <w:t>דוברות והסברה כלכלית</w:t>
            </w:r>
          </w:p>
        </w:tc>
        <w:tc>
          <w:tcPr>
            <w:tcW w:w="2596" w:type="dxa"/>
            <w:tcBorders>
              <w:top w:val="nil"/>
              <w:left w:val="nil"/>
              <w:bottom w:val="nil"/>
              <w:right w:val="nil"/>
            </w:tcBorders>
            <w:shd w:val="clear" w:color="auto" w:fill="FFFFFF" w:themeFill="background1"/>
          </w:tcPr>
          <w:p w14:paraId="77F5E6FB" w14:textId="77777777" w:rsidR="00B251E6" w:rsidRPr="0047193D" w:rsidRDefault="00B251E6" w:rsidP="003A1356">
            <w:pPr>
              <w:jc w:val="center"/>
              <w:rPr>
                <w:rFonts w:cstheme="minorHAnsi"/>
                <w:sz w:val="24"/>
                <w:szCs w:val="24"/>
              </w:rPr>
            </w:pPr>
            <w:r w:rsidRPr="0047193D">
              <w:rPr>
                <w:rFonts w:cstheme="minorHAnsi"/>
                <w:noProof/>
                <w:sz w:val="24"/>
                <w:szCs w:val="24"/>
              </w:rPr>
              <w:drawing>
                <wp:inline distT="0" distB="0" distL="0" distR="0" wp14:anchorId="7AB541ED" wp14:editId="16AF0AE6">
                  <wp:extent cx="945515" cy="945515"/>
                  <wp:effectExtent l="0" t="0" r="6985" b="6985"/>
                  <wp:docPr id="2" name="תמונה 2"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14:paraId="2FAB164B" w14:textId="60BEF10C" w:rsidR="00B251E6" w:rsidRPr="0047193D" w:rsidRDefault="00B251E6" w:rsidP="0047193D">
            <w:pPr>
              <w:spacing w:line="480" w:lineRule="auto"/>
              <w:jc w:val="right"/>
              <w:rPr>
                <w:rFonts w:cstheme="minorHAnsi"/>
                <w:sz w:val="24"/>
                <w:szCs w:val="24"/>
              </w:rPr>
            </w:pPr>
            <w:r w:rsidRPr="0047193D">
              <w:rPr>
                <w:rFonts w:cstheme="minorHAnsi"/>
                <w:sz w:val="24"/>
                <w:szCs w:val="24"/>
                <w:rtl/>
              </w:rPr>
              <w:t>‏ירושלים, ‏</w:t>
            </w:r>
            <w:r w:rsidR="0047193D" w:rsidRPr="0047193D">
              <w:rPr>
                <w:rFonts w:cstheme="minorHAnsi" w:hint="cs"/>
                <w:sz w:val="24"/>
                <w:szCs w:val="24"/>
                <w:rtl/>
              </w:rPr>
              <w:t xml:space="preserve">ט' ניסן תשפ"ד </w:t>
            </w:r>
          </w:p>
          <w:p w14:paraId="51831B14" w14:textId="02EF1686" w:rsidR="00B251E6" w:rsidRPr="0047193D" w:rsidRDefault="00B251E6" w:rsidP="0047193D">
            <w:pPr>
              <w:spacing w:line="480" w:lineRule="auto"/>
              <w:jc w:val="right"/>
              <w:rPr>
                <w:rFonts w:cstheme="minorHAnsi"/>
                <w:sz w:val="24"/>
                <w:szCs w:val="24"/>
              </w:rPr>
            </w:pPr>
            <w:r w:rsidRPr="0047193D">
              <w:rPr>
                <w:rFonts w:cstheme="minorHAnsi"/>
                <w:sz w:val="24"/>
                <w:szCs w:val="24"/>
                <w:rtl/>
              </w:rPr>
              <w:t>‏</w:t>
            </w:r>
            <w:r w:rsidR="0047193D" w:rsidRPr="0047193D">
              <w:rPr>
                <w:rFonts w:cstheme="minorHAnsi" w:hint="cs"/>
                <w:sz w:val="24"/>
                <w:szCs w:val="24"/>
                <w:rtl/>
              </w:rPr>
              <w:t xml:space="preserve">17 באפריל 2024 </w:t>
            </w:r>
          </w:p>
        </w:tc>
      </w:tr>
    </w:tbl>
    <w:p w14:paraId="3BBC7067" w14:textId="77777777" w:rsidR="00B251E6" w:rsidRPr="0047193D" w:rsidRDefault="00B251E6" w:rsidP="00B251E6">
      <w:pPr>
        <w:ind w:left="113"/>
        <w:rPr>
          <w:rFonts w:cstheme="minorHAnsi"/>
          <w:sz w:val="24"/>
          <w:szCs w:val="24"/>
          <w:highlight w:val="yellow"/>
          <w:rtl/>
        </w:rPr>
      </w:pPr>
    </w:p>
    <w:p w14:paraId="4730E540" w14:textId="77777777" w:rsidR="00B251E6" w:rsidRPr="0047193D" w:rsidRDefault="00B251E6" w:rsidP="00B251E6">
      <w:pPr>
        <w:spacing w:line="360" w:lineRule="auto"/>
        <w:jc w:val="both"/>
        <w:rPr>
          <w:rFonts w:cstheme="minorHAnsi"/>
          <w:color w:val="000000" w:themeColor="text1"/>
          <w:sz w:val="24"/>
          <w:szCs w:val="24"/>
          <w:rtl/>
        </w:rPr>
      </w:pPr>
      <w:r w:rsidRPr="0047193D">
        <w:rPr>
          <w:rFonts w:cstheme="minorHAnsi"/>
          <w:color w:val="000000" w:themeColor="text1"/>
          <w:sz w:val="24"/>
          <w:szCs w:val="24"/>
          <w:rtl/>
        </w:rPr>
        <w:t xml:space="preserve">הודעה לעיתונות: </w:t>
      </w:r>
    </w:p>
    <w:p w14:paraId="39D7AD2E" w14:textId="77777777" w:rsidR="00B251E6" w:rsidRPr="0047193D" w:rsidRDefault="00B251E6" w:rsidP="00B251E6">
      <w:pPr>
        <w:jc w:val="center"/>
        <w:rPr>
          <w:rFonts w:cstheme="minorHAnsi"/>
          <w:b/>
          <w:bCs/>
          <w:sz w:val="24"/>
          <w:szCs w:val="24"/>
          <w:rtl/>
        </w:rPr>
      </w:pPr>
      <w:bookmarkStart w:id="0" w:name="_GoBack"/>
      <w:r w:rsidRPr="0047193D">
        <w:rPr>
          <w:rFonts w:cstheme="minorHAnsi"/>
          <w:b/>
          <w:bCs/>
          <w:sz w:val="24"/>
          <w:szCs w:val="24"/>
          <w:rtl/>
        </w:rPr>
        <w:t xml:space="preserve">מחקר חדש בבנק ישראל: </w:t>
      </w:r>
    </w:p>
    <w:p w14:paraId="221B8AE4" w14:textId="77777777" w:rsidR="00B251E6" w:rsidRPr="0047193D" w:rsidRDefault="00B251E6" w:rsidP="00B251E6">
      <w:pPr>
        <w:jc w:val="center"/>
        <w:rPr>
          <w:rFonts w:cstheme="minorHAnsi"/>
          <w:b/>
          <w:bCs/>
          <w:sz w:val="24"/>
          <w:szCs w:val="24"/>
          <w:rtl/>
        </w:rPr>
      </w:pPr>
      <w:r w:rsidRPr="0047193D">
        <w:rPr>
          <w:rFonts w:cstheme="minorHAnsi"/>
          <w:b/>
          <w:bCs/>
          <w:sz w:val="24"/>
          <w:szCs w:val="24"/>
          <w:rtl/>
        </w:rPr>
        <w:t>בורסה לאגרות חוב ממשלתיות? עדות ממשבר הקורונה</w:t>
      </w:r>
    </w:p>
    <w:p w14:paraId="37C8B739" w14:textId="69129E7F" w:rsidR="007F30F5" w:rsidRPr="0047193D" w:rsidRDefault="007F30F5" w:rsidP="007F30F5">
      <w:pPr>
        <w:pStyle w:val="ListParagraph"/>
        <w:spacing w:line="360" w:lineRule="auto"/>
        <w:jc w:val="both"/>
        <w:rPr>
          <w:rFonts w:cstheme="minorHAnsi"/>
          <w:sz w:val="24"/>
          <w:szCs w:val="24"/>
          <w:rtl/>
        </w:rPr>
      </w:pPr>
      <w:r w:rsidRPr="0047193D">
        <w:rPr>
          <w:rFonts w:cstheme="minorHAnsi"/>
          <w:sz w:val="24"/>
          <w:szCs w:val="24"/>
          <w:rtl/>
        </w:rPr>
        <w:t>מחקר זה בוחן כיצד משבר הנזילות שהתרחש במרץ 2020 השפיע על שוק אגרות החוב הממשלתיות בישראל באמצעות ניתוח של הפרש הפרשים (</w:t>
      </w:r>
      <w:r w:rsidRPr="0047193D">
        <w:rPr>
          <w:rFonts w:cstheme="minorHAnsi"/>
          <w:sz w:val="24"/>
          <w:szCs w:val="24"/>
        </w:rPr>
        <w:t>difference-in-differences</w:t>
      </w:r>
      <w:r w:rsidRPr="0047193D">
        <w:rPr>
          <w:rFonts w:cstheme="minorHAnsi"/>
          <w:sz w:val="24"/>
          <w:szCs w:val="24"/>
          <w:rtl/>
        </w:rPr>
        <w:t>). במסגרת המחקר הושוו נתוני מרווח קנייה-מכירה (</w:t>
      </w:r>
      <w:r w:rsidRPr="0047193D">
        <w:rPr>
          <w:rFonts w:cstheme="minorHAnsi"/>
          <w:sz w:val="24"/>
          <w:szCs w:val="24"/>
        </w:rPr>
        <w:t>bid-ask spared</w:t>
      </w:r>
      <w:r w:rsidRPr="0047193D">
        <w:rPr>
          <w:rFonts w:cstheme="minorHAnsi"/>
          <w:sz w:val="24"/>
          <w:szCs w:val="24"/>
          <w:rtl/>
        </w:rPr>
        <w:t>) בין שׁוּקֵי בורסה לשוקים שבהם המסחר אינו מתקיים בבורסה.</w:t>
      </w:r>
    </w:p>
    <w:p w14:paraId="0A5766DA" w14:textId="77777777" w:rsidR="00BE4FA8" w:rsidRPr="0047193D" w:rsidRDefault="00BE4FA8" w:rsidP="007F30F5">
      <w:pPr>
        <w:pStyle w:val="ListParagraph"/>
        <w:spacing w:line="360" w:lineRule="auto"/>
        <w:jc w:val="both"/>
        <w:rPr>
          <w:rFonts w:cstheme="minorHAnsi"/>
          <w:sz w:val="24"/>
          <w:szCs w:val="24"/>
          <w:rtl/>
        </w:rPr>
      </w:pPr>
    </w:p>
    <w:p w14:paraId="15AC03C1" w14:textId="064D9325" w:rsidR="007D771D" w:rsidRPr="0047193D" w:rsidRDefault="00BE4FA8" w:rsidP="00BE4FA8">
      <w:pPr>
        <w:pStyle w:val="ListParagraph"/>
        <w:spacing w:line="360" w:lineRule="auto"/>
        <w:jc w:val="both"/>
        <w:rPr>
          <w:rFonts w:cstheme="minorHAnsi"/>
          <w:sz w:val="24"/>
          <w:szCs w:val="24"/>
        </w:rPr>
      </w:pPr>
      <w:r w:rsidRPr="0047193D">
        <w:rPr>
          <w:rFonts w:cstheme="minorHAnsi"/>
          <w:sz w:val="24"/>
          <w:szCs w:val="24"/>
          <w:rtl/>
        </w:rPr>
        <w:t>ה</w:t>
      </w:r>
      <w:r w:rsidR="007D771D" w:rsidRPr="0047193D">
        <w:rPr>
          <w:rFonts w:cstheme="minorHAnsi"/>
          <w:sz w:val="24"/>
          <w:szCs w:val="24"/>
          <w:rtl/>
        </w:rPr>
        <w:t>מחקר משתמש במאפיין ייחודי של שוק אגרות החוב הממשלתיות בישראל, בו המסחר מתקיים בבורסה (</w:t>
      </w:r>
      <w:r w:rsidR="007D771D" w:rsidRPr="0047193D">
        <w:rPr>
          <w:rFonts w:cstheme="minorHAnsi"/>
          <w:sz w:val="24"/>
          <w:szCs w:val="24"/>
        </w:rPr>
        <w:t>Exchange</w:t>
      </w:r>
      <w:r w:rsidR="007D771D" w:rsidRPr="0047193D">
        <w:rPr>
          <w:rFonts w:cstheme="minorHAnsi"/>
          <w:sz w:val="24"/>
          <w:szCs w:val="24"/>
          <w:rtl/>
        </w:rPr>
        <w:t>) ולא מעבר לדלפק (</w:t>
      </w:r>
      <w:r w:rsidR="007D771D" w:rsidRPr="0047193D">
        <w:rPr>
          <w:rFonts w:cstheme="minorHAnsi"/>
          <w:sz w:val="24"/>
          <w:szCs w:val="24"/>
        </w:rPr>
        <w:t>Over-the-counter</w:t>
      </w:r>
      <w:r w:rsidR="007D771D" w:rsidRPr="0047193D">
        <w:rPr>
          <w:rFonts w:cstheme="minorHAnsi"/>
          <w:sz w:val="24"/>
          <w:szCs w:val="24"/>
          <w:rtl/>
        </w:rPr>
        <w:t>), כדי לנתח האם ומדוע מסחר באמצעות בורסה בזמן משבר משפיע על הנזילות בשוק.</w:t>
      </w:r>
    </w:p>
    <w:p w14:paraId="2498280B" w14:textId="6FA24C37" w:rsidR="007F30F5" w:rsidRPr="0047193D" w:rsidRDefault="007F30F5" w:rsidP="004515AD">
      <w:pPr>
        <w:spacing w:line="360" w:lineRule="auto"/>
        <w:ind w:left="720"/>
        <w:jc w:val="both"/>
        <w:rPr>
          <w:rFonts w:cstheme="minorHAnsi"/>
          <w:sz w:val="24"/>
          <w:szCs w:val="24"/>
        </w:rPr>
      </w:pPr>
      <w:r w:rsidRPr="0047193D">
        <w:rPr>
          <w:rFonts w:cstheme="minorHAnsi"/>
          <w:sz w:val="24"/>
          <w:szCs w:val="24"/>
          <w:rtl/>
        </w:rPr>
        <w:t>עיקרי הממצאים במחקר</w:t>
      </w:r>
      <w:r w:rsidRPr="0047193D">
        <w:rPr>
          <w:rFonts w:cstheme="minorHAnsi"/>
          <w:sz w:val="24"/>
          <w:szCs w:val="24"/>
        </w:rPr>
        <w:t>:</w:t>
      </w:r>
    </w:p>
    <w:p w14:paraId="66F36716" w14:textId="47D1FB03" w:rsidR="00B251E6" w:rsidRPr="0047193D" w:rsidRDefault="007D771D" w:rsidP="00DC06F6">
      <w:pPr>
        <w:pStyle w:val="ListParagraph"/>
        <w:numPr>
          <w:ilvl w:val="0"/>
          <w:numId w:val="1"/>
        </w:numPr>
        <w:spacing w:line="360" w:lineRule="auto"/>
        <w:jc w:val="both"/>
        <w:rPr>
          <w:rFonts w:cstheme="minorHAnsi"/>
          <w:b/>
          <w:bCs/>
          <w:sz w:val="24"/>
          <w:szCs w:val="24"/>
        </w:rPr>
      </w:pPr>
      <w:r w:rsidRPr="0047193D">
        <w:rPr>
          <w:rFonts w:cstheme="minorHAnsi"/>
          <w:b/>
          <w:bCs/>
          <w:sz w:val="24"/>
          <w:szCs w:val="24"/>
          <w:rtl/>
        </w:rPr>
        <w:t>בזמן משבר</w:t>
      </w:r>
      <w:r w:rsidR="00925EAD" w:rsidRPr="0047193D">
        <w:rPr>
          <w:rFonts w:cstheme="minorHAnsi"/>
          <w:b/>
          <w:bCs/>
          <w:sz w:val="24"/>
          <w:szCs w:val="24"/>
          <w:rtl/>
        </w:rPr>
        <w:t>,</w:t>
      </w:r>
      <w:r w:rsidRPr="0047193D">
        <w:rPr>
          <w:rFonts w:cstheme="minorHAnsi"/>
          <w:b/>
          <w:bCs/>
          <w:sz w:val="24"/>
          <w:szCs w:val="24"/>
          <w:rtl/>
        </w:rPr>
        <w:t xml:space="preserve"> מסחר בבורסה משפר במידה רבה את הנזילות.</w:t>
      </w:r>
    </w:p>
    <w:p w14:paraId="22C69675" w14:textId="10CB071A" w:rsidR="007D771D" w:rsidRPr="0047193D" w:rsidRDefault="007D771D" w:rsidP="00DC06F6">
      <w:pPr>
        <w:pStyle w:val="ListParagraph"/>
        <w:numPr>
          <w:ilvl w:val="0"/>
          <w:numId w:val="1"/>
        </w:numPr>
        <w:spacing w:line="360" w:lineRule="auto"/>
        <w:jc w:val="both"/>
        <w:rPr>
          <w:rFonts w:cstheme="minorHAnsi"/>
          <w:b/>
          <w:bCs/>
          <w:sz w:val="24"/>
          <w:szCs w:val="24"/>
        </w:rPr>
      </w:pPr>
      <w:r w:rsidRPr="0047193D">
        <w:rPr>
          <w:rFonts w:cstheme="minorHAnsi"/>
          <w:b/>
          <w:bCs/>
          <w:sz w:val="24"/>
          <w:szCs w:val="24"/>
          <w:rtl/>
        </w:rPr>
        <w:t>ניתוח של נתוני עסקאות מהבורסה בישראל מצביע כי השיפור בנזילות נובע מיכולתם של משקיעים לספק נזילות אחד מהשני ומיעילות גבוהה יותר בצורת מסחר בבורסה—האפשרות לקיזוז (</w:t>
      </w:r>
      <w:r w:rsidRPr="0047193D">
        <w:rPr>
          <w:rFonts w:cstheme="minorHAnsi"/>
          <w:b/>
          <w:bCs/>
          <w:sz w:val="24"/>
          <w:szCs w:val="24"/>
        </w:rPr>
        <w:t>netting</w:t>
      </w:r>
      <w:r w:rsidRPr="0047193D">
        <w:rPr>
          <w:rFonts w:cstheme="minorHAnsi"/>
          <w:b/>
          <w:bCs/>
          <w:sz w:val="24"/>
          <w:szCs w:val="24"/>
          <w:rtl/>
        </w:rPr>
        <w:t>) של התחייבויות.</w:t>
      </w:r>
    </w:p>
    <w:p w14:paraId="3786BA5B" w14:textId="65B062F5" w:rsidR="00B251E6" w:rsidRPr="0047193D" w:rsidRDefault="00B251E6" w:rsidP="00B40901">
      <w:pPr>
        <w:tabs>
          <w:tab w:val="left" w:pos="368"/>
        </w:tabs>
        <w:spacing w:after="0" w:line="360" w:lineRule="auto"/>
        <w:jc w:val="both"/>
        <w:rPr>
          <w:rFonts w:cstheme="minorHAnsi"/>
          <w:sz w:val="24"/>
          <w:szCs w:val="24"/>
          <w:rtl/>
        </w:rPr>
      </w:pPr>
      <w:r w:rsidRPr="0047193D">
        <w:rPr>
          <w:rFonts w:cstheme="minorHAnsi"/>
          <w:sz w:val="24"/>
          <w:szCs w:val="24"/>
          <w:rtl/>
        </w:rPr>
        <w:t>שׁוּקֵי אגרות החוב הממשלתיים במרבית המדינות המפותחות, בעיקר בארה"ב, הם שווקים נזילים שידועים כמחסה בטוח (</w:t>
      </w:r>
      <w:r w:rsidRPr="0047193D">
        <w:rPr>
          <w:rFonts w:cstheme="minorHAnsi"/>
          <w:sz w:val="24"/>
          <w:szCs w:val="24"/>
        </w:rPr>
        <w:t>Safe Haven</w:t>
      </w:r>
      <w:r w:rsidRPr="0047193D">
        <w:rPr>
          <w:rFonts w:cstheme="minorHAnsi"/>
          <w:sz w:val="24"/>
          <w:szCs w:val="24"/>
          <w:rtl/>
        </w:rPr>
        <w:t xml:space="preserve">). תפיסה זו השתנתה, לפחות באופן זמני, במרץ 2020 כאשר </w:t>
      </w:r>
      <w:r w:rsidR="00B40901" w:rsidRPr="0047193D">
        <w:rPr>
          <w:rFonts w:cstheme="minorHAnsi"/>
          <w:sz w:val="24"/>
          <w:szCs w:val="24"/>
          <w:rtl/>
        </w:rPr>
        <w:t>השווקים</w:t>
      </w:r>
      <w:r w:rsidR="00B40901" w:rsidRPr="0047193D">
        <w:rPr>
          <w:rFonts w:cstheme="minorHAnsi"/>
          <w:sz w:val="24"/>
          <w:szCs w:val="24"/>
        </w:rPr>
        <w:t xml:space="preserve"> </w:t>
      </w:r>
      <w:r w:rsidRPr="0047193D">
        <w:rPr>
          <w:rFonts w:cstheme="minorHAnsi"/>
          <w:sz w:val="24"/>
          <w:szCs w:val="24"/>
          <w:rtl/>
        </w:rPr>
        <w:t>הללו הפכו ללא נזילים ובנקים מרכזיים ברחבי העולם נאלצו להפעיל שורה של צעדים במטרה להגביר את הנזילות ולתמוך בתפקודם התקין של השווקים</w:t>
      </w:r>
      <w:r w:rsidR="00453859" w:rsidRPr="0047193D">
        <w:rPr>
          <w:rFonts w:cstheme="minorHAnsi"/>
          <w:sz w:val="24"/>
          <w:szCs w:val="24"/>
        </w:rPr>
        <w:t xml:space="preserve"> </w:t>
      </w:r>
      <w:r w:rsidR="00453859" w:rsidRPr="0047193D">
        <w:rPr>
          <w:rFonts w:cstheme="minorHAnsi"/>
          <w:sz w:val="24"/>
          <w:szCs w:val="24"/>
          <w:rtl/>
        </w:rPr>
        <w:t>(רא</w:t>
      </w:r>
      <w:r w:rsidR="004306EB" w:rsidRPr="0047193D">
        <w:rPr>
          <w:rFonts w:cstheme="minorHAnsi"/>
          <w:sz w:val="24"/>
          <w:szCs w:val="24"/>
          <w:rtl/>
        </w:rPr>
        <w:t xml:space="preserve">ו </w:t>
      </w:r>
      <w:r w:rsidR="00453859" w:rsidRPr="0047193D">
        <w:rPr>
          <w:rFonts w:cstheme="minorHAnsi"/>
          <w:b/>
          <w:bCs/>
          <w:sz w:val="24"/>
          <w:szCs w:val="24"/>
          <w:rtl/>
        </w:rPr>
        <w:t>איור 1</w:t>
      </w:r>
      <w:r w:rsidR="00453859" w:rsidRPr="0047193D">
        <w:rPr>
          <w:rFonts w:cstheme="minorHAnsi"/>
          <w:sz w:val="24"/>
          <w:szCs w:val="24"/>
          <w:rtl/>
        </w:rPr>
        <w:t>)</w:t>
      </w:r>
      <w:r w:rsidRPr="0047193D">
        <w:rPr>
          <w:rFonts w:cstheme="minorHAnsi"/>
          <w:sz w:val="24"/>
          <w:szCs w:val="24"/>
          <w:rtl/>
        </w:rPr>
        <w:t xml:space="preserve">. בעקבות המשבר התעורר דיון ער בין חוקרים, רגולטורים וקובעי מדיניות אחרים בעולם, לגבי הצורך </w:t>
      </w:r>
      <w:r w:rsidR="00AE79CC" w:rsidRPr="0047193D">
        <w:rPr>
          <w:rFonts w:cstheme="minorHAnsi"/>
          <w:sz w:val="24"/>
          <w:szCs w:val="24"/>
          <w:rtl/>
        </w:rPr>
        <w:t xml:space="preserve">בשינוי מבני </w:t>
      </w:r>
      <w:r w:rsidRPr="0047193D">
        <w:rPr>
          <w:rFonts w:cstheme="minorHAnsi"/>
          <w:sz w:val="24"/>
          <w:szCs w:val="24"/>
          <w:rtl/>
        </w:rPr>
        <w:t>בשיטת המסחר באגרות חוב ממשלתיות.</w:t>
      </w:r>
    </w:p>
    <w:p w14:paraId="46A80335" w14:textId="77777777" w:rsidR="001863A8" w:rsidRPr="0047193D" w:rsidRDefault="001863A8" w:rsidP="00B251E6">
      <w:pPr>
        <w:tabs>
          <w:tab w:val="left" w:pos="368"/>
        </w:tabs>
        <w:spacing w:after="0" w:line="360" w:lineRule="auto"/>
        <w:jc w:val="both"/>
        <w:rPr>
          <w:rFonts w:cstheme="minorHAnsi"/>
          <w:sz w:val="24"/>
          <w:szCs w:val="24"/>
          <w:rtl/>
        </w:rPr>
      </w:pPr>
    </w:p>
    <w:p w14:paraId="18D0EABB" w14:textId="2F99820F" w:rsidR="00925EAD" w:rsidRPr="0047193D" w:rsidRDefault="00925EAD" w:rsidP="005D3B31">
      <w:pPr>
        <w:tabs>
          <w:tab w:val="left" w:pos="368"/>
        </w:tabs>
        <w:spacing w:after="0" w:line="360" w:lineRule="auto"/>
        <w:rPr>
          <w:rFonts w:cstheme="minorHAnsi"/>
          <w:b/>
          <w:bCs/>
          <w:sz w:val="24"/>
          <w:szCs w:val="24"/>
          <w:rtl/>
        </w:rPr>
      </w:pPr>
    </w:p>
    <w:p w14:paraId="524D06A5" w14:textId="77777777" w:rsidR="00925EAD" w:rsidRPr="0047193D" w:rsidRDefault="00925EAD" w:rsidP="001863A8">
      <w:pPr>
        <w:tabs>
          <w:tab w:val="left" w:pos="368"/>
        </w:tabs>
        <w:spacing w:after="0" w:line="360" w:lineRule="auto"/>
        <w:jc w:val="center"/>
        <w:rPr>
          <w:rFonts w:cstheme="minorHAnsi"/>
          <w:b/>
          <w:bCs/>
          <w:sz w:val="24"/>
          <w:szCs w:val="24"/>
          <w:rtl/>
        </w:rPr>
      </w:pPr>
    </w:p>
    <w:p w14:paraId="368FF367" w14:textId="21C9B5B8" w:rsidR="001863A8" w:rsidRPr="0047193D" w:rsidRDefault="001863A8" w:rsidP="001863A8">
      <w:pPr>
        <w:tabs>
          <w:tab w:val="left" w:pos="368"/>
        </w:tabs>
        <w:spacing w:after="0" w:line="360" w:lineRule="auto"/>
        <w:jc w:val="center"/>
        <w:rPr>
          <w:rFonts w:cstheme="minorHAnsi"/>
          <w:b/>
          <w:bCs/>
          <w:sz w:val="24"/>
          <w:szCs w:val="24"/>
          <w:rtl/>
        </w:rPr>
      </w:pPr>
      <w:r w:rsidRPr="0047193D">
        <w:rPr>
          <w:rFonts w:cstheme="minorHAnsi"/>
          <w:b/>
          <w:bCs/>
          <w:sz w:val="24"/>
          <w:szCs w:val="24"/>
          <w:rtl/>
        </w:rPr>
        <w:lastRenderedPageBreak/>
        <w:t xml:space="preserve">איור </w:t>
      </w:r>
      <w:r w:rsidRPr="0047193D">
        <w:rPr>
          <w:rFonts w:cstheme="minorHAnsi"/>
          <w:b/>
          <w:bCs/>
          <w:sz w:val="24"/>
          <w:szCs w:val="24"/>
        </w:rPr>
        <w:t>1</w:t>
      </w:r>
      <w:r w:rsidRPr="0047193D">
        <w:rPr>
          <w:rFonts w:cstheme="minorHAnsi"/>
          <w:b/>
          <w:bCs/>
          <w:sz w:val="24"/>
          <w:szCs w:val="24"/>
          <w:rtl/>
        </w:rPr>
        <w:t xml:space="preserve"> : סדרה עתית של מרווחי מניות ואג"ח בישראל וארה"ב</w:t>
      </w:r>
    </w:p>
    <w:p w14:paraId="4B798684" w14:textId="77777777" w:rsidR="001863A8" w:rsidRPr="0047193D" w:rsidRDefault="001863A8" w:rsidP="001863A8">
      <w:pPr>
        <w:tabs>
          <w:tab w:val="left" w:pos="368"/>
        </w:tabs>
        <w:spacing w:after="0" w:line="360" w:lineRule="auto"/>
        <w:jc w:val="center"/>
        <w:rPr>
          <w:rFonts w:cstheme="minorHAnsi"/>
          <w:b/>
          <w:bCs/>
          <w:sz w:val="24"/>
          <w:szCs w:val="24"/>
          <w:rtl/>
        </w:rPr>
      </w:pPr>
      <w:r w:rsidRPr="0047193D">
        <w:rPr>
          <w:rFonts w:cstheme="minorHAnsi"/>
          <w:b/>
          <w:bCs/>
          <w:noProof/>
          <w:sz w:val="24"/>
          <w:szCs w:val="24"/>
          <w:rtl/>
          <w14:ligatures w14:val="standardContextual"/>
        </w:rPr>
        <w:drawing>
          <wp:inline distT="0" distB="0" distL="0" distR="0" wp14:anchorId="5441DF50" wp14:editId="7E20DE05">
            <wp:extent cx="5274310" cy="2482215"/>
            <wp:effectExtent l="0" t="0" r="2540" b="0"/>
            <wp:docPr id="358390766" name="Picture 1" descr="A graph showing the value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90766" name="Picture 1" descr="A graph showing the value of a stock mark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r w:rsidRPr="0047193D">
        <w:rPr>
          <w:rFonts w:cstheme="minorHAnsi"/>
          <w:b/>
          <w:bCs/>
          <w:sz w:val="24"/>
          <w:szCs w:val="24"/>
          <w:rtl/>
        </w:rPr>
        <w:t xml:space="preserve"> </w:t>
      </w:r>
    </w:p>
    <w:p w14:paraId="102A5677" w14:textId="77777777" w:rsidR="001863A8" w:rsidRPr="0047193D" w:rsidRDefault="007D16EF" w:rsidP="001863A8">
      <w:pPr>
        <w:tabs>
          <w:tab w:val="left" w:pos="368"/>
        </w:tabs>
        <w:spacing w:after="0" w:line="360" w:lineRule="auto"/>
        <w:jc w:val="both"/>
        <w:rPr>
          <w:rFonts w:cstheme="minorHAnsi"/>
          <w:sz w:val="24"/>
          <w:szCs w:val="24"/>
          <w:rtl/>
        </w:rPr>
      </w:pPr>
      <w:r w:rsidRPr="0047193D">
        <w:rPr>
          <w:rFonts w:cstheme="minorHAnsi"/>
          <w:b/>
          <w:bCs/>
          <w:sz w:val="24"/>
          <w:szCs w:val="24"/>
          <w:rtl/>
        </w:rPr>
        <w:t>מקור</w:t>
      </w:r>
      <w:r w:rsidRPr="0047193D">
        <w:rPr>
          <w:rFonts w:cstheme="minorHAnsi"/>
          <w:sz w:val="24"/>
          <w:szCs w:val="24"/>
          <w:rtl/>
        </w:rPr>
        <w:t>: עיבודי בנק ישראל על נתוני הבורסה לניירות ערך ונתוני בלומברג.</w:t>
      </w:r>
    </w:p>
    <w:p w14:paraId="4343C4E8" w14:textId="77777777" w:rsidR="007D16EF" w:rsidRPr="0047193D" w:rsidRDefault="007D16EF" w:rsidP="001863A8">
      <w:pPr>
        <w:tabs>
          <w:tab w:val="left" w:pos="368"/>
        </w:tabs>
        <w:spacing w:after="0" w:line="360" w:lineRule="auto"/>
        <w:jc w:val="both"/>
        <w:rPr>
          <w:rFonts w:cstheme="minorHAnsi"/>
          <w:sz w:val="24"/>
          <w:szCs w:val="24"/>
        </w:rPr>
      </w:pPr>
    </w:p>
    <w:p w14:paraId="19E5E288" w14:textId="77777777" w:rsidR="00B251E6" w:rsidRPr="0047193D" w:rsidRDefault="00B251E6" w:rsidP="00443A6A">
      <w:pPr>
        <w:tabs>
          <w:tab w:val="left" w:pos="368"/>
        </w:tabs>
        <w:spacing w:after="0" w:line="360" w:lineRule="auto"/>
        <w:jc w:val="both"/>
        <w:rPr>
          <w:rFonts w:cstheme="minorHAnsi"/>
          <w:sz w:val="24"/>
          <w:szCs w:val="24"/>
          <w:rtl/>
        </w:rPr>
      </w:pPr>
      <w:r w:rsidRPr="0047193D">
        <w:rPr>
          <w:rFonts w:cstheme="minorHAnsi"/>
          <w:sz w:val="24"/>
          <w:szCs w:val="24"/>
          <w:rtl/>
        </w:rPr>
        <w:t>אחת מההצעות שהועלו היא שהעסקאות יתבצעו באמצעות סליקה מרכזית ושיתאפשר למשקיעים שונים לסחור ישירות אחד עם השני, בדומה לשיטת המסחר במניות ברחבי העולם (רא</w:t>
      </w:r>
      <w:r w:rsidR="004306EB" w:rsidRPr="0047193D">
        <w:rPr>
          <w:rFonts w:cstheme="minorHAnsi"/>
          <w:sz w:val="24"/>
          <w:szCs w:val="24"/>
          <w:rtl/>
        </w:rPr>
        <w:t>ו</w:t>
      </w:r>
      <w:r w:rsidRPr="0047193D">
        <w:rPr>
          <w:rFonts w:cstheme="minorHAnsi"/>
          <w:sz w:val="24"/>
          <w:szCs w:val="24"/>
          <w:rtl/>
        </w:rPr>
        <w:t xml:space="preserve"> </w:t>
      </w:r>
      <w:r w:rsidRPr="0047193D">
        <w:rPr>
          <w:rFonts w:cstheme="minorHAnsi"/>
          <w:b/>
          <w:bCs/>
          <w:sz w:val="24"/>
          <w:szCs w:val="24"/>
          <w:rtl/>
        </w:rPr>
        <w:t xml:space="preserve">איור </w:t>
      </w:r>
      <w:r w:rsidR="004306EB" w:rsidRPr="0047193D">
        <w:rPr>
          <w:rFonts w:cstheme="minorHAnsi"/>
          <w:b/>
          <w:bCs/>
          <w:sz w:val="24"/>
          <w:szCs w:val="24"/>
          <w:rtl/>
        </w:rPr>
        <w:t>2</w:t>
      </w:r>
      <w:r w:rsidRPr="0047193D">
        <w:rPr>
          <w:rFonts w:cstheme="minorHAnsi"/>
          <w:sz w:val="24"/>
          <w:szCs w:val="24"/>
          <w:rtl/>
        </w:rPr>
        <w:t>). אולם, קשה לספק הוכחות בעד או נגד רפורמה שכזו, מאחר והמסחר באגרות חוב ממשלתיות בעולם אינו מתקיים בבורסה (</w:t>
      </w:r>
      <w:r w:rsidRPr="0047193D">
        <w:rPr>
          <w:rFonts w:cstheme="minorHAnsi"/>
          <w:sz w:val="24"/>
          <w:szCs w:val="24"/>
        </w:rPr>
        <w:t>Exchange</w:t>
      </w:r>
      <w:r w:rsidRPr="0047193D">
        <w:rPr>
          <w:rFonts w:cstheme="minorHAnsi"/>
          <w:sz w:val="24"/>
          <w:szCs w:val="24"/>
          <w:rtl/>
        </w:rPr>
        <w:t>) אלא מעבר לדלפק (</w:t>
      </w:r>
      <w:r w:rsidRPr="0047193D">
        <w:rPr>
          <w:rFonts w:cstheme="minorHAnsi"/>
          <w:sz w:val="24"/>
          <w:szCs w:val="24"/>
        </w:rPr>
        <w:t>Over-the-counter</w:t>
      </w:r>
      <w:r w:rsidRPr="0047193D">
        <w:rPr>
          <w:rFonts w:cstheme="minorHAnsi"/>
          <w:sz w:val="24"/>
          <w:szCs w:val="24"/>
          <w:rtl/>
        </w:rPr>
        <w:t>), לכן איננו יודעים מה היה עשוי לקרות אילו המסחר בשווקים הללו היו מתקיים באמצעות בורסה</w:t>
      </w:r>
      <w:r w:rsidRPr="0047193D">
        <w:rPr>
          <w:rFonts w:cstheme="minorHAnsi"/>
          <w:sz w:val="24"/>
          <w:szCs w:val="24"/>
        </w:rPr>
        <w:t>.</w:t>
      </w:r>
    </w:p>
    <w:p w14:paraId="2330449D" w14:textId="77777777" w:rsidR="005E56D7" w:rsidRPr="0047193D" w:rsidRDefault="005E56D7" w:rsidP="005E56D7">
      <w:pPr>
        <w:tabs>
          <w:tab w:val="left" w:pos="368"/>
        </w:tabs>
        <w:spacing w:after="0" w:line="360" w:lineRule="auto"/>
        <w:jc w:val="center"/>
        <w:rPr>
          <w:rFonts w:cstheme="minorHAnsi"/>
          <w:b/>
          <w:bCs/>
          <w:sz w:val="24"/>
          <w:szCs w:val="24"/>
        </w:rPr>
      </w:pPr>
    </w:p>
    <w:p w14:paraId="0DC50046" w14:textId="77777777" w:rsidR="00B251E6" w:rsidRPr="0047193D" w:rsidRDefault="00B251E6" w:rsidP="00B251E6">
      <w:pPr>
        <w:tabs>
          <w:tab w:val="left" w:pos="368"/>
        </w:tabs>
        <w:spacing w:after="0" w:line="360" w:lineRule="auto"/>
        <w:jc w:val="center"/>
        <w:rPr>
          <w:rFonts w:cstheme="minorHAnsi"/>
          <w:b/>
          <w:bCs/>
          <w:sz w:val="24"/>
          <w:szCs w:val="24"/>
          <w:rtl/>
        </w:rPr>
      </w:pPr>
      <w:r w:rsidRPr="0047193D">
        <w:rPr>
          <w:rFonts w:cstheme="minorHAnsi"/>
          <w:b/>
          <w:bCs/>
          <w:noProof/>
          <w:sz w:val="24"/>
          <w:szCs w:val="24"/>
          <w:rtl/>
        </w:rPr>
        <w:drawing>
          <wp:anchor distT="0" distB="0" distL="114300" distR="114300" simplePos="0" relativeHeight="251659264" behindDoc="0" locked="0" layoutInCell="1" allowOverlap="1" wp14:anchorId="4DF25D7A" wp14:editId="65F8EE4E">
            <wp:simplePos x="0" y="0"/>
            <wp:positionH relativeFrom="column">
              <wp:posOffset>64135</wp:posOffset>
            </wp:positionH>
            <wp:positionV relativeFrom="paragraph">
              <wp:posOffset>201068</wp:posOffset>
            </wp:positionV>
            <wp:extent cx="5086985" cy="1238250"/>
            <wp:effectExtent l="0" t="0" r="0" b="0"/>
            <wp:wrapTopAndBottom/>
            <wp:docPr id="1" name="תמונה 1" descr="A network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A network with dots and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86985" cy="1238250"/>
                    </a:xfrm>
                    <a:prstGeom prst="rect">
                      <a:avLst/>
                    </a:prstGeom>
                  </pic:spPr>
                </pic:pic>
              </a:graphicData>
            </a:graphic>
          </wp:anchor>
        </w:drawing>
      </w:r>
      <w:r w:rsidRPr="0047193D">
        <w:rPr>
          <w:rFonts w:cstheme="minorHAnsi"/>
          <w:b/>
          <w:bCs/>
          <w:sz w:val="24"/>
          <w:szCs w:val="24"/>
          <w:rtl/>
        </w:rPr>
        <w:t xml:space="preserve">איור </w:t>
      </w:r>
      <w:r w:rsidR="005E56D7" w:rsidRPr="0047193D">
        <w:rPr>
          <w:rFonts w:cstheme="minorHAnsi"/>
          <w:b/>
          <w:bCs/>
          <w:sz w:val="24"/>
          <w:szCs w:val="24"/>
        </w:rPr>
        <w:t>2</w:t>
      </w:r>
      <w:r w:rsidR="005E56D7" w:rsidRPr="0047193D">
        <w:rPr>
          <w:rFonts w:cstheme="minorHAnsi"/>
          <w:b/>
          <w:bCs/>
          <w:sz w:val="24"/>
          <w:szCs w:val="24"/>
          <w:rtl/>
        </w:rPr>
        <w:t xml:space="preserve"> </w:t>
      </w:r>
      <w:r w:rsidRPr="0047193D">
        <w:rPr>
          <w:rFonts w:cstheme="minorHAnsi"/>
          <w:b/>
          <w:bCs/>
          <w:sz w:val="24"/>
          <w:szCs w:val="24"/>
          <w:rtl/>
        </w:rPr>
        <w:t xml:space="preserve">: הצעה לשינוי מבנה השוק </w:t>
      </w:r>
    </w:p>
    <w:p w14:paraId="59A82A9C" w14:textId="77777777" w:rsidR="00B251E6" w:rsidRPr="0047193D" w:rsidRDefault="00B251E6" w:rsidP="00B251E6">
      <w:pPr>
        <w:tabs>
          <w:tab w:val="left" w:pos="368"/>
        </w:tabs>
        <w:spacing w:after="0" w:line="360" w:lineRule="auto"/>
        <w:jc w:val="both"/>
        <w:rPr>
          <w:rFonts w:cstheme="minorHAnsi"/>
          <w:sz w:val="24"/>
          <w:szCs w:val="24"/>
          <w:rtl/>
        </w:rPr>
      </w:pPr>
    </w:p>
    <w:p w14:paraId="237790D2" w14:textId="3C4DA9E7" w:rsidR="00B251E6" w:rsidRPr="0047193D" w:rsidRDefault="00B251E6" w:rsidP="001D1B3A">
      <w:pPr>
        <w:tabs>
          <w:tab w:val="left" w:pos="368"/>
        </w:tabs>
        <w:spacing w:after="0" w:line="360" w:lineRule="auto"/>
        <w:jc w:val="both"/>
        <w:rPr>
          <w:rFonts w:cstheme="minorHAnsi"/>
          <w:sz w:val="24"/>
          <w:szCs w:val="24"/>
          <w:rtl/>
        </w:rPr>
      </w:pPr>
      <w:r w:rsidRPr="0047193D">
        <w:rPr>
          <w:rFonts w:cstheme="minorHAnsi"/>
          <w:sz w:val="24"/>
          <w:szCs w:val="24"/>
          <w:rtl/>
        </w:rPr>
        <w:t xml:space="preserve">במחקר שנערך על ידי דניאל נתן וארי קוטאי מחטיבת המחקר בבנק ישראל ומילנה </w:t>
      </w:r>
      <w:proofErr w:type="spellStart"/>
      <w:r w:rsidRPr="0047193D">
        <w:rPr>
          <w:rFonts w:cstheme="minorHAnsi"/>
          <w:sz w:val="24"/>
          <w:szCs w:val="24"/>
          <w:rtl/>
        </w:rPr>
        <w:t>וויטוור</w:t>
      </w:r>
      <w:proofErr w:type="spellEnd"/>
      <w:r w:rsidR="007D16EF" w:rsidRPr="0047193D">
        <w:rPr>
          <w:rFonts w:cstheme="minorHAnsi"/>
          <w:sz w:val="24"/>
          <w:szCs w:val="24"/>
          <w:rtl/>
        </w:rPr>
        <w:t xml:space="preserve"> (</w:t>
      </w:r>
      <w:r w:rsidR="007D16EF" w:rsidRPr="0047193D">
        <w:rPr>
          <w:rFonts w:cstheme="minorHAnsi"/>
          <w:sz w:val="24"/>
          <w:szCs w:val="24"/>
        </w:rPr>
        <w:t xml:space="preserve">Milena </w:t>
      </w:r>
      <w:proofErr w:type="spellStart"/>
      <w:r w:rsidR="007D16EF" w:rsidRPr="0047193D">
        <w:rPr>
          <w:rFonts w:cstheme="minorHAnsi"/>
          <w:sz w:val="24"/>
          <w:szCs w:val="24"/>
        </w:rPr>
        <w:t>Wittwer</w:t>
      </w:r>
      <w:proofErr w:type="spellEnd"/>
      <w:r w:rsidR="007D16EF" w:rsidRPr="0047193D">
        <w:rPr>
          <w:rFonts w:cstheme="minorHAnsi"/>
          <w:sz w:val="24"/>
          <w:szCs w:val="24"/>
          <w:rtl/>
        </w:rPr>
        <w:t>)</w:t>
      </w:r>
      <w:r w:rsidRPr="0047193D">
        <w:rPr>
          <w:rFonts w:cstheme="minorHAnsi"/>
          <w:sz w:val="24"/>
          <w:szCs w:val="24"/>
          <w:rtl/>
        </w:rPr>
        <w:t xml:space="preserve"> מבוסטון </w:t>
      </w:r>
      <w:proofErr w:type="spellStart"/>
      <w:r w:rsidRPr="0047193D">
        <w:rPr>
          <w:rFonts w:cstheme="minorHAnsi"/>
          <w:sz w:val="24"/>
          <w:szCs w:val="24"/>
          <w:rtl/>
        </w:rPr>
        <w:t>קולג</w:t>
      </w:r>
      <w:proofErr w:type="spellEnd"/>
      <w:r w:rsidRPr="0047193D">
        <w:rPr>
          <w:rFonts w:cstheme="minorHAnsi"/>
          <w:sz w:val="24"/>
          <w:szCs w:val="24"/>
          <w:rtl/>
        </w:rPr>
        <w:t xml:space="preserve">', </w:t>
      </w:r>
      <w:r w:rsidR="007F30F5" w:rsidRPr="0047193D">
        <w:rPr>
          <w:rFonts w:cstheme="minorHAnsi"/>
          <w:sz w:val="24"/>
          <w:szCs w:val="24"/>
          <w:rtl/>
        </w:rPr>
        <w:t xml:space="preserve">עשו </w:t>
      </w:r>
      <w:r w:rsidRPr="0047193D">
        <w:rPr>
          <w:rFonts w:cstheme="minorHAnsi"/>
          <w:sz w:val="24"/>
          <w:szCs w:val="24"/>
          <w:rtl/>
        </w:rPr>
        <w:t xml:space="preserve">החוקרים </w:t>
      </w:r>
      <w:r w:rsidR="007F30F5" w:rsidRPr="0047193D">
        <w:rPr>
          <w:rFonts w:cstheme="minorHAnsi"/>
          <w:sz w:val="24"/>
          <w:szCs w:val="24"/>
          <w:rtl/>
        </w:rPr>
        <w:t xml:space="preserve">שימוש </w:t>
      </w:r>
      <w:r w:rsidRPr="0047193D">
        <w:rPr>
          <w:rFonts w:cstheme="minorHAnsi"/>
          <w:sz w:val="24"/>
          <w:szCs w:val="24"/>
          <w:rtl/>
        </w:rPr>
        <w:t xml:space="preserve">במאפיין ייחודי של שוק אגרות החוב הממשלתיות בישראל, בו המסחר כן מתקיים בבורסה, </w:t>
      </w:r>
      <w:r w:rsidR="007F30F5" w:rsidRPr="0047193D">
        <w:rPr>
          <w:rFonts w:cstheme="minorHAnsi"/>
          <w:sz w:val="24"/>
          <w:szCs w:val="24"/>
          <w:rtl/>
        </w:rPr>
        <w:t xml:space="preserve">וזאת על מנת </w:t>
      </w:r>
      <w:r w:rsidRPr="0047193D">
        <w:rPr>
          <w:rFonts w:cstheme="minorHAnsi"/>
          <w:sz w:val="24"/>
          <w:szCs w:val="24"/>
          <w:rtl/>
        </w:rPr>
        <w:t xml:space="preserve"> לענות על </w:t>
      </w:r>
      <w:r w:rsidR="007F30F5" w:rsidRPr="0047193D">
        <w:rPr>
          <w:rFonts w:cstheme="minorHAnsi"/>
          <w:sz w:val="24"/>
          <w:szCs w:val="24"/>
          <w:rtl/>
        </w:rPr>
        <w:t>ה</w:t>
      </w:r>
      <w:r w:rsidRPr="0047193D">
        <w:rPr>
          <w:rFonts w:cstheme="minorHAnsi"/>
          <w:sz w:val="24"/>
          <w:szCs w:val="24"/>
          <w:rtl/>
        </w:rPr>
        <w:t xml:space="preserve">שאלה: האם ומדוע מסחר באמצעות בורסה משפיע על הנזילות בשוק בעת משבר. </w:t>
      </w:r>
      <w:r w:rsidRPr="0047193D">
        <w:rPr>
          <w:rFonts w:cstheme="minorHAnsi"/>
          <w:sz w:val="24"/>
          <w:szCs w:val="24"/>
          <w:rtl/>
        </w:rPr>
        <w:softHyphen/>
      </w:r>
      <w:r w:rsidRPr="0047193D">
        <w:rPr>
          <w:rFonts w:cstheme="minorHAnsi"/>
          <w:sz w:val="24"/>
          <w:szCs w:val="24"/>
          <w:rtl/>
        </w:rPr>
        <w:softHyphen/>
        <w:t xml:space="preserve">החוקרים </w:t>
      </w:r>
      <w:r w:rsidR="007F30F5" w:rsidRPr="0047193D">
        <w:rPr>
          <w:rFonts w:cstheme="minorHAnsi"/>
          <w:sz w:val="24"/>
          <w:szCs w:val="24"/>
          <w:rtl/>
        </w:rPr>
        <w:t>ערכו את ה</w:t>
      </w:r>
      <w:r w:rsidRPr="0047193D">
        <w:rPr>
          <w:rFonts w:cstheme="minorHAnsi"/>
          <w:sz w:val="24"/>
          <w:szCs w:val="24"/>
          <w:rtl/>
        </w:rPr>
        <w:t>ניתוח בשיטה של הפרש הפרשים (</w:t>
      </w:r>
      <w:r w:rsidRPr="0047193D">
        <w:rPr>
          <w:rFonts w:cstheme="minorHAnsi"/>
          <w:sz w:val="24"/>
          <w:szCs w:val="24"/>
        </w:rPr>
        <w:t>difference-in-differences</w:t>
      </w:r>
      <w:r w:rsidRPr="0047193D">
        <w:rPr>
          <w:rFonts w:cstheme="minorHAnsi"/>
          <w:sz w:val="24"/>
          <w:szCs w:val="24"/>
          <w:rtl/>
        </w:rPr>
        <w:t xml:space="preserve">) </w:t>
      </w:r>
      <w:r w:rsidR="007F30F5" w:rsidRPr="0047193D">
        <w:rPr>
          <w:rFonts w:cstheme="minorHAnsi"/>
          <w:sz w:val="24"/>
          <w:szCs w:val="24"/>
          <w:rtl/>
        </w:rPr>
        <w:t xml:space="preserve">ובחנו </w:t>
      </w:r>
      <w:r w:rsidR="00FC418C" w:rsidRPr="0047193D">
        <w:rPr>
          <w:rFonts w:cstheme="minorHAnsi"/>
          <w:sz w:val="24"/>
          <w:szCs w:val="24"/>
          <w:rtl/>
        </w:rPr>
        <w:t xml:space="preserve">את </w:t>
      </w:r>
      <w:r w:rsidRPr="0047193D">
        <w:rPr>
          <w:rFonts w:cstheme="minorHAnsi"/>
          <w:sz w:val="24"/>
          <w:szCs w:val="24"/>
          <w:rtl/>
        </w:rPr>
        <w:t>מרווחי הקנייה-מכירה (</w:t>
      </w:r>
      <w:r w:rsidRPr="0047193D">
        <w:rPr>
          <w:rFonts w:cstheme="minorHAnsi"/>
          <w:sz w:val="24"/>
          <w:szCs w:val="24"/>
        </w:rPr>
        <w:t>bid-ask spared</w:t>
      </w:r>
      <w:r w:rsidRPr="0047193D">
        <w:rPr>
          <w:rFonts w:cstheme="minorHAnsi"/>
          <w:sz w:val="24"/>
          <w:szCs w:val="24"/>
          <w:rtl/>
        </w:rPr>
        <w:t xml:space="preserve">) בשווקים שנסחרים בבורסה: שׁוּקֵי המניות בעולם, שוק אגרות החוב בישראל או שוק </w:t>
      </w:r>
      <w:r w:rsidR="00CD23DF" w:rsidRPr="0047193D">
        <w:rPr>
          <w:rFonts w:cstheme="minorHAnsi"/>
          <w:sz w:val="24"/>
          <w:szCs w:val="24"/>
          <w:rtl/>
        </w:rPr>
        <w:t xml:space="preserve">החוזים </w:t>
      </w:r>
      <w:r w:rsidR="00CD23DF" w:rsidRPr="0047193D">
        <w:rPr>
          <w:rFonts w:cstheme="minorHAnsi"/>
          <w:sz w:val="24"/>
          <w:szCs w:val="24"/>
          <w:rtl/>
        </w:rPr>
        <w:lastRenderedPageBreak/>
        <w:t>העתידיים על אגרות חוב ממשלתיות</w:t>
      </w:r>
      <w:r w:rsidRPr="0047193D">
        <w:rPr>
          <w:rFonts w:cstheme="minorHAnsi"/>
          <w:sz w:val="24"/>
          <w:szCs w:val="24"/>
          <w:rtl/>
        </w:rPr>
        <w:t xml:space="preserve"> בארצות הברית</w:t>
      </w:r>
      <w:r w:rsidR="00CD23DF" w:rsidRPr="0047193D">
        <w:rPr>
          <w:rFonts w:cstheme="minorHAnsi"/>
          <w:sz w:val="24"/>
          <w:szCs w:val="24"/>
          <w:rtl/>
        </w:rPr>
        <w:t xml:space="preserve"> </w:t>
      </w:r>
      <w:r w:rsidR="00485BFD" w:rsidRPr="0047193D">
        <w:rPr>
          <w:rFonts w:cstheme="minorHAnsi"/>
          <w:sz w:val="24"/>
          <w:szCs w:val="24"/>
        </w:rPr>
        <w:t xml:space="preserve"> </w:t>
      </w:r>
      <w:r w:rsidR="00CD23DF" w:rsidRPr="0047193D">
        <w:rPr>
          <w:rFonts w:cstheme="minorHAnsi"/>
          <w:sz w:val="24"/>
          <w:szCs w:val="24"/>
        </w:rPr>
        <w:t>(Treasury futures)</w:t>
      </w:r>
      <w:r w:rsidRPr="0047193D">
        <w:rPr>
          <w:rFonts w:cstheme="minorHAnsi"/>
          <w:sz w:val="24"/>
          <w:szCs w:val="24"/>
          <w:rtl/>
        </w:rPr>
        <w:t xml:space="preserve">לבין שוקים שנסחרים מעבר לדלפק, כמו שוק אגרות החוב הממשלתיות בארצות הברית, גרמניה, יפן, ואנגליה. </w:t>
      </w:r>
    </w:p>
    <w:p w14:paraId="3CFB7C37" w14:textId="77777777" w:rsidR="00B251E6" w:rsidRPr="0047193D" w:rsidRDefault="00B251E6" w:rsidP="00B251E6">
      <w:pPr>
        <w:tabs>
          <w:tab w:val="left" w:pos="368"/>
        </w:tabs>
        <w:spacing w:after="0" w:line="360" w:lineRule="auto"/>
        <w:jc w:val="both"/>
        <w:rPr>
          <w:rFonts w:cstheme="minorHAnsi"/>
          <w:sz w:val="24"/>
          <w:szCs w:val="24"/>
          <w:rtl/>
        </w:rPr>
      </w:pPr>
    </w:p>
    <w:p w14:paraId="16D91F1A" w14:textId="09C115B8" w:rsidR="00B251E6" w:rsidRPr="0047193D" w:rsidRDefault="00B251E6" w:rsidP="001D1B3A">
      <w:pPr>
        <w:tabs>
          <w:tab w:val="left" w:pos="368"/>
        </w:tabs>
        <w:spacing w:after="0" w:line="360" w:lineRule="auto"/>
        <w:jc w:val="both"/>
        <w:rPr>
          <w:rFonts w:cstheme="minorHAnsi"/>
          <w:sz w:val="24"/>
          <w:szCs w:val="24"/>
          <w:rtl/>
        </w:rPr>
      </w:pPr>
      <w:r w:rsidRPr="0047193D">
        <w:rPr>
          <w:rFonts w:cstheme="minorHAnsi"/>
          <w:sz w:val="24"/>
          <w:szCs w:val="24"/>
          <w:rtl/>
        </w:rPr>
        <w:t>ממצאי המחקר מצביעים כי בזמן משבר</w:t>
      </w:r>
      <w:r w:rsidR="00925EAD" w:rsidRPr="0047193D">
        <w:rPr>
          <w:rFonts w:cstheme="minorHAnsi"/>
          <w:sz w:val="24"/>
          <w:szCs w:val="24"/>
          <w:rtl/>
        </w:rPr>
        <w:t>,</w:t>
      </w:r>
      <w:r w:rsidRPr="0047193D">
        <w:rPr>
          <w:rFonts w:cstheme="minorHAnsi"/>
          <w:sz w:val="24"/>
          <w:szCs w:val="24"/>
          <w:rtl/>
        </w:rPr>
        <w:t xml:space="preserve"> מסחר בבורסה משפר במידה רבה את הנזילות. בשלב הראשון החוקרים </w:t>
      </w:r>
      <w:r w:rsidR="007F30F5" w:rsidRPr="0047193D">
        <w:rPr>
          <w:rFonts w:cstheme="minorHAnsi"/>
          <w:sz w:val="24"/>
          <w:szCs w:val="24"/>
          <w:rtl/>
        </w:rPr>
        <w:t xml:space="preserve">בחנו </w:t>
      </w:r>
      <w:r w:rsidRPr="0047193D">
        <w:rPr>
          <w:rFonts w:cstheme="minorHAnsi"/>
          <w:sz w:val="24"/>
          <w:szCs w:val="24"/>
          <w:rtl/>
        </w:rPr>
        <w:t>את הפערים במרווחי הקנייה-מכירה בין אגרות חוב לבין מניות, בין ישראל לבין מדינות בעולם (ארה"ב, גרמניה, יפן ואנגליה),  תוך פיקוח על השפעות הקבועות ברמת מדינה ויום מסחר</w:t>
      </w:r>
      <w:r w:rsidR="00DC4CBD" w:rsidRPr="0047193D">
        <w:rPr>
          <w:rFonts w:cstheme="minorHAnsi"/>
          <w:sz w:val="24"/>
          <w:szCs w:val="24"/>
          <w:rtl/>
        </w:rPr>
        <w:t>,</w:t>
      </w:r>
      <w:r w:rsidRPr="0047193D">
        <w:rPr>
          <w:rFonts w:cstheme="minorHAnsi"/>
          <w:sz w:val="24"/>
          <w:szCs w:val="24"/>
          <w:rtl/>
        </w:rPr>
        <w:t xml:space="preserve"> </w:t>
      </w:r>
      <w:r w:rsidR="007F30F5" w:rsidRPr="0047193D">
        <w:rPr>
          <w:rFonts w:cstheme="minorHAnsi"/>
          <w:sz w:val="24"/>
          <w:szCs w:val="24"/>
          <w:rtl/>
        </w:rPr>
        <w:t>ומצאו</w:t>
      </w:r>
      <w:r w:rsidRPr="0047193D">
        <w:rPr>
          <w:rFonts w:cstheme="minorHAnsi"/>
          <w:sz w:val="24"/>
          <w:szCs w:val="24"/>
          <w:rtl/>
        </w:rPr>
        <w:t xml:space="preserve"> שהמרווחים באגרות החוב בישראל עלו ב-20%-50% פחות בהשוואה למדינות אחרות. בנוסף, החוקרים </w:t>
      </w:r>
      <w:r w:rsidR="007F30F5" w:rsidRPr="0047193D">
        <w:rPr>
          <w:rFonts w:cstheme="minorHAnsi"/>
          <w:sz w:val="24"/>
          <w:szCs w:val="24"/>
          <w:rtl/>
        </w:rPr>
        <w:t xml:space="preserve">השוו </w:t>
      </w:r>
      <w:r w:rsidRPr="0047193D">
        <w:rPr>
          <w:rFonts w:cstheme="minorHAnsi"/>
          <w:sz w:val="24"/>
          <w:szCs w:val="24"/>
          <w:rtl/>
        </w:rPr>
        <w:t xml:space="preserve">בין המרווחים בשוק </w:t>
      </w:r>
      <w:r w:rsidR="00323636" w:rsidRPr="0047193D">
        <w:rPr>
          <w:rFonts w:cstheme="minorHAnsi"/>
          <w:sz w:val="24"/>
          <w:szCs w:val="24"/>
          <w:rtl/>
        </w:rPr>
        <w:t xml:space="preserve">החוזים העתידיים </w:t>
      </w:r>
      <w:r w:rsidR="00BD0E8D" w:rsidRPr="0047193D">
        <w:rPr>
          <w:rFonts w:cstheme="minorHAnsi"/>
          <w:sz w:val="24"/>
          <w:szCs w:val="24"/>
          <w:rtl/>
        </w:rPr>
        <w:t>על אגרות חוב אמריקאיות</w:t>
      </w:r>
      <w:r w:rsidRPr="0047193D">
        <w:rPr>
          <w:rFonts w:cstheme="minorHAnsi"/>
          <w:sz w:val="24"/>
          <w:szCs w:val="24"/>
          <w:rtl/>
        </w:rPr>
        <w:t xml:space="preserve">, שנסחר בבורסה, לבין שוק אגרות החוב האמריקאי </w:t>
      </w:r>
      <w:r w:rsidR="007F30F5" w:rsidRPr="0047193D">
        <w:rPr>
          <w:rFonts w:cstheme="minorHAnsi"/>
          <w:sz w:val="24"/>
          <w:szCs w:val="24"/>
          <w:rtl/>
        </w:rPr>
        <w:t xml:space="preserve">ומצאו </w:t>
      </w:r>
      <w:r w:rsidRPr="0047193D">
        <w:rPr>
          <w:rFonts w:cstheme="minorHAnsi"/>
          <w:sz w:val="24"/>
          <w:szCs w:val="24"/>
          <w:rtl/>
        </w:rPr>
        <w:t xml:space="preserve">שהמרווחים בשוק </w:t>
      </w:r>
      <w:r w:rsidR="00BD0E8D" w:rsidRPr="0047193D">
        <w:rPr>
          <w:rFonts w:cstheme="minorHAnsi"/>
          <w:sz w:val="24"/>
          <w:szCs w:val="24"/>
          <w:rtl/>
        </w:rPr>
        <w:t>בחוזים העתידיים</w:t>
      </w:r>
      <w:r w:rsidR="00485BFD" w:rsidRPr="0047193D">
        <w:rPr>
          <w:rFonts w:cstheme="minorHAnsi"/>
          <w:sz w:val="24"/>
          <w:szCs w:val="24"/>
          <w:rtl/>
        </w:rPr>
        <w:t xml:space="preserve"> </w:t>
      </w:r>
      <w:r w:rsidRPr="0047193D">
        <w:rPr>
          <w:rFonts w:cstheme="minorHAnsi"/>
          <w:sz w:val="24"/>
          <w:szCs w:val="24"/>
          <w:rtl/>
        </w:rPr>
        <w:t xml:space="preserve">עלה ב-63%-66% פחות. במקרה של ישראל החוקרים </w:t>
      </w:r>
      <w:r w:rsidR="007F30F5" w:rsidRPr="0047193D">
        <w:rPr>
          <w:rFonts w:cstheme="minorHAnsi"/>
          <w:sz w:val="24"/>
          <w:szCs w:val="24"/>
          <w:rtl/>
        </w:rPr>
        <w:t xml:space="preserve">עשו שימוש  </w:t>
      </w:r>
      <w:r w:rsidRPr="0047193D">
        <w:rPr>
          <w:rFonts w:cstheme="minorHAnsi"/>
          <w:sz w:val="24"/>
          <w:szCs w:val="24"/>
          <w:rtl/>
        </w:rPr>
        <w:t xml:space="preserve">גם בעובדה שבישראל עסקאות גדולות מתבצעות מעבר לדלפק, </w:t>
      </w:r>
      <w:r w:rsidR="007F30F5" w:rsidRPr="0047193D">
        <w:rPr>
          <w:rFonts w:cstheme="minorHAnsi"/>
          <w:sz w:val="24"/>
          <w:szCs w:val="24"/>
          <w:rtl/>
        </w:rPr>
        <w:t xml:space="preserve">זאת על מנת  </w:t>
      </w:r>
      <w:r w:rsidRPr="0047193D">
        <w:rPr>
          <w:rFonts w:cstheme="minorHAnsi"/>
          <w:sz w:val="24"/>
          <w:szCs w:val="24"/>
          <w:rtl/>
        </w:rPr>
        <w:t xml:space="preserve">להימנע מהשפעת מחיר, </w:t>
      </w:r>
      <w:r w:rsidR="007F30F5" w:rsidRPr="0047193D">
        <w:rPr>
          <w:rFonts w:cstheme="minorHAnsi"/>
          <w:sz w:val="24"/>
          <w:szCs w:val="24"/>
          <w:rtl/>
        </w:rPr>
        <w:t xml:space="preserve">ומצאו </w:t>
      </w:r>
      <w:r w:rsidRPr="0047193D">
        <w:rPr>
          <w:rFonts w:cstheme="minorHAnsi"/>
          <w:sz w:val="24"/>
          <w:szCs w:val="24"/>
          <w:rtl/>
        </w:rPr>
        <w:t xml:space="preserve">שהמרווחים בשוק אגרות החוב הישראלי עלו ב-53%-63% פחות בבורסה </w:t>
      </w:r>
      <w:r w:rsidR="00443A6A" w:rsidRPr="0047193D">
        <w:rPr>
          <w:rFonts w:cstheme="minorHAnsi"/>
          <w:sz w:val="24"/>
          <w:szCs w:val="24"/>
          <w:rtl/>
        </w:rPr>
        <w:t>לעומת ה</w:t>
      </w:r>
      <w:r w:rsidRPr="0047193D">
        <w:rPr>
          <w:rFonts w:cstheme="minorHAnsi"/>
          <w:sz w:val="24"/>
          <w:szCs w:val="24"/>
          <w:rtl/>
        </w:rPr>
        <w:t>מסחר מחוץ לבורסה. על אף שעשויים להיות הסברים חלופיים לכל אחד מתוצאות שהתקבלו בנפרד, העקביות בתוצאות על פני שורה של ניתוחים שונים, מחזקים את הערכה שההבדלים שנמצאו אכן מוסברים על ידי הבדלים בשיטת המסחר.</w:t>
      </w:r>
    </w:p>
    <w:p w14:paraId="228AE91C" w14:textId="77777777" w:rsidR="00B251E6" w:rsidRPr="0047193D" w:rsidRDefault="00B251E6" w:rsidP="00B251E6">
      <w:pPr>
        <w:tabs>
          <w:tab w:val="left" w:pos="368"/>
        </w:tabs>
        <w:spacing w:after="0" w:line="360" w:lineRule="auto"/>
        <w:jc w:val="both"/>
        <w:rPr>
          <w:rFonts w:cstheme="minorHAnsi"/>
          <w:sz w:val="24"/>
          <w:szCs w:val="24"/>
          <w:rtl/>
        </w:rPr>
      </w:pPr>
    </w:p>
    <w:p w14:paraId="461DA7A5" w14:textId="4F6AFBB3" w:rsidR="00900AC3" w:rsidRPr="0047193D" w:rsidRDefault="00B251E6" w:rsidP="001D1B3A">
      <w:pPr>
        <w:tabs>
          <w:tab w:val="left" w:pos="368"/>
        </w:tabs>
        <w:spacing w:after="0" w:line="360" w:lineRule="auto"/>
        <w:jc w:val="both"/>
        <w:rPr>
          <w:rFonts w:cstheme="minorHAnsi"/>
          <w:sz w:val="24"/>
          <w:szCs w:val="24"/>
        </w:rPr>
      </w:pPr>
      <w:r w:rsidRPr="0047193D">
        <w:rPr>
          <w:rFonts w:cstheme="minorHAnsi"/>
          <w:sz w:val="24"/>
          <w:szCs w:val="24"/>
          <w:rtl/>
        </w:rPr>
        <w:t xml:space="preserve">בחלק האחרון של </w:t>
      </w:r>
      <w:r w:rsidR="00443A6A" w:rsidRPr="0047193D">
        <w:rPr>
          <w:rFonts w:cstheme="minorHAnsi"/>
          <w:sz w:val="24"/>
          <w:szCs w:val="24"/>
          <w:rtl/>
        </w:rPr>
        <w:t>ה</w:t>
      </w:r>
      <w:r w:rsidRPr="0047193D">
        <w:rPr>
          <w:rFonts w:cstheme="minorHAnsi"/>
          <w:sz w:val="24"/>
          <w:szCs w:val="24"/>
          <w:rtl/>
        </w:rPr>
        <w:t xml:space="preserve">מחקר, החוקרים </w:t>
      </w:r>
      <w:r w:rsidR="007F30F5" w:rsidRPr="0047193D">
        <w:rPr>
          <w:rFonts w:cstheme="minorHAnsi"/>
          <w:sz w:val="24"/>
          <w:szCs w:val="24"/>
          <w:rtl/>
        </w:rPr>
        <w:t xml:space="preserve">בחנו </w:t>
      </w:r>
      <w:r w:rsidRPr="0047193D">
        <w:rPr>
          <w:rFonts w:cstheme="minorHAnsi"/>
          <w:sz w:val="24"/>
          <w:szCs w:val="24"/>
          <w:rtl/>
        </w:rPr>
        <w:t>שני מאפיינים מרכזיים שקיימים במסחר בבורסה שעשויים לקדם נזילות. ראשית, בבורסה כולם יכולים לסחור עם כולם (</w:t>
      </w:r>
      <w:r w:rsidR="005C1C46" w:rsidRPr="0047193D">
        <w:rPr>
          <w:rFonts w:cstheme="minorHAnsi"/>
          <w:sz w:val="24"/>
          <w:szCs w:val="24"/>
        </w:rPr>
        <w:t>all-to-all trading</w:t>
      </w:r>
      <w:r w:rsidRPr="0047193D">
        <w:rPr>
          <w:rFonts w:cstheme="minorHAnsi"/>
          <w:sz w:val="24"/>
          <w:szCs w:val="24"/>
          <w:rtl/>
        </w:rPr>
        <w:t xml:space="preserve">), לכן משקיעים יכולים לספק נזילות אחד לשני במידה </w:t>
      </w:r>
      <w:r w:rsidR="00443A6A" w:rsidRPr="0047193D">
        <w:rPr>
          <w:rFonts w:cstheme="minorHAnsi"/>
          <w:sz w:val="24"/>
          <w:szCs w:val="24"/>
          <w:rtl/>
        </w:rPr>
        <w:t xml:space="preserve">וסוחרים </w:t>
      </w:r>
      <w:r w:rsidRPr="0047193D">
        <w:rPr>
          <w:rFonts w:cstheme="minorHAnsi"/>
          <w:sz w:val="24"/>
          <w:szCs w:val="24"/>
          <w:rtl/>
        </w:rPr>
        <w:t>(</w:t>
      </w:r>
      <w:r w:rsidRPr="0047193D">
        <w:rPr>
          <w:rFonts w:cstheme="minorHAnsi"/>
          <w:sz w:val="24"/>
          <w:szCs w:val="24"/>
        </w:rPr>
        <w:t>dealers</w:t>
      </w:r>
      <w:r w:rsidRPr="0047193D">
        <w:rPr>
          <w:rFonts w:cstheme="minorHAnsi"/>
          <w:sz w:val="24"/>
          <w:szCs w:val="24"/>
          <w:rtl/>
        </w:rPr>
        <w:t xml:space="preserve">) אינם יכולים או </w:t>
      </w:r>
      <w:r w:rsidR="00443A6A" w:rsidRPr="0047193D">
        <w:rPr>
          <w:rFonts w:cstheme="minorHAnsi"/>
          <w:sz w:val="24"/>
          <w:szCs w:val="24"/>
          <w:rtl/>
        </w:rPr>
        <w:t xml:space="preserve">אינם </w:t>
      </w:r>
      <w:r w:rsidRPr="0047193D">
        <w:rPr>
          <w:rFonts w:cstheme="minorHAnsi"/>
          <w:sz w:val="24"/>
          <w:szCs w:val="24"/>
          <w:rtl/>
        </w:rPr>
        <w:t xml:space="preserve">מעוניינים לספק נזילות. שנית, </w:t>
      </w:r>
      <w:r w:rsidR="00BA4512" w:rsidRPr="0047193D">
        <w:rPr>
          <w:rFonts w:cstheme="minorHAnsi"/>
          <w:sz w:val="24"/>
          <w:szCs w:val="24"/>
          <w:rtl/>
        </w:rPr>
        <w:t>ב</w:t>
      </w:r>
      <w:r w:rsidR="00485BFD" w:rsidRPr="0047193D">
        <w:rPr>
          <w:rFonts w:cstheme="minorHAnsi"/>
          <w:sz w:val="24"/>
          <w:szCs w:val="24"/>
          <w:rtl/>
        </w:rPr>
        <w:t xml:space="preserve">בורסה </w:t>
      </w:r>
      <w:r w:rsidR="00BA4512" w:rsidRPr="0047193D">
        <w:rPr>
          <w:rFonts w:cstheme="minorHAnsi"/>
          <w:sz w:val="24"/>
          <w:szCs w:val="24"/>
          <w:rtl/>
        </w:rPr>
        <w:t>קיימת</w:t>
      </w:r>
      <w:r w:rsidRPr="0047193D">
        <w:rPr>
          <w:rFonts w:cstheme="minorHAnsi"/>
          <w:sz w:val="24"/>
          <w:szCs w:val="24"/>
          <w:rtl/>
        </w:rPr>
        <w:t xml:space="preserve"> סליקה מרכזית, </w:t>
      </w:r>
      <w:r w:rsidR="00443A6A" w:rsidRPr="0047193D">
        <w:rPr>
          <w:rFonts w:cstheme="minorHAnsi"/>
          <w:sz w:val="24"/>
          <w:szCs w:val="24"/>
          <w:rtl/>
        </w:rPr>
        <w:t>ו</w:t>
      </w:r>
      <w:r w:rsidRPr="0047193D">
        <w:rPr>
          <w:rFonts w:cstheme="minorHAnsi"/>
          <w:sz w:val="24"/>
          <w:szCs w:val="24"/>
          <w:rtl/>
        </w:rPr>
        <w:t>לכן מתאפשר קיזוז (</w:t>
      </w:r>
      <w:r w:rsidRPr="0047193D">
        <w:rPr>
          <w:rFonts w:cstheme="minorHAnsi"/>
          <w:sz w:val="24"/>
          <w:szCs w:val="24"/>
        </w:rPr>
        <w:t>netting</w:t>
      </w:r>
      <w:r w:rsidRPr="0047193D">
        <w:rPr>
          <w:rFonts w:cstheme="minorHAnsi"/>
          <w:sz w:val="24"/>
          <w:szCs w:val="24"/>
          <w:rtl/>
        </w:rPr>
        <w:t xml:space="preserve">) </w:t>
      </w:r>
      <w:proofErr w:type="spellStart"/>
      <w:r w:rsidRPr="0047193D">
        <w:rPr>
          <w:rFonts w:cstheme="minorHAnsi"/>
          <w:sz w:val="24"/>
          <w:szCs w:val="24"/>
          <w:rtl/>
        </w:rPr>
        <w:t>מ</w:t>
      </w:r>
      <w:r w:rsidR="00443A6A" w:rsidRPr="0047193D">
        <w:rPr>
          <w:rFonts w:cstheme="minorHAnsi"/>
          <w:sz w:val="24"/>
          <w:szCs w:val="24"/>
          <w:rtl/>
        </w:rPr>
        <w:t>י</w:t>
      </w:r>
      <w:r w:rsidRPr="0047193D">
        <w:rPr>
          <w:rFonts w:cstheme="minorHAnsi"/>
          <w:sz w:val="24"/>
          <w:szCs w:val="24"/>
          <w:rtl/>
        </w:rPr>
        <w:t>ידי</w:t>
      </w:r>
      <w:proofErr w:type="spellEnd"/>
      <w:r w:rsidRPr="0047193D">
        <w:rPr>
          <w:rFonts w:cstheme="minorHAnsi"/>
          <w:sz w:val="24"/>
          <w:szCs w:val="24"/>
          <w:rtl/>
        </w:rPr>
        <w:t xml:space="preserve"> של התחייבויות</w:t>
      </w:r>
      <w:r w:rsidR="00FF1CCA" w:rsidRPr="0047193D">
        <w:rPr>
          <w:rFonts w:cstheme="minorHAnsi"/>
          <w:sz w:val="24"/>
          <w:szCs w:val="24"/>
          <w:rtl/>
        </w:rPr>
        <w:t>.</w:t>
      </w:r>
      <w:r w:rsidRPr="0047193D">
        <w:rPr>
          <w:rFonts w:cstheme="minorHAnsi"/>
          <w:sz w:val="24"/>
          <w:szCs w:val="24"/>
          <w:rtl/>
        </w:rPr>
        <w:t xml:space="preserve"> </w:t>
      </w:r>
      <w:r w:rsidR="00485BFD" w:rsidRPr="0047193D">
        <w:rPr>
          <w:rFonts w:cstheme="minorHAnsi"/>
          <w:sz w:val="24"/>
          <w:szCs w:val="24"/>
          <w:rtl/>
        </w:rPr>
        <w:t>לפיכך, מסחר בבורסה</w:t>
      </w:r>
      <w:r w:rsidRPr="0047193D">
        <w:rPr>
          <w:rFonts w:cstheme="minorHAnsi"/>
          <w:sz w:val="24"/>
          <w:szCs w:val="24"/>
          <w:rtl/>
        </w:rPr>
        <w:t xml:space="preserve"> יעיל יותר</w:t>
      </w:r>
      <w:r w:rsidR="00485BFD" w:rsidRPr="0047193D">
        <w:rPr>
          <w:rFonts w:cstheme="minorHAnsi"/>
          <w:sz w:val="24"/>
          <w:szCs w:val="24"/>
          <w:rtl/>
        </w:rPr>
        <w:t xml:space="preserve">, </w:t>
      </w:r>
      <w:r w:rsidRPr="0047193D">
        <w:rPr>
          <w:rFonts w:cstheme="minorHAnsi"/>
          <w:sz w:val="24"/>
          <w:szCs w:val="24"/>
          <w:rtl/>
        </w:rPr>
        <w:t>קיים</w:t>
      </w:r>
      <w:r w:rsidR="00925EAD" w:rsidRPr="0047193D">
        <w:rPr>
          <w:rFonts w:cstheme="minorHAnsi"/>
          <w:sz w:val="24"/>
          <w:szCs w:val="24"/>
          <w:rtl/>
        </w:rPr>
        <w:t xml:space="preserve"> בו</w:t>
      </w:r>
      <w:r w:rsidRPr="0047193D">
        <w:rPr>
          <w:rFonts w:cstheme="minorHAnsi"/>
          <w:sz w:val="24"/>
          <w:szCs w:val="24"/>
          <w:rtl/>
        </w:rPr>
        <w:t xml:space="preserve"> סיכון סליקה נמוך יותר</w:t>
      </w:r>
      <w:r w:rsidR="00485BFD" w:rsidRPr="0047193D">
        <w:rPr>
          <w:rFonts w:cstheme="minorHAnsi"/>
          <w:sz w:val="24"/>
          <w:szCs w:val="24"/>
          <w:rtl/>
        </w:rPr>
        <w:t>,</w:t>
      </w:r>
      <w:r w:rsidRPr="0047193D">
        <w:rPr>
          <w:rFonts w:cstheme="minorHAnsi"/>
          <w:sz w:val="24"/>
          <w:szCs w:val="24"/>
          <w:rtl/>
        </w:rPr>
        <w:t xml:space="preserve"> ו</w:t>
      </w:r>
      <w:r w:rsidR="00925EAD" w:rsidRPr="0047193D">
        <w:rPr>
          <w:rFonts w:cstheme="minorHAnsi"/>
          <w:sz w:val="24"/>
          <w:szCs w:val="24"/>
          <w:rtl/>
        </w:rPr>
        <w:t xml:space="preserve">כך </w:t>
      </w:r>
      <w:r w:rsidRPr="0047193D">
        <w:rPr>
          <w:rFonts w:cstheme="minorHAnsi"/>
          <w:sz w:val="24"/>
          <w:szCs w:val="24"/>
          <w:rtl/>
        </w:rPr>
        <w:t xml:space="preserve">משתחררים משאבים מהמאזן הפיננסי של הדילרים. </w:t>
      </w:r>
      <w:r w:rsidR="00247712" w:rsidRPr="0047193D">
        <w:rPr>
          <w:rFonts w:cstheme="minorHAnsi"/>
          <w:sz w:val="24"/>
          <w:szCs w:val="24"/>
          <w:rtl/>
        </w:rPr>
        <w:t>ה</w:t>
      </w:r>
      <w:r w:rsidR="007B3E37" w:rsidRPr="0047193D">
        <w:rPr>
          <w:rFonts w:cstheme="minorHAnsi"/>
          <w:sz w:val="24"/>
          <w:szCs w:val="24"/>
          <w:rtl/>
        </w:rPr>
        <w:t>מחקר מוצא</w:t>
      </w:r>
      <w:r w:rsidRPr="0047193D">
        <w:rPr>
          <w:rFonts w:cstheme="minorHAnsi"/>
          <w:sz w:val="24"/>
          <w:szCs w:val="24"/>
          <w:rtl/>
        </w:rPr>
        <w:t xml:space="preserve"> ששני היבטים אלו שיחקו תפקיד מרכזי בישראל, ואילולא המאפיינים הללו היו הבנקים בישראל (שמשמשים </w:t>
      </w:r>
      <w:r w:rsidR="00443A6A" w:rsidRPr="0047193D">
        <w:rPr>
          <w:rFonts w:cstheme="minorHAnsi"/>
          <w:sz w:val="24"/>
          <w:szCs w:val="24"/>
          <w:rtl/>
        </w:rPr>
        <w:t>כסוחרים</w:t>
      </w:r>
      <w:r w:rsidRPr="0047193D">
        <w:rPr>
          <w:rFonts w:cstheme="minorHAnsi"/>
          <w:sz w:val="24"/>
          <w:szCs w:val="24"/>
          <w:rtl/>
        </w:rPr>
        <w:t>) נאלצים לספוג התחייבויות גבוהות יותר בסכום של 2.8 מיליארד שקלים במקום ב-0.6 מיליארד, כפי שהתרחש ב</w:t>
      </w:r>
      <w:r w:rsidR="00485BFD" w:rsidRPr="0047193D">
        <w:rPr>
          <w:rFonts w:cstheme="minorHAnsi"/>
          <w:sz w:val="24"/>
          <w:szCs w:val="24"/>
          <w:rtl/>
        </w:rPr>
        <w:t>פועל. התוצאה מצביעה שבמצב החלופ</w:t>
      </w:r>
      <w:r w:rsidR="00443A6A" w:rsidRPr="0047193D">
        <w:rPr>
          <w:rFonts w:cstheme="minorHAnsi"/>
          <w:sz w:val="24"/>
          <w:szCs w:val="24"/>
          <w:rtl/>
        </w:rPr>
        <w:t>י</w:t>
      </w:r>
      <w:r w:rsidR="003923D9" w:rsidRPr="0047193D">
        <w:rPr>
          <w:rFonts w:cstheme="minorHAnsi"/>
          <w:sz w:val="24"/>
          <w:szCs w:val="24"/>
        </w:rPr>
        <w:t xml:space="preserve"> </w:t>
      </w:r>
      <w:r w:rsidR="003923D9" w:rsidRPr="0047193D">
        <w:rPr>
          <w:rFonts w:cstheme="minorHAnsi"/>
          <w:sz w:val="24"/>
          <w:szCs w:val="24"/>
          <w:rtl/>
        </w:rPr>
        <w:t xml:space="preserve">(מסחר </w:t>
      </w:r>
      <w:r w:rsidR="00D64D4B" w:rsidRPr="0047193D">
        <w:rPr>
          <w:rFonts w:cstheme="minorHAnsi"/>
          <w:sz w:val="24"/>
          <w:szCs w:val="24"/>
          <w:rtl/>
        </w:rPr>
        <w:t xml:space="preserve">מעבר לדלפק) </w:t>
      </w:r>
      <w:r w:rsidRPr="0047193D">
        <w:rPr>
          <w:rFonts w:cstheme="minorHAnsi"/>
          <w:sz w:val="24"/>
          <w:szCs w:val="24"/>
          <w:rtl/>
        </w:rPr>
        <w:t>הבנקים בישראל היו נתקלים בקושי דומה לזה שנתקלו בו הבנקים בארה"ב שלא הצליחו לספוג את כל זרם המכירות האדיר שהתרחש.</w:t>
      </w:r>
      <w:bookmarkEnd w:id="0"/>
    </w:p>
    <w:sectPr w:rsidR="00900AC3" w:rsidRPr="0047193D" w:rsidSect="00B251E6">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AFD6B" w14:textId="77777777" w:rsidR="005D3B31" w:rsidRDefault="005D3B31" w:rsidP="005D3B31">
      <w:pPr>
        <w:spacing w:after="0" w:line="240" w:lineRule="auto"/>
      </w:pPr>
      <w:r>
        <w:separator/>
      </w:r>
    </w:p>
  </w:endnote>
  <w:endnote w:type="continuationSeparator" w:id="0">
    <w:p w14:paraId="40454DDC" w14:textId="77777777" w:rsidR="005D3B31" w:rsidRDefault="005D3B31" w:rsidP="005D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A2A3" w14:textId="77777777" w:rsidR="005D3B31" w:rsidRDefault="005D3B31" w:rsidP="001A6D01">
    <w:pPr>
      <w:pStyle w:val="Footer"/>
      <w:jc w:val="both"/>
      <w:rPr>
        <w:rtl/>
      </w:rPr>
    </w:pPr>
    <w:r>
      <w:rPr>
        <w:noProof/>
      </w:rPr>
      <mc:AlternateContent>
        <mc:Choice Requires="wps">
          <w:drawing>
            <wp:anchor distT="0" distB="0" distL="114300" distR="114300" simplePos="0" relativeHeight="251659264" behindDoc="0" locked="0" layoutInCell="1" allowOverlap="1" wp14:anchorId="7DB678C5" wp14:editId="5C441261">
              <wp:simplePos x="0" y="0"/>
              <wp:positionH relativeFrom="column">
                <wp:posOffset>4607916</wp:posOffset>
              </wp:positionH>
              <wp:positionV relativeFrom="paragraph">
                <wp:posOffset>81584</wp:posOffset>
              </wp:positionV>
              <wp:extent cx="1535430" cy="457200"/>
              <wp:effectExtent l="0" t="0" r="0" b="0"/>
              <wp:wrapNone/>
              <wp:docPr id="3"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20B1D27" w14:textId="77777777" w:rsidR="005D3B31" w:rsidRPr="00B677DC" w:rsidRDefault="005D3B31" w:rsidP="001A6D01">
                          <w:pPr>
                            <w:jc w:val="center"/>
                            <w:rPr>
                              <w:rFonts w:cstheme="minorHAnsi"/>
                              <w:sz w:val="16"/>
                              <w:szCs w:val="16"/>
                              <w:rtl/>
                            </w:rPr>
                          </w:pPr>
                          <w:r w:rsidRPr="00B677DC">
                            <w:rPr>
                              <w:rFonts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B678C5"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" filled="f" stroked="f" strokeweight=".5pt">
              <v:textbox>
                <w:txbxContent>
                  <w:p w14:paraId="220B1D27" w14:textId="77777777" w:rsidR="005D3B31" w:rsidRPr="00B677DC" w:rsidRDefault="005D3B31" w:rsidP="001A6D01">
                    <w:pPr>
                      <w:jc w:val="center"/>
                      <w:rPr>
                        <w:rFonts w:cstheme="minorHAnsi"/>
                        <w:sz w:val="16"/>
                        <w:szCs w:val="16"/>
                        <w:rtl/>
                      </w:rPr>
                    </w:pPr>
                    <w:r w:rsidRPr="00B677DC">
                      <w:rPr>
                        <w:rFonts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3A81F3F9" wp14:editId="26795E0B">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9198385" wp14:editId="02D74FA6">
              <wp:simplePos x="0" y="0"/>
              <wp:positionH relativeFrom="column">
                <wp:posOffset>2796692</wp:posOffset>
              </wp:positionH>
              <wp:positionV relativeFrom="paragraph">
                <wp:posOffset>118796</wp:posOffset>
              </wp:positionV>
              <wp:extent cx="2181860" cy="457200"/>
              <wp:effectExtent l="0" t="0" r="0" b="0"/>
              <wp:wrapNone/>
              <wp:docPr id="4"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4BAC333" w14:textId="77777777" w:rsidR="005D3B31" w:rsidRPr="00B677DC" w:rsidRDefault="005D3B31" w:rsidP="001A6D01">
                          <w:pPr>
                            <w:jc w:val="center"/>
                            <w:rPr>
                              <w:rFonts w:cstheme="minorHAnsi"/>
                              <w:sz w:val="14"/>
                              <w:szCs w:val="14"/>
                              <w:rtl/>
                            </w:rPr>
                          </w:pPr>
                          <w:r w:rsidRPr="00B677DC">
                            <w:rPr>
                              <w:rFonts w:hint="cs"/>
                              <w:noProof/>
                              <w:sz w:val="16"/>
                              <w:szCs w:val="16"/>
                              <w:rtl/>
                            </w:rPr>
                            <w:t xml:space="preserve">עמוד הפייסבוק של בנק ישראל </w:t>
                          </w:r>
                          <w:r w:rsidRPr="00B677DC">
                            <w:rPr>
                              <w:rFonts w:cs="Calibri"/>
                              <w:noProof/>
                              <w:sz w:val="16"/>
                              <w:szCs w:val="16"/>
                              <w:rtl/>
                            </w:rPr>
                            <w:t>–</w:t>
                          </w:r>
                          <w:r w:rsidRPr="00B677DC">
                            <w:rPr>
                              <w:rFonts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198385"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DA0pvPRAIA&#10;AGEEAAAOAAAAAAAAAAAAAAAAAC4CAABkcnMvZTJvRG9jLnhtbFBLAQItABQABgAIAAAAIQDjpQOC&#10;4AAAAAkBAAAPAAAAAAAAAAAAAAAAAJ4EAABkcnMvZG93bnJldi54bWxQSwUGAAAAAAQABADzAAAA&#10;qwUAAAAA&#10;" filled="f" stroked="f" strokeweight=".5pt">
              <v:textbox>
                <w:txbxContent>
                  <w:p w14:paraId="44BAC333" w14:textId="77777777" w:rsidR="005D3B31" w:rsidRPr="00B677DC" w:rsidRDefault="005D3B31" w:rsidP="001A6D01">
                    <w:pPr>
                      <w:jc w:val="center"/>
                      <w:rPr>
                        <w:rFonts w:cstheme="minorHAnsi"/>
                        <w:sz w:val="14"/>
                        <w:szCs w:val="14"/>
                        <w:rtl/>
                      </w:rPr>
                    </w:pPr>
                    <w:r w:rsidRPr="00B677DC">
                      <w:rPr>
                        <w:rFonts w:hint="cs"/>
                        <w:noProof/>
                        <w:sz w:val="16"/>
                        <w:szCs w:val="16"/>
                        <w:rtl/>
                      </w:rPr>
                      <w:t xml:space="preserve">עמוד הפייסבוק של בנק ישראל </w:t>
                    </w:r>
                    <w:r w:rsidRPr="00B677DC">
                      <w:rPr>
                        <w:rFonts w:cs="Calibri"/>
                        <w:noProof/>
                        <w:sz w:val="16"/>
                        <w:szCs w:val="16"/>
                        <w:rtl/>
                      </w:rPr>
                      <w:t>–</w:t>
                    </w:r>
                    <w:r w:rsidRPr="00B677DC">
                      <w:rPr>
                        <w:rFonts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19174DFA" wp14:editId="2E172BEB">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9FC9469" wp14:editId="79D66944">
              <wp:simplePos x="0" y="0"/>
              <wp:positionH relativeFrom="margin">
                <wp:posOffset>1013562</wp:posOffset>
              </wp:positionH>
              <wp:positionV relativeFrom="paragraph">
                <wp:posOffset>150520</wp:posOffset>
              </wp:positionV>
              <wp:extent cx="2129790" cy="621030"/>
              <wp:effectExtent l="0" t="0" r="0" b="7620"/>
              <wp:wrapNone/>
              <wp:docPr id="5"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4FFD9E4A" w14:textId="77777777" w:rsidR="005D3B31" w:rsidRPr="00B677DC" w:rsidRDefault="005D3B31" w:rsidP="001A6D01">
                          <w:pPr>
                            <w:jc w:val="center"/>
                            <w:rPr>
                              <w:rFonts w:cstheme="minorHAnsi"/>
                              <w:sz w:val="16"/>
                              <w:szCs w:val="16"/>
                              <w:rtl/>
                            </w:rPr>
                          </w:pPr>
                          <w:r w:rsidRPr="00B677DC">
                            <w:rPr>
                              <w:rFonts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9469"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" filled="f" stroked="f" strokeweight=".5pt">
              <v:textbox>
                <w:txbxContent>
                  <w:p w14:paraId="4FFD9E4A" w14:textId="77777777" w:rsidR="005D3B31" w:rsidRPr="00B677DC" w:rsidRDefault="005D3B31" w:rsidP="001A6D01">
                    <w:pPr>
                      <w:jc w:val="center"/>
                      <w:rPr>
                        <w:rFonts w:cstheme="minorHAnsi"/>
                        <w:sz w:val="16"/>
                        <w:szCs w:val="16"/>
                        <w:rtl/>
                      </w:rPr>
                    </w:pPr>
                    <w:r w:rsidRPr="00B677DC">
                      <w:rPr>
                        <w:rFonts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31914FD6" wp14:editId="2EB0A194">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493386A1" wp14:editId="58C09C7D">
              <wp:simplePos x="0" y="0"/>
              <wp:positionH relativeFrom="margin">
                <wp:posOffset>-811480</wp:posOffset>
              </wp:positionH>
              <wp:positionV relativeFrom="paragraph">
                <wp:posOffset>149250</wp:posOffset>
              </wp:positionV>
              <wp:extent cx="2130281" cy="621030"/>
              <wp:effectExtent l="0" t="0" r="0" b="7620"/>
              <wp:wrapNone/>
              <wp:docPr id="7"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6D3954C6" w14:textId="77777777" w:rsidR="005D3B31" w:rsidRPr="00F20046" w:rsidRDefault="005D3B31" w:rsidP="001A6D01">
                          <w:pPr>
                            <w:jc w:val="center"/>
                            <w:rPr>
                              <w:rFonts w:cs="Calibri"/>
                              <w:noProof/>
                              <w:sz w:val="16"/>
                              <w:szCs w:val="16"/>
                              <w:rtl/>
                            </w:rPr>
                          </w:pPr>
                          <w:r>
                            <w:rPr>
                              <w:rFonts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86A1"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Bu&#10;VYyTSAIAAGEEAAAOAAAAAAAAAAAAAAAAAC4CAABkcnMvZTJvRG9jLnhtbFBLAQItABQABgAIAAAA&#10;IQBu/Md84gAAAAsBAAAPAAAAAAAAAAAAAAAAAKIEAABkcnMvZG93bnJldi54bWxQSwUGAAAAAAQA&#10;BADzAAAAsQUAAAAA&#10;" filled="f" stroked="f" strokeweight=".5pt">
              <v:textbox>
                <w:txbxContent>
                  <w:p w14:paraId="6D3954C6" w14:textId="77777777" w:rsidR="005D3B31" w:rsidRPr="00F20046" w:rsidRDefault="005D3B31" w:rsidP="001A6D01">
                    <w:pPr>
                      <w:jc w:val="center"/>
                      <w:rPr>
                        <w:rFonts w:cs="Calibri"/>
                        <w:noProof/>
                        <w:sz w:val="16"/>
                        <w:szCs w:val="16"/>
                        <w:rtl/>
                      </w:rPr>
                    </w:pPr>
                    <w:r>
                      <w:rPr>
                        <w:rFonts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7040449E" wp14:editId="6C95601A">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994A548" wp14:editId="16957AEC">
              <wp:simplePos x="0" y="0"/>
              <wp:positionH relativeFrom="column">
                <wp:posOffset>-81915</wp:posOffset>
              </wp:positionH>
              <wp:positionV relativeFrom="paragraph">
                <wp:posOffset>-223149</wp:posOffset>
              </wp:positionV>
              <wp:extent cx="6228080" cy="0"/>
              <wp:effectExtent l="0" t="0" r="20320" b="19050"/>
              <wp:wrapNone/>
              <wp:docPr id="8"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5DCA4"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" strokecolor="black [3200]" strokeweight=".5pt">
              <v:stroke joinstyle="miter"/>
            </v:line>
          </w:pict>
        </mc:Fallback>
      </mc:AlternateContent>
    </w:r>
  </w:p>
  <w:p w14:paraId="7C6304A7" w14:textId="77777777" w:rsidR="005D3B31" w:rsidRDefault="005D3B31">
    <w:pPr>
      <w:pStyle w:val="Footer"/>
    </w:pPr>
  </w:p>
  <w:p w14:paraId="3102F8B6" w14:textId="77777777" w:rsidR="005D3B31" w:rsidRDefault="005D3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6631" w14:textId="77777777" w:rsidR="005D3B31" w:rsidRDefault="005D3B31" w:rsidP="005D3B31">
      <w:pPr>
        <w:spacing w:after="0" w:line="240" w:lineRule="auto"/>
      </w:pPr>
      <w:r>
        <w:separator/>
      </w:r>
    </w:p>
  </w:footnote>
  <w:footnote w:type="continuationSeparator" w:id="0">
    <w:p w14:paraId="58450D9E" w14:textId="77777777" w:rsidR="005D3B31" w:rsidRDefault="005D3B31" w:rsidP="005D3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112CA"/>
    <w:multiLevelType w:val="hybridMultilevel"/>
    <w:tmpl w:val="B8644EF2"/>
    <w:lvl w:ilvl="0" w:tplc="DE82AE2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0MrYwNDU0NDc0NDVW0lEKTi0uzszPAykwqgUAtCMtdywAAAA="/>
  </w:docVars>
  <w:rsids>
    <w:rsidRoot w:val="00B251E6"/>
    <w:rsid w:val="001863A8"/>
    <w:rsid w:val="001D1B3A"/>
    <w:rsid w:val="0023023D"/>
    <w:rsid w:val="00247712"/>
    <w:rsid w:val="00323636"/>
    <w:rsid w:val="00365394"/>
    <w:rsid w:val="003923D9"/>
    <w:rsid w:val="00400195"/>
    <w:rsid w:val="004306EB"/>
    <w:rsid w:val="00443A6A"/>
    <w:rsid w:val="004515AD"/>
    <w:rsid w:val="00453859"/>
    <w:rsid w:val="0047193D"/>
    <w:rsid w:val="00485BFD"/>
    <w:rsid w:val="00493F80"/>
    <w:rsid w:val="00566AA4"/>
    <w:rsid w:val="005670B9"/>
    <w:rsid w:val="005C1C46"/>
    <w:rsid w:val="005D3B31"/>
    <w:rsid w:val="005E07B2"/>
    <w:rsid w:val="005E56D7"/>
    <w:rsid w:val="00666E1E"/>
    <w:rsid w:val="00690268"/>
    <w:rsid w:val="007B3E37"/>
    <w:rsid w:val="007D16EF"/>
    <w:rsid w:val="007D771D"/>
    <w:rsid w:val="007F30F5"/>
    <w:rsid w:val="00900AC3"/>
    <w:rsid w:val="00910984"/>
    <w:rsid w:val="00925EAD"/>
    <w:rsid w:val="00AE79CC"/>
    <w:rsid w:val="00B251E6"/>
    <w:rsid w:val="00B40901"/>
    <w:rsid w:val="00BA4512"/>
    <w:rsid w:val="00BD0E8D"/>
    <w:rsid w:val="00BE4FA8"/>
    <w:rsid w:val="00C12CAE"/>
    <w:rsid w:val="00C2131D"/>
    <w:rsid w:val="00CD23DF"/>
    <w:rsid w:val="00D64D4B"/>
    <w:rsid w:val="00DC06F6"/>
    <w:rsid w:val="00DC4CBD"/>
    <w:rsid w:val="00E2283A"/>
    <w:rsid w:val="00E43D5B"/>
    <w:rsid w:val="00EF4E1D"/>
    <w:rsid w:val="00FB46A5"/>
    <w:rsid w:val="00FC418C"/>
    <w:rsid w:val="00FF1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CAB32"/>
  <w15:chartTrackingRefBased/>
  <w15:docId w15:val="{DEC6F652-F94F-4595-888C-4E703DE0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E6"/>
    <w:pPr>
      <w:bidi/>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C418C"/>
    <w:pPr>
      <w:spacing w:after="0" w:line="240" w:lineRule="auto"/>
    </w:pPr>
    <w:rPr>
      <w:kern w:val="0"/>
      <w14:ligatures w14:val="none"/>
    </w:rPr>
  </w:style>
  <w:style w:type="paragraph" w:styleId="BalloonText">
    <w:name w:val="Balloon Text"/>
    <w:basedOn w:val="Normal"/>
    <w:link w:val="BalloonTextChar"/>
    <w:uiPriority w:val="99"/>
    <w:semiHidden/>
    <w:unhideWhenUsed/>
    <w:rsid w:val="00485BF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85BFD"/>
    <w:rPr>
      <w:rFonts w:ascii="Tahoma" w:hAnsi="Tahoma" w:cs="Tahoma"/>
      <w:kern w:val="0"/>
      <w:sz w:val="18"/>
      <w:szCs w:val="18"/>
      <w14:ligatures w14:val="none"/>
    </w:rPr>
  </w:style>
  <w:style w:type="character" w:styleId="CommentReference">
    <w:name w:val="annotation reference"/>
    <w:basedOn w:val="DefaultParagraphFont"/>
    <w:uiPriority w:val="99"/>
    <w:semiHidden/>
    <w:unhideWhenUsed/>
    <w:rsid w:val="00E2283A"/>
    <w:rPr>
      <w:sz w:val="16"/>
      <w:szCs w:val="16"/>
    </w:rPr>
  </w:style>
  <w:style w:type="paragraph" w:styleId="CommentText">
    <w:name w:val="annotation text"/>
    <w:basedOn w:val="Normal"/>
    <w:link w:val="CommentTextChar"/>
    <w:uiPriority w:val="99"/>
    <w:semiHidden/>
    <w:unhideWhenUsed/>
    <w:rsid w:val="00E2283A"/>
    <w:pPr>
      <w:spacing w:line="240" w:lineRule="auto"/>
    </w:pPr>
    <w:rPr>
      <w:sz w:val="20"/>
      <w:szCs w:val="20"/>
    </w:rPr>
  </w:style>
  <w:style w:type="character" w:customStyle="1" w:styleId="CommentTextChar">
    <w:name w:val="Comment Text Char"/>
    <w:basedOn w:val="DefaultParagraphFont"/>
    <w:link w:val="CommentText"/>
    <w:uiPriority w:val="99"/>
    <w:semiHidden/>
    <w:rsid w:val="00E2283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283A"/>
    <w:rPr>
      <w:b/>
      <w:bCs/>
    </w:rPr>
  </w:style>
  <w:style w:type="character" w:customStyle="1" w:styleId="CommentSubjectChar">
    <w:name w:val="Comment Subject Char"/>
    <w:basedOn w:val="CommentTextChar"/>
    <w:link w:val="CommentSubject"/>
    <w:uiPriority w:val="99"/>
    <w:semiHidden/>
    <w:rsid w:val="00E2283A"/>
    <w:rPr>
      <w:b/>
      <w:bCs/>
      <w:kern w:val="0"/>
      <w:sz w:val="20"/>
      <w:szCs w:val="20"/>
      <w14:ligatures w14:val="none"/>
    </w:rPr>
  </w:style>
  <w:style w:type="paragraph" w:styleId="ListParagraph">
    <w:name w:val="List Paragraph"/>
    <w:basedOn w:val="Normal"/>
    <w:uiPriority w:val="34"/>
    <w:qFormat/>
    <w:rsid w:val="007D771D"/>
    <w:pPr>
      <w:ind w:left="720"/>
      <w:contextualSpacing/>
    </w:pPr>
  </w:style>
  <w:style w:type="paragraph" w:styleId="Header">
    <w:name w:val="header"/>
    <w:basedOn w:val="Normal"/>
    <w:link w:val="HeaderChar"/>
    <w:uiPriority w:val="99"/>
    <w:unhideWhenUsed/>
    <w:rsid w:val="005D3B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B31"/>
    <w:rPr>
      <w:kern w:val="0"/>
      <w14:ligatures w14:val="none"/>
    </w:rPr>
  </w:style>
  <w:style w:type="paragraph" w:styleId="Footer">
    <w:name w:val="footer"/>
    <w:basedOn w:val="Normal"/>
    <w:link w:val="FooterChar"/>
    <w:uiPriority w:val="99"/>
    <w:unhideWhenUsed/>
    <w:rsid w:val="005D3B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B31"/>
    <w:rPr>
      <w:kern w:val="0"/>
      <w14:ligatures w14:val="none"/>
    </w:rPr>
  </w:style>
  <w:style w:type="character" w:styleId="Hyperlink">
    <w:name w:val="Hyperlink"/>
    <w:basedOn w:val="DefaultParagraphFont"/>
    <w:uiPriority w:val="99"/>
    <w:unhideWhenUsed/>
    <w:rsid w:val="005D3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6.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DCCB-8477-4C35-926A-F15E2503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3618</Characters>
  <Application>Microsoft Office Word</Application>
  <DocSecurity>4</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Nathan</dc:creator>
  <cp:keywords/>
  <dc:description/>
  <cp:lastModifiedBy>רוסול דכוור</cp:lastModifiedBy>
  <cp:revision>2</cp:revision>
  <dcterms:created xsi:type="dcterms:W3CDTF">2024-04-17T09:44:00Z</dcterms:created>
  <dcterms:modified xsi:type="dcterms:W3CDTF">2024-04-17T09:44:00Z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f92fcef6-0172-4b48-ac01-95d1f2838e78</vt:lpwstr>
  </property>
</Properties>
</file>