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5402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F62B8D" w:rsidRDefault="00E05CC5" w:rsidP="0029736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F62B8D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F62B8D" w:rsidRDefault="00E05CC5" w:rsidP="0029736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62B8D">
              <w:rPr>
                <w:rFonts w:ascii="Calibri" w:hAnsi="Calibri"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F62B8D" w:rsidRDefault="00E05CC5" w:rsidP="0029736D">
            <w:pPr>
              <w:jc w:val="center"/>
              <w:rPr>
                <w:rFonts w:ascii="Calibri" w:hAnsi="Calibri" w:cs="Calibri"/>
              </w:rPr>
            </w:pPr>
            <w:r w:rsidRPr="00F62B8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F62B8D" w:rsidRDefault="00E05CC5" w:rsidP="009005BA">
            <w:pPr>
              <w:jc w:val="right"/>
              <w:rPr>
                <w:rFonts w:ascii="Calibri" w:hAnsi="Calibri" w:cs="Calibri"/>
                <w:rtl/>
              </w:rPr>
            </w:pPr>
            <w:r w:rsidRPr="00F62B8D">
              <w:rPr>
                <w:rFonts w:ascii="Calibri" w:hAnsi="Calibri" w:cs="Calibri"/>
                <w:highlight w:val="green"/>
                <w:rtl/>
              </w:rPr>
              <w:t>‏</w:t>
            </w:r>
            <w:r w:rsidRPr="00F62B8D">
              <w:rPr>
                <w:rFonts w:ascii="Calibri" w:hAnsi="Calibri" w:cs="Times New Roman"/>
                <w:rtl/>
              </w:rPr>
              <w:t>ירושלים</w:t>
            </w:r>
            <w:r w:rsidRPr="00F62B8D">
              <w:rPr>
                <w:rFonts w:ascii="Calibri" w:hAnsi="Calibri" w:cs="Calibri"/>
                <w:rtl/>
              </w:rPr>
              <w:t xml:space="preserve">, </w:t>
            </w:r>
            <w:r w:rsidRPr="00F62B8D">
              <w:rPr>
                <w:rFonts w:ascii="Calibri" w:hAnsi="Calibri" w:cs="Calibri"/>
                <w:rtl/>
              </w:rPr>
              <w:fldChar w:fldCharType="begin"/>
            </w:r>
            <w:r w:rsidRPr="00F62B8D">
              <w:rPr>
                <w:rFonts w:ascii="Calibri" w:hAnsi="Calibri" w:cs="Calibri"/>
                <w:rtl/>
              </w:rPr>
              <w:instrText xml:space="preserve"> </w:instrText>
            </w:r>
            <w:r w:rsidRPr="00F62B8D">
              <w:rPr>
                <w:rFonts w:ascii="Calibri" w:hAnsi="Calibri" w:cs="Calibri"/>
              </w:rPr>
              <w:instrText>DATE</w:instrText>
            </w:r>
            <w:r w:rsidRPr="00F62B8D">
              <w:rPr>
                <w:rFonts w:ascii="Calibri" w:hAnsi="Calibri" w:cs="Calibri"/>
                <w:rtl/>
              </w:rPr>
              <w:instrText xml:space="preserve"> \@ "</w:instrText>
            </w:r>
            <w:r w:rsidRPr="00F62B8D">
              <w:rPr>
                <w:rFonts w:ascii="Calibri" w:hAnsi="Calibri" w:cs="Calibri"/>
              </w:rPr>
              <w:instrText>d MMMM, yyyy" \h</w:instrText>
            </w:r>
            <w:r w:rsidRPr="00F62B8D">
              <w:rPr>
                <w:rFonts w:ascii="Calibri" w:hAnsi="Calibri" w:cs="Calibri"/>
                <w:rtl/>
              </w:rPr>
              <w:instrText xml:space="preserve"> </w:instrText>
            </w:r>
            <w:r w:rsidRPr="00F62B8D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‏י"א ניסן, תשפ"ה</w:t>
            </w:r>
            <w:r w:rsidRPr="00F62B8D">
              <w:rPr>
                <w:rFonts w:ascii="Calibri" w:hAnsi="Calibri" w:cs="Calibri"/>
                <w:rtl/>
              </w:rPr>
              <w:fldChar w:fldCharType="end"/>
            </w:r>
          </w:p>
          <w:p w:rsidR="009005BA" w:rsidRPr="00F62B8D" w:rsidRDefault="00E05CC5" w:rsidP="009005BA">
            <w:pPr>
              <w:jc w:val="right"/>
              <w:rPr>
                <w:rFonts w:ascii="Calibri" w:hAnsi="Calibri" w:cs="Calibri"/>
                <w:highlight w:val="green"/>
              </w:rPr>
            </w:pPr>
            <w:r w:rsidRPr="00F62B8D">
              <w:rPr>
                <w:rFonts w:ascii="Calibri" w:hAnsi="Calibri" w:cs="Calibri"/>
                <w:rtl/>
              </w:rPr>
              <w:fldChar w:fldCharType="begin"/>
            </w:r>
            <w:r w:rsidRPr="00F62B8D">
              <w:rPr>
                <w:rFonts w:ascii="Calibri" w:hAnsi="Calibri" w:cs="Calibri"/>
                <w:rtl/>
              </w:rPr>
              <w:instrText xml:space="preserve"> </w:instrText>
            </w:r>
            <w:r w:rsidRPr="00F62B8D">
              <w:rPr>
                <w:rFonts w:ascii="Calibri" w:hAnsi="Calibri" w:cs="Calibri"/>
              </w:rPr>
              <w:instrText>DATE</w:instrText>
            </w:r>
            <w:r w:rsidRPr="00F62B8D">
              <w:rPr>
                <w:rFonts w:ascii="Calibri" w:hAnsi="Calibri" w:cs="Calibri"/>
                <w:rtl/>
              </w:rPr>
              <w:instrText xml:space="preserve"> \@ "</w:instrText>
            </w:r>
            <w:r w:rsidRPr="00F62B8D">
              <w:rPr>
                <w:rFonts w:ascii="Calibri" w:hAnsi="Calibri" w:cs="Calibri"/>
              </w:rPr>
              <w:instrText>d MMMM, yyyy</w:instrText>
            </w:r>
            <w:r w:rsidRPr="00F62B8D">
              <w:rPr>
                <w:rFonts w:ascii="Calibri" w:hAnsi="Calibri" w:cs="Calibri"/>
                <w:rtl/>
              </w:rPr>
              <w:instrText xml:space="preserve">" </w:instrText>
            </w:r>
            <w:r w:rsidRPr="00F62B8D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‏9 אפריל, 2025</w:t>
            </w:r>
            <w:r w:rsidRPr="00F62B8D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9005BA" w:rsidRPr="00F62B8D" w:rsidRDefault="009005BA" w:rsidP="007B0741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</w:p>
    <w:p w:rsidR="00B122A8" w:rsidRPr="00F62B8D" w:rsidRDefault="00E05CC5" w:rsidP="00B122A8">
      <w:pPr>
        <w:tabs>
          <w:tab w:val="left" w:pos="2315"/>
        </w:tabs>
        <w:rPr>
          <w:rFonts w:ascii="Calibri" w:hAnsi="Calibri" w:cs="Calibri"/>
          <w:b/>
          <w:bCs/>
          <w:rtl/>
        </w:rPr>
      </w:pPr>
      <w:r>
        <w:rPr>
          <w:rFonts w:ascii="Calibri" w:hAnsi="Calibri" w:cs="Times New Roman" w:hint="cs"/>
          <w:sz w:val="24"/>
          <w:szCs w:val="24"/>
          <w:rtl/>
          <w:lang w:bidi="ar-SA"/>
        </w:rPr>
        <w:t>إعلان للصحافة</w:t>
      </w:r>
      <w:r w:rsidR="008E761A" w:rsidRPr="00F62B8D">
        <w:rPr>
          <w:rFonts w:ascii="Calibri" w:hAnsi="Calibri" w:cs="Calibri"/>
          <w:sz w:val="24"/>
          <w:szCs w:val="24"/>
          <w:rtl/>
        </w:rPr>
        <w:t>:</w:t>
      </w:r>
      <w:r w:rsidRPr="00F62B8D">
        <w:rPr>
          <w:rFonts w:ascii="Calibri" w:hAnsi="Calibri" w:cs="Calibri"/>
          <w:b/>
          <w:bCs/>
          <w:rtl/>
        </w:rPr>
        <w:t xml:space="preserve"> </w:t>
      </w:r>
    </w:p>
    <w:p w:rsidR="00FD5C0C" w:rsidRPr="00012175" w:rsidRDefault="00E05CC5" w:rsidP="00FD5C0C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</w:pP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تطور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ديون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القطاع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الخاص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غير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المالي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في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الربع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="002B70DC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الرابع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من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SA"/>
        </w:rPr>
        <w:t>عام</w:t>
      </w:r>
      <w:r w:rsidRPr="00012175">
        <w:rPr>
          <w:rFonts w:ascii="Calibri" w:eastAsia="Times New Roman" w:hAnsi="Calibri" w:cs="Times New Roman"/>
          <w:b/>
          <w:bCs/>
          <w:sz w:val="28"/>
          <w:szCs w:val="28"/>
          <w:rtl/>
          <w:lang w:bidi="ar-SA"/>
        </w:rPr>
        <w:t xml:space="preserve"> 2024</w:t>
      </w:r>
    </w:p>
    <w:p w:rsidR="00FD5C0C" w:rsidRPr="00FD5C0C" w:rsidRDefault="00E05CC5" w:rsidP="00F62B8D">
      <w:pPr>
        <w:spacing w:line="360" w:lineRule="auto"/>
        <w:ind w:right="-101"/>
        <w:jc w:val="both"/>
        <w:rPr>
          <w:rFonts w:ascii="Calibri" w:hAnsi="Calibri"/>
          <w:i/>
          <w:iCs/>
          <w:sz w:val="24"/>
          <w:szCs w:val="24"/>
          <w:rtl/>
          <w:lang w:bidi="ar-SA"/>
        </w:rPr>
      </w:pPr>
      <w:bookmarkStart w:id="0" w:name="_GoBack"/>
      <w:r w:rsidRPr="00FD5C0C">
        <w:rPr>
          <w:rFonts w:ascii="Calibri" w:hAnsi="Calibri" w:cs="Arial" w:hint="cs"/>
          <w:sz w:val="24"/>
          <w:szCs w:val="24"/>
          <w:rtl/>
          <w:lang w:bidi="ar-SA"/>
        </w:rPr>
        <w:t>لتحليل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كافة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تطورات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الديون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عام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2024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انظر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"</w:t>
      </w:r>
      <w:hyperlink r:id="rId9" w:history="1">
        <w:r w:rsidRPr="002B70DC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ديون</w:t>
        </w:r>
        <w:r w:rsidRPr="002B70DC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2B70DC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القطاع</w:t>
        </w:r>
        <w:r w:rsidRPr="002B70DC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2B70DC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الخاص</w:t>
        </w:r>
        <w:r w:rsidRPr="002B70DC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2B70DC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غير</w:t>
        </w:r>
        <w:r w:rsidRPr="002B70DC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2B70DC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المالي</w:t>
        </w:r>
      </w:hyperlink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"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Arial" w:hint="cs"/>
          <w:sz w:val="24"/>
          <w:szCs w:val="24"/>
          <w:rtl/>
          <w:lang w:bidi="ar-SA"/>
        </w:rPr>
        <w:t>القسم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Arial" w:hint="cs"/>
          <w:sz w:val="24"/>
          <w:szCs w:val="24"/>
          <w:rtl/>
          <w:lang w:bidi="ar-SA"/>
        </w:rPr>
        <w:t>"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أ</w:t>
      </w:r>
      <w:r w:rsidR="002B70DC">
        <w:rPr>
          <w:rFonts w:ascii="Calibri" w:hAnsi="Calibri" w:cs="Arial" w:hint="cs"/>
          <w:sz w:val="24"/>
          <w:szCs w:val="24"/>
          <w:rtl/>
          <w:lang w:bidi="ar-SA"/>
        </w:rPr>
        <w:t>"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Arial" w:hint="cs"/>
          <w:sz w:val="24"/>
          <w:szCs w:val="24"/>
          <w:rtl/>
          <w:lang w:bidi="ar-SA"/>
        </w:rPr>
        <w:t>تقرير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"</w:t>
      </w:r>
      <w:r w:rsidR="002B70DC">
        <w:rPr>
          <w:rFonts w:ascii="Calibri" w:hAnsi="Calibri" w:cs="Arial" w:hint="cs"/>
          <w:sz w:val="24"/>
          <w:szCs w:val="24"/>
          <w:rtl/>
          <w:lang w:bidi="ar-SA"/>
        </w:rPr>
        <w:t>نظرة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إحصائية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FD5C0C">
        <w:rPr>
          <w:rFonts w:ascii="Calibri" w:hAnsi="Calibri" w:cs="Arial" w:hint="cs"/>
          <w:sz w:val="24"/>
          <w:szCs w:val="24"/>
          <w:rtl/>
          <w:lang w:bidi="ar-SA"/>
        </w:rPr>
        <w:t>لعام</w:t>
      </w:r>
      <w:r w:rsidRPr="00FD5C0C">
        <w:rPr>
          <w:rFonts w:ascii="Calibri" w:hAnsi="Calibri" w:cs="Arial"/>
          <w:sz w:val="24"/>
          <w:szCs w:val="24"/>
          <w:rtl/>
          <w:lang w:bidi="ar-SA"/>
        </w:rPr>
        <w:t xml:space="preserve"> 2024".</w:t>
      </w:r>
    </w:p>
    <w:p w:rsidR="00FD5C0C" w:rsidRPr="004844D6" w:rsidRDefault="00E05CC5" w:rsidP="002B70DC">
      <w:pPr>
        <w:spacing w:line="360" w:lineRule="auto"/>
        <w:jc w:val="both"/>
        <w:rPr>
          <w:rFonts w:ascii="Calibri" w:hAnsi="Calibri"/>
          <w:sz w:val="24"/>
          <w:szCs w:val="24"/>
          <w:rtl/>
          <w:lang w:bidi="ar-SA"/>
        </w:rPr>
      </w:pP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فيما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يلي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ملخص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لتطورات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بيانات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القطاع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الخاص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غير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المالي</w:t>
      </w:r>
      <w:r>
        <w:rPr>
          <w:rStyle w:val="FootnoteReference"/>
          <w:rFonts w:ascii="Calibri" w:hAnsi="Calibri" w:cs="Calibri"/>
          <w:sz w:val="24"/>
          <w:szCs w:val="24"/>
          <w:rtl/>
        </w:rPr>
        <w:footnoteReference w:id="1"/>
      </w:r>
      <w:r w:rsidR="00F62B8D" w:rsidRPr="00F62B8D">
        <w:rPr>
          <w:rFonts w:ascii="Calibri" w:hAnsi="Calibri" w:cs="Times New Roman"/>
          <w:sz w:val="24"/>
          <w:szCs w:val="24"/>
          <w:rtl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>:</w:t>
      </w:r>
    </w:p>
    <w:p w:rsidR="00FD5C0C" w:rsidRPr="004844D6" w:rsidRDefault="00E05CC5" w:rsidP="00FD5C0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القطاع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الخاص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(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التجاري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والأسر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>)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2.2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تريليون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2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%)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وارتفع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الدين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7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%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،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بعد الارتفاع</w:t>
      </w:r>
      <w:r w:rsidR="002B70DC"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الذي تم تسجيله</w:t>
      </w:r>
      <w:r w:rsidR="002B70DC"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منذ</w:t>
      </w:r>
      <w:r w:rsidR="002B70DC"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الربع السابق و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بعد مسار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الهبوط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الذي تم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تسجيله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في الربع الثالث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2022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يعتبر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منخفضا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ً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بمعدلات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المسجلة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السنوات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FD5C0C" w:rsidRPr="002A0A31" w:rsidRDefault="00E05CC5" w:rsidP="00FD5C0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قطاع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2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% 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26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)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1.4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تريليون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ويعود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ذلك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بشكل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رئيسي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صافي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الدين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، وأغلبه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القروض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التي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تركزت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المصالح التجارية الكبيرة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ومن خلال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السندات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القابلة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للتداول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البلاد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FD5C0C" w:rsidRPr="004844D6" w:rsidRDefault="00E05CC5" w:rsidP="00FD5C0C">
      <w:pPr>
        <w:pStyle w:val="ListParagraph"/>
        <w:numPr>
          <w:ilvl w:val="0"/>
          <w:numId w:val="34"/>
        </w:numPr>
        <w:spacing w:before="240" w:after="120" w:line="360" w:lineRule="auto"/>
        <w:rPr>
          <w:rFonts w:ascii="Calibri" w:hAnsi="Calibri" w:cs="Calibri"/>
          <w:sz w:val="24"/>
          <w:szCs w:val="24"/>
          <w:rtl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بلغت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إصدارات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السندات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قبل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قطاع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البلاد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قيمته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17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وهو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المتوسط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​​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الفصلي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للأرباع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الأربعة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السابقة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؛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وتم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تنفيذ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يقرب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ثلثي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الإصدارات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قبل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شركات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العقارات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والبناء،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وهو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الذي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يزال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يقود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عمليات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جمع الديون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غرار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السنوات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FD5C0C" w:rsidRPr="002B70DC" w:rsidRDefault="00E05CC5" w:rsidP="002B70DC">
      <w:pPr>
        <w:pStyle w:val="ListParagraph"/>
        <w:numPr>
          <w:ilvl w:val="0"/>
          <w:numId w:val="34"/>
        </w:numPr>
        <w:spacing w:before="240" w:after="120" w:line="360" w:lineRule="auto"/>
        <w:rPr>
          <w:rFonts w:ascii="Calibri" w:hAnsi="Calibri" w:cs="Calibri"/>
          <w:sz w:val="24"/>
          <w:szCs w:val="24"/>
          <w:rtl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كما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واصل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رصيد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الأسر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نموه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ليصل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845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خصوصاً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نتيجة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رصيد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012175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الإسكان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13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2%)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نتيجة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الحصول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قروض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عقارية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جديدة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البنوك؛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كما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رصيد</w:t>
      </w:r>
      <w:r w:rsidRPr="00CF5F3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الديون</w:t>
      </w:r>
      <w:r w:rsidRPr="00CF5F3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CF5F3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السكنية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2B70DC">
        <w:rPr>
          <w:rFonts w:ascii="Calibri" w:hAnsi="Calibri" w:cs="Times New Roman" w:hint="cs"/>
          <w:sz w:val="24"/>
          <w:szCs w:val="24"/>
          <w:rtl/>
          <w:lang w:bidi="ar-SA"/>
        </w:rPr>
        <w:t>بنحو 0.3% إلى نحو 235 ملياراً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bookmarkEnd w:id="0"/>
    <w:p w:rsidR="00E87E0D" w:rsidRDefault="00E87E0D" w:rsidP="00F62B8D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F62B8D" w:rsidRPr="002B70DC" w:rsidRDefault="00E05CC5" w:rsidP="002B70D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ديون</w:t>
      </w:r>
      <w:r w:rsidRPr="004844D6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قطاع</w:t>
      </w:r>
      <w:r w:rsidRPr="004844D6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الأعمال</w:t>
      </w:r>
      <w:r w:rsidRPr="004844D6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غير</w:t>
      </w:r>
      <w:r w:rsidRPr="004844D6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المالي</w:t>
      </w:r>
      <w:r>
        <w:rPr>
          <w:rStyle w:val="FootnoteReference"/>
          <w:rFonts w:ascii="Calibri" w:hAnsi="Calibri" w:cs="Calibri"/>
          <w:b/>
          <w:bCs/>
          <w:sz w:val="24"/>
          <w:szCs w:val="24"/>
          <w:rtl/>
        </w:rPr>
        <w:footnoteReference w:id="2"/>
      </w:r>
      <w:r w:rsidRPr="002B70DC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:rsidR="00FD5C0C" w:rsidRPr="00CF5F3F" w:rsidRDefault="00E05CC5" w:rsidP="00FD5C0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أفادت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شعبة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المعلومات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والإحصاء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أنه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2024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E87E0D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قطاع</w:t>
      </w:r>
      <w:r w:rsidRPr="00CF5F3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بنحو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26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2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%)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مستوى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1.4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تريليون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تقريباً.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يعود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ارتفاع الرصيد من جمع ديون صافية بلغ 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32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 xml:space="preserve"> تضاف إلى نطاق الجمع الكبير الذي تم تسجيله في الربع السابق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وتكونت في أساسها 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قروض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مصرفية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تركزت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lastRenderedPageBreak/>
        <w:t>المصالح التجارية الكبيرة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.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 xml:space="preserve">من 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>حيث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سندات 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قابلة للتداول في البلاد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 xml:space="preserve"> تم أيضاً تسجيل تحركات إيجابية في هذا الربع بحجم بلغ نحو 6 مليار 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.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تم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تعويض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 xml:space="preserve">جزء من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الزيادة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>رصيد الدين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حد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ما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نتيجة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ارتفاع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قيمة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الشيكل مقابل الدولار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بنحو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1.</w:t>
      </w:r>
      <w:r w:rsidR="00E87E0D">
        <w:rPr>
          <w:rFonts w:ascii="Calibri" w:hAnsi="Calibri" w:cs="Times New Roman" w:hint="cs"/>
          <w:sz w:val="24"/>
          <w:szCs w:val="24"/>
          <w:rtl/>
          <w:lang w:bidi="ar-SA"/>
        </w:rPr>
        <w:t>7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>%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 xml:space="preserve">ومن انخفاض في مؤشر الأسعار للمستهلك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مما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أدى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انخفاض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قيمة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الدين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الاسمي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بالعملات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الأجنبية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و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الدين </w:t>
      </w:r>
      <w:r w:rsidRPr="00CF5F3F">
        <w:rPr>
          <w:rFonts w:ascii="Calibri" w:hAnsi="Calibri" w:cs="Times New Roman" w:hint="cs"/>
          <w:sz w:val="24"/>
          <w:szCs w:val="24"/>
          <w:rtl/>
          <w:lang w:bidi="ar-SA"/>
        </w:rPr>
        <w:t>المرتبط بها</w:t>
      </w:r>
      <w:r w:rsidRPr="00CF5F3F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FD5C0C" w:rsidRPr="004844D6" w:rsidRDefault="00E05CC5" w:rsidP="00FD5C0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أدت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التأثيرات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>8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%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بعد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الاتجاه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النزولي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المسجل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منذ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النصف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الثاني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2022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؛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وانعكس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التطور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والديون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غير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. (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الأشكال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1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2).</w:t>
      </w:r>
    </w:p>
    <w:p w:rsidR="00FD5C0C" w:rsidRPr="004844D6" w:rsidRDefault="00E05CC5" w:rsidP="00FD5C0C">
      <w:pPr>
        <w:pStyle w:val="ListParagraph"/>
        <w:spacing w:line="360" w:lineRule="auto"/>
        <w:jc w:val="both"/>
        <w:rPr>
          <w:rFonts w:ascii="Calibri" w:hAnsi="Calibri"/>
          <w:sz w:val="24"/>
          <w:szCs w:val="24"/>
          <w:lang w:bidi="ar-SA"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C1092B">
        <w:rPr>
          <w:rFonts w:ascii="Calibri" w:hAnsi="Calibri" w:cs="Times New Roman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العام،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أصدر</w:t>
      </w:r>
      <w:r w:rsidRPr="00CF5F3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قطاع</w:t>
      </w:r>
      <w:r w:rsidRPr="00CF5F3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سندات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بقيمة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17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 تقريباً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ذلك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الفصلي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للأرباع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الأربعة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15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المتوسط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​​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).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تم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تنفيذ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يقرب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ثلثي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الإصدارات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قبل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شركات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العقارات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والبناء،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وهو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القطاع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الذي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يزال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القطاع الأساسي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جمع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غرار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السنوات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3).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في </w:t>
      </w:r>
      <w:r w:rsidR="00640A82">
        <w:rPr>
          <w:rFonts w:ascii="Calibri" w:hAnsi="Calibri" w:cs="Arial" w:hint="cs"/>
          <w:sz w:val="24"/>
          <w:szCs w:val="24"/>
          <w:rtl/>
          <w:lang w:bidi="ar-SA"/>
        </w:rPr>
        <w:t>شهر كانون ثاني 2025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أصدر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قطاع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سندات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بقيمة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Arial" w:hint="cs"/>
          <w:sz w:val="24"/>
          <w:szCs w:val="24"/>
          <w:rtl/>
          <w:lang w:bidi="ar-SA"/>
        </w:rPr>
        <w:t>6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شيكل،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Arial" w:hint="cs"/>
          <w:sz w:val="24"/>
          <w:szCs w:val="24"/>
          <w:rtl/>
          <w:lang w:bidi="ar-SA"/>
        </w:rPr>
        <w:t>على غرار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المعدل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الشهري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للربع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الثالث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العام</w:t>
      </w:r>
      <w:r w:rsidR="00640A82">
        <w:rPr>
          <w:rFonts w:ascii="Calibri" w:hAnsi="Calibri" w:cs="Arial" w:hint="cs"/>
          <w:sz w:val="24"/>
          <w:szCs w:val="24"/>
          <w:rtl/>
          <w:lang w:bidi="ar-SA"/>
        </w:rPr>
        <w:t>.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وشكلت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الشركات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العاملة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قطاعي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العقارات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والبناء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5</w:t>
      </w:r>
      <w:r w:rsidR="00640A82">
        <w:rPr>
          <w:rFonts w:ascii="Calibri" w:hAnsi="Calibri" w:cs="Arial" w:hint="cs"/>
          <w:sz w:val="24"/>
          <w:szCs w:val="24"/>
          <w:rtl/>
          <w:lang w:bidi="ar-SA"/>
        </w:rPr>
        <w:t>7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%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عمليات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جمع الديون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الشهر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FD5C0C" w:rsidRPr="00276340" w:rsidRDefault="00E05CC5" w:rsidP="00FD5C0C">
      <w:pPr>
        <w:pStyle w:val="ListParagraph"/>
        <w:numPr>
          <w:ilvl w:val="0"/>
          <w:numId w:val="31"/>
        </w:numPr>
        <w:spacing w:before="24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العام،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اتسع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الفارق</w:t>
      </w:r>
      <w:r>
        <w:rPr>
          <w:rStyle w:val="FootnoteReference"/>
          <w:rFonts w:ascii="Calibri" w:hAnsi="Calibri" w:cs="Calibri"/>
          <w:b/>
          <w:bCs/>
          <w:sz w:val="24"/>
          <w:szCs w:val="24"/>
          <w:rtl/>
        </w:rPr>
        <w:footnoteReference w:id="3"/>
      </w:r>
      <w:r w:rsidRPr="002A0A31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بين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عائد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سندات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الشركات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المدرجة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في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مؤشر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تل بوند 60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،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وعائد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السندات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الحكومية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المرتبطة بالمؤشر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1.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08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نقطة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مئوية،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و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أشهر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كانون ثاني - شباط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2025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 xml:space="preserve">استمر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تضيق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هذه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الفارق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مستوى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0.94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نقطة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 xml:space="preserve"> مئوية، وهو مستوى متدني مقارنة بالسنوات الثلاث الأخيرة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>. (</w:t>
      </w:r>
      <w:r w:rsidRPr="00276340">
        <w:rPr>
          <w:rFonts w:ascii="Calibri" w:hAnsi="Calibri" w:cs="Times New Roman" w:hint="cs"/>
          <w:sz w:val="24"/>
          <w:szCs w:val="24"/>
          <w:rtl/>
          <w:lang w:bidi="ar-SA"/>
        </w:rPr>
        <w:t>الشكل</w:t>
      </w:r>
      <w:r w:rsidRPr="00276340">
        <w:rPr>
          <w:rFonts w:ascii="Calibri" w:hAnsi="Calibri" w:cs="Times New Roman"/>
          <w:sz w:val="24"/>
          <w:szCs w:val="24"/>
          <w:rtl/>
          <w:lang w:bidi="ar-SA"/>
        </w:rPr>
        <w:t xml:space="preserve"> 4).</w:t>
      </w:r>
    </w:p>
    <w:p w:rsidR="00F62B8D" w:rsidRDefault="00F62B8D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640A82" w:rsidRDefault="00640A82" w:rsidP="00F62B8D">
      <w:pPr>
        <w:pStyle w:val="ListParagraph"/>
        <w:spacing w:before="240" w:after="12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D776FF" w:rsidRDefault="00D776FF" w:rsidP="00F62B8D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Calibri" w:hAnsi="Calibri"/>
          <w:b/>
          <w:bCs/>
          <w:rtl/>
          <w:lang w:bidi="ar-SA"/>
        </w:rPr>
      </w:pPr>
    </w:p>
    <w:p w:rsidR="00D776FF" w:rsidRDefault="00D776FF" w:rsidP="00D776F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Calibri" w:hAnsi="Calibri"/>
          <w:b/>
          <w:bCs/>
          <w:rtl/>
          <w:lang w:bidi="ar-SA"/>
        </w:rPr>
      </w:pPr>
    </w:p>
    <w:p w:rsidR="00D776FF" w:rsidRDefault="00D776FF" w:rsidP="00D776F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Calibri" w:hAnsi="Calibri"/>
          <w:b/>
          <w:bCs/>
          <w:rtl/>
          <w:lang w:bidi="ar-SA"/>
        </w:rPr>
      </w:pPr>
    </w:p>
    <w:p w:rsidR="00D776FF" w:rsidRDefault="00D776FF" w:rsidP="00D776F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Calibri" w:hAnsi="Calibri"/>
          <w:b/>
          <w:bCs/>
          <w:rtl/>
          <w:lang w:bidi="ar-SA"/>
        </w:rPr>
      </w:pPr>
    </w:p>
    <w:p w:rsidR="00F62B8D" w:rsidRPr="00F62B8D" w:rsidRDefault="00E05CC5" w:rsidP="00D776F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Calibri" w:hAnsi="Calibri" w:cs="Calibri"/>
          <w:rtl/>
        </w:rPr>
      </w:pPr>
      <w:r w:rsidRPr="004844D6">
        <w:rPr>
          <w:rFonts w:ascii="Calibri" w:hAnsi="Calibri" w:hint="cs"/>
          <w:b/>
          <w:bCs/>
          <w:rtl/>
          <w:lang w:bidi="ar-SA"/>
        </w:rPr>
        <w:t>جدول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 w:rsidRPr="004844D6">
        <w:rPr>
          <w:rFonts w:ascii="Calibri" w:hAnsi="Calibri" w:hint="cs"/>
          <w:b/>
          <w:bCs/>
          <w:rtl/>
          <w:lang w:bidi="ar-SA"/>
        </w:rPr>
        <w:t>توزيع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  <w:r>
        <w:rPr>
          <w:rFonts w:ascii="Calibri" w:hAnsi="Calibri" w:hint="cs"/>
          <w:b/>
          <w:bCs/>
          <w:rtl/>
          <w:lang w:bidi="ar-SA"/>
        </w:rPr>
        <w:t xml:space="preserve"> </w:t>
      </w:r>
      <w:r w:rsidRPr="00F62B8D">
        <w:rPr>
          <w:rFonts w:ascii="Calibri" w:hAnsi="Calibri" w:cs="Calibri"/>
          <w:sz w:val="22"/>
          <w:szCs w:val="22"/>
          <w:vertAlign w:val="superscript"/>
          <w:rtl/>
        </w:rPr>
        <w:t xml:space="preserve">1 </w:t>
      </w:r>
    </w:p>
    <w:p w:rsidR="00F62B8D" w:rsidRPr="00F62B8D" w:rsidRDefault="00E05CC5" w:rsidP="00F62B8D">
      <w:pPr>
        <w:pStyle w:val="NormalWeb"/>
        <w:bidi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rtl/>
        </w:rPr>
      </w:pPr>
      <w:r w:rsidRPr="00F62B8D">
        <w:rPr>
          <w:rFonts w:ascii="Calibri" w:hAnsi="Calibri" w:cs="Calibri"/>
          <w:noProof/>
          <w:rtl/>
        </w:rPr>
        <w:drawing>
          <wp:inline distT="0" distB="0" distL="0" distR="0">
            <wp:extent cx="4616659" cy="2266266"/>
            <wp:effectExtent l="0" t="0" r="0" b="1270"/>
            <wp:docPr id="4" name="תמונה 4" descr="לוח 1: התפלגות החוב של המגזר העסקי הלא-פיננסי1 " title="לוח 1: התפלגות החוב של המגזר העסקי הלא-פיננס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55" cy="22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F62B8D" w:rsidP="00F62B8D">
      <w:pPr>
        <w:pStyle w:val="NormalWeb"/>
        <w:bidi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rtl/>
        </w:rPr>
      </w:pPr>
    </w:p>
    <w:p w:rsidR="00F62B8D" w:rsidRPr="00640A82" w:rsidRDefault="00E05CC5" w:rsidP="00640A8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844D6">
        <w:rPr>
          <w:rFonts w:ascii="Calibri" w:hAnsi="Calibri" w:hint="cs"/>
          <w:b/>
          <w:bCs/>
          <w:rtl/>
          <w:lang w:bidi="ar-SA"/>
        </w:rPr>
        <w:t>الشكل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>
        <w:rPr>
          <w:rFonts w:ascii="Calibri" w:hAnsi="Calibri" w:hint="cs"/>
          <w:b/>
          <w:bCs/>
          <w:rtl/>
          <w:lang w:bidi="ar-SA"/>
        </w:rPr>
        <w:t>تقدير تحركات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إجمالي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</w:p>
    <w:p w:rsidR="00F62B8D" w:rsidRPr="00F62B8D" w:rsidRDefault="00E05CC5" w:rsidP="00F62B8D">
      <w:pPr>
        <w:pStyle w:val="ListParagraph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62B8D">
        <w:rPr>
          <w:rFonts w:ascii="Calibri" w:hAnsi="Calibri" w:cs="Calibri"/>
          <w:noProof/>
        </w:rPr>
        <w:drawing>
          <wp:inline distT="0" distB="0" distL="0" distR="0">
            <wp:extent cx="4082603" cy="2110536"/>
            <wp:effectExtent l="0" t="0" r="0" b="4445"/>
            <wp:docPr id="8" name="תמונה 8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64" cy="21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E05CC5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المقابل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السابق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الديون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وغير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لقطاع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  <w:r w:rsidRPr="00F62B8D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</w:t>
      </w:r>
    </w:p>
    <w:p w:rsidR="00F62B8D" w:rsidRPr="00F62B8D" w:rsidRDefault="00E05CC5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F62B8D">
        <w:rPr>
          <w:rFonts w:ascii="Calibri" w:hAnsi="Calibri" w:cs="Calibri"/>
          <w:noProof/>
          <w:rtl/>
        </w:rPr>
        <w:drawing>
          <wp:inline distT="0" distB="0" distL="0" distR="0">
            <wp:extent cx="4358419" cy="2107842"/>
            <wp:effectExtent l="0" t="0" r="4445" b="6985"/>
            <wp:docPr id="10" name="תמונה 10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98" cy="211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E05CC5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40A82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الشكل 3: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إصدارات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السندات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لقطاع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خلال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الربع،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</w:t>
      </w:r>
      <w:r w:rsidR="00FD5C0C"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حسب</w:t>
      </w:r>
      <w:r w:rsidR="00FD5C0C"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="00FD5C0C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القطاعات</w:t>
      </w:r>
      <w:r w:rsidR="00FD5C0C" w:rsidRPr="00F62B8D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</w:p>
    <w:p w:rsidR="00F62B8D" w:rsidRPr="00F62B8D" w:rsidRDefault="00E05CC5" w:rsidP="00F62B8D">
      <w:pPr>
        <w:pStyle w:val="ListParagraph"/>
        <w:spacing w:line="360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62B8D">
        <w:rPr>
          <w:rFonts w:ascii="Calibri" w:hAnsi="Calibri" w:cs="Calibri"/>
          <w:noProof/>
        </w:rPr>
        <w:drawing>
          <wp:inline distT="0" distB="0" distL="0" distR="0">
            <wp:extent cx="5213350" cy="2962910"/>
            <wp:effectExtent l="0" t="0" r="6350" b="8890"/>
            <wp:docPr id="11" name="תמונה 11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F62B8D" w:rsidP="00F62B8D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D5C0C" w:rsidRPr="004844D6" w:rsidRDefault="00E05CC5" w:rsidP="00FD5C0C">
      <w:pPr>
        <w:pStyle w:val="ListParagraph"/>
        <w:spacing w:line="360" w:lineRule="auto"/>
        <w:ind w:left="360" w:right="-101"/>
        <w:jc w:val="center"/>
        <w:rPr>
          <w:rFonts w:ascii="Calibri" w:hAnsi="Calibri"/>
          <w:b/>
          <w:bCs/>
          <w:sz w:val="24"/>
          <w:szCs w:val="24"/>
          <w:rtl/>
        </w:rPr>
      </w:pP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4: 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الهامش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بين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سندات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الشركات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المرتبطة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بالمؤشر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(</w:t>
      </w:r>
      <w:r>
        <w:rPr>
          <w:rFonts w:ascii="Calibri" w:hAnsi="Calibri" w:hint="cs"/>
          <w:b/>
          <w:bCs/>
          <w:sz w:val="24"/>
          <w:szCs w:val="24"/>
          <w:rtl/>
          <w:lang w:bidi="ar-SA"/>
        </w:rPr>
        <w:t>تل بوند 60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)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والسندات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الحكومية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المرتبطة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بالمؤشر</w:t>
      </w:r>
    </w:p>
    <w:p w:rsidR="00F62B8D" w:rsidRPr="00F62B8D" w:rsidRDefault="00E05CC5" w:rsidP="00FD5C0C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(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معدل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شهري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)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</w:t>
      </w:r>
    </w:p>
    <w:p w:rsidR="00F62B8D" w:rsidRPr="00F62B8D" w:rsidRDefault="00E05CC5" w:rsidP="00F62B8D">
      <w:pPr>
        <w:pStyle w:val="ListParagraph"/>
        <w:spacing w:line="360" w:lineRule="auto"/>
        <w:ind w:left="-52" w:right="-101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F62B8D">
        <w:rPr>
          <w:rFonts w:ascii="Calibri" w:hAnsi="Calibri" w:cs="Calibri"/>
          <w:noProof/>
          <w:rtl/>
        </w:rPr>
        <w:drawing>
          <wp:inline distT="0" distB="0" distL="0" distR="0">
            <wp:extent cx="5248910" cy="2606675"/>
            <wp:effectExtent l="0" t="0" r="8890" b="3175"/>
            <wp:docPr id="12" name="תמונה 12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Default="00F62B8D" w:rsidP="00F62B8D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sz w:val="24"/>
          <w:szCs w:val="24"/>
          <w:u w:val="single"/>
          <w:rtl/>
        </w:rPr>
      </w:pPr>
    </w:p>
    <w:p w:rsidR="00F62B8D" w:rsidRDefault="00F62B8D" w:rsidP="00F62B8D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sz w:val="24"/>
          <w:szCs w:val="24"/>
          <w:u w:val="single"/>
        </w:rPr>
      </w:pPr>
    </w:p>
    <w:p w:rsidR="00F62B8D" w:rsidRDefault="00F62B8D" w:rsidP="00F62B8D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sz w:val="24"/>
          <w:szCs w:val="24"/>
          <w:u w:val="single"/>
        </w:rPr>
      </w:pPr>
    </w:p>
    <w:p w:rsidR="00F62B8D" w:rsidRDefault="00F62B8D" w:rsidP="00F62B8D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sz w:val="24"/>
          <w:szCs w:val="24"/>
          <w:u w:val="single"/>
        </w:rPr>
      </w:pPr>
    </w:p>
    <w:p w:rsidR="00F62B8D" w:rsidRPr="00F62B8D" w:rsidRDefault="00F62B8D" w:rsidP="00F62B8D">
      <w:pPr>
        <w:pStyle w:val="ListParagraph"/>
        <w:spacing w:line="360" w:lineRule="auto"/>
        <w:ind w:left="360" w:right="-101"/>
        <w:jc w:val="center"/>
        <w:rPr>
          <w:rFonts w:ascii="Calibri" w:hAnsi="Calibri" w:cs="Calibri"/>
          <w:sz w:val="24"/>
          <w:szCs w:val="24"/>
          <w:u w:val="single"/>
          <w:rtl/>
        </w:rPr>
      </w:pPr>
    </w:p>
    <w:p w:rsidR="00FD5C0C" w:rsidRPr="002A0A31" w:rsidRDefault="00E05CC5" w:rsidP="00D776F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Style w:val="Heading1Char"/>
          <w:rFonts w:ascii="Calibri" w:eastAsiaTheme="minorHAnsi" w:hAnsi="Calibri" w:cs="Calibri"/>
          <w:sz w:val="24"/>
          <w:szCs w:val="24"/>
        </w:rPr>
      </w:pP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ديون</w:t>
      </w:r>
      <w:r w:rsidRPr="004844D6">
        <w:rPr>
          <w:rStyle w:val="Heading1Char"/>
          <w:rFonts w:ascii="Calibri" w:eastAsiaTheme="minorHAns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Theme="minorHAnsi" w:hAnsi="Calibri" w:hint="cs"/>
          <w:sz w:val="24"/>
          <w:szCs w:val="24"/>
          <w:rtl/>
          <w:lang w:bidi="ar-SA"/>
        </w:rPr>
        <w:t>الأسر</w:t>
      </w:r>
    </w:p>
    <w:p w:rsidR="00FD5C0C" w:rsidRPr="002A0A31" w:rsidRDefault="00E05CC5" w:rsidP="00FD5C0C">
      <w:pPr>
        <w:pStyle w:val="ListParagraph"/>
        <w:numPr>
          <w:ilvl w:val="0"/>
          <w:numId w:val="32"/>
        </w:numPr>
        <w:spacing w:before="240" w:after="120" w:line="360" w:lineRule="auto"/>
        <w:rPr>
          <w:rFonts w:ascii="Calibri" w:hAnsi="Calibri" w:cs="Calibri"/>
          <w:sz w:val="24"/>
          <w:szCs w:val="24"/>
          <w:rtl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2024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استمر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رصيد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الأسر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14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(2%)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ليصل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845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: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ترجع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الزيادة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الرئيسية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رصيد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الدين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للإسكان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و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معظمه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للبنوك،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والذي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مشابه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ل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السابق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–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2.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2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%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إلى نحو 610 مليار شيكل؛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كما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ارتفعت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الديون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642297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السكنية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 xml:space="preserve">قليلاً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بلغ 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0.3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% 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1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)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235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="00640A82">
        <w:rPr>
          <w:rFonts w:ascii="Calibri" w:hAnsi="Calibri" w:cs="Times New Roman" w:hint="cs"/>
          <w:sz w:val="24"/>
          <w:szCs w:val="24"/>
          <w:rtl/>
          <w:lang w:bidi="ar-SA"/>
        </w:rPr>
        <w:t>.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</w:p>
    <w:p w:rsidR="00FD5C0C" w:rsidRPr="002A0A31" w:rsidRDefault="00E05CC5" w:rsidP="00FD5C0C">
      <w:pPr>
        <w:pStyle w:val="ListParagraph"/>
        <w:numPr>
          <w:ilvl w:val="0"/>
          <w:numId w:val="32"/>
        </w:numPr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أدت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هذه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التأثيرات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 xml:space="preserve"> استمرار نمط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 xml:space="preserve">في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 xml:space="preserve">دين الأسر، سواءً للإسكان ولغير الإسكان، إلى نحو 7% ونحو 4% على التوالي، وهو نمط بدأ منذ بداية عام 2024. 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5).</w:t>
      </w:r>
    </w:p>
    <w:p w:rsidR="00FD5C0C" w:rsidRPr="002A0A31" w:rsidRDefault="00E05CC5" w:rsidP="00FD5C0C">
      <w:pPr>
        <w:pStyle w:val="ListParagraph"/>
        <w:numPr>
          <w:ilvl w:val="0"/>
          <w:numId w:val="32"/>
        </w:numPr>
        <w:spacing w:before="240"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جاء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الإسكان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نتيجة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انتعاش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في تقديم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قروض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عقارية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جديدة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البنوك،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والتي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بدأت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نهاية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2023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وبلغت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>الرابع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العام،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بعد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تعديل المعطيات موسمياً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نحو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>30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وذلك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الفترة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المقابلة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الماضي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>16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sz w:val="24"/>
          <w:szCs w:val="24"/>
          <w:rtl/>
          <w:lang w:bidi="ar-SA"/>
        </w:rPr>
        <w:t>ملياراً</w:t>
      </w:r>
      <w:r w:rsidRPr="004844D6">
        <w:rPr>
          <w:rFonts w:ascii="Calibri" w:hAnsi="Calibri" w:cs="Times New Roman"/>
          <w:sz w:val="24"/>
          <w:szCs w:val="24"/>
          <w:rtl/>
          <w:lang w:bidi="ar-SA"/>
        </w:rPr>
        <w:t>).</w:t>
      </w:r>
      <w:r w:rsidR="00D510BF">
        <w:rPr>
          <w:rFonts w:ascii="Calibri" w:hAnsi="Calibri" w:cs="Times New Roman" w:hint="cs"/>
          <w:sz w:val="24"/>
          <w:szCs w:val="24"/>
          <w:rtl/>
          <w:lang w:bidi="ar-SA"/>
        </w:rPr>
        <w:t xml:space="preserve"> نحو 43% من إجمالي القروض كان في شهر كانون أول على خلفية الارتفاع المتوقع لضريبة القيمة المضافة في كانون ثاني 2025.</w:t>
      </w:r>
    </w:p>
    <w:p w:rsidR="00FD5C0C" w:rsidRPr="004844D6" w:rsidRDefault="00E05CC5" w:rsidP="00FD5C0C">
      <w:pPr>
        <w:pStyle w:val="ListParagraph"/>
        <w:spacing w:before="240" w:after="120" w:line="360" w:lineRule="auto"/>
        <w:rPr>
          <w:rFonts w:ascii="Calibri" w:hAnsi="Calibri"/>
          <w:sz w:val="24"/>
          <w:szCs w:val="24"/>
          <w:lang w:bidi="ar-SA"/>
        </w:rPr>
      </w:pP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الأشهر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10BF">
        <w:rPr>
          <w:rFonts w:ascii="Calibri" w:hAnsi="Calibri" w:cs="Arial" w:hint="cs"/>
          <w:sz w:val="24"/>
          <w:szCs w:val="24"/>
          <w:rtl/>
          <w:lang w:bidi="ar-SA"/>
        </w:rPr>
        <w:t xml:space="preserve">كانون ثاني </w:t>
      </w:r>
      <w:r w:rsidR="00D510BF">
        <w:rPr>
          <w:rFonts w:ascii="Calibri" w:hAnsi="Calibri" w:cs="Arial"/>
          <w:sz w:val="24"/>
          <w:szCs w:val="24"/>
          <w:rtl/>
          <w:lang w:bidi="ar-SA"/>
        </w:rPr>
        <w:t>–</w:t>
      </w:r>
      <w:r w:rsidR="00D510BF">
        <w:rPr>
          <w:rFonts w:ascii="Calibri" w:hAnsi="Calibri" w:cs="Arial" w:hint="cs"/>
          <w:sz w:val="24"/>
          <w:szCs w:val="24"/>
          <w:rtl/>
          <w:lang w:bidi="ar-SA"/>
        </w:rPr>
        <w:t xml:space="preserve"> شباط 2025 أيضاً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استمر</w:t>
      </w:r>
      <w:r w:rsidR="00D510BF">
        <w:rPr>
          <w:rFonts w:ascii="Calibri" w:hAnsi="Calibri" w:cs="Arial" w:hint="cs"/>
          <w:sz w:val="24"/>
          <w:szCs w:val="24"/>
          <w:rtl/>
          <w:lang w:bidi="ar-SA"/>
        </w:rPr>
        <w:t xml:space="preserve"> الارتفاع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الحصول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قروض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عقارية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جديدة،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="00D510BF">
        <w:rPr>
          <w:rFonts w:ascii="Calibri" w:hAnsi="Calibri" w:cs="Arial" w:hint="cs"/>
          <w:sz w:val="24"/>
          <w:szCs w:val="24"/>
          <w:rtl/>
          <w:lang w:bidi="ar-SA"/>
        </w:rPr>
        <w:t xml:space="preserve">التي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بلغت،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بعد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تعديلها موسمياً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نحو 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>​​</w:t>
      </w:r>
      <w:r w:rsidR="00D510BF">
        <w:rPr>
          <w:rFonts w:ascii="Calibri" w:hAnsi="Calibri" w:cs="Arial" w:hint="cs"/>
          <w:sz w:val="24"/>
          <w:szCs w:val="24"/>
          <w:rtl/>
          <w:lang w:bidi="ar-SA"/>
        </w:rPr>
        <w:t>8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مليار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شيكل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في المتوسط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شهري</w:t>
      </w:r>
      <w:r w:rsidR="00D510BF">
        <w:rPr>
          <w:rFonts w:ascii="Calibri" w:hAnsi="Calibri" w:cs="Arial" w:hint="cs"/>
          <w:sz w:val="24"/>
          <w:szCs w:val="24"/>
          <w:rtl/>
          <w:lang w:bidi="ar-SA"/>
        </w:rPr>
        <w:t>اً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>(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6).</w:t>
      </w:r>
    </w:p>
    <w:p w:rsidR="00F62B8D" w:rsidRPr="00FD5C0C" w:rsidRDefault="00F62B8D" w:rsidP="00F62B8D">
      <w:pPr>
        <w:pStyle w:val="ListParagraph"/>
        <w:spacing w:before="240" w:after="120" w:line="360" w:lineRule="auto"/>
        <w:rPr>
          <w:rFonts w:ascii="Calibri" w:hAnsi="Calibri"/>
          <w:sz w:val="24"/>
          <w:szCs w:val="24"/>
          <w:lang w:bidi="ar-SA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62B8D" w:rsidRDefault="00F62B8D" w:rsidP="00F62B8D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E05CC5" w:rsidP="00F62B8D">
      <w:pPr>
        <w:spacing w:line="360" w:lineRule="auto"/>
        <w:jc w:val="center"/>
        <w:rPr>
          <w:rFonts w:ascii="Calibri" w:hAnsi="Calibri" w:cs="Calibri"/>
          <w:sz w:val="24"/>
          <w:szCs w:val="24"/>
          <w:rtl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الجدول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أرصدة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الأسر</w:t>
      </w:r>
      <w:r w:rsidRPr="00F62B8D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F62B8D">
        <w:rPr>
          <w:rFonts w:ascii="Calibri" w:hAnsi="Calibri" w:cs="Calibri"/>
          <w:b/>
          <w:bCs/>
          <w:sz w:val="24"/>
          <w:szCs w:val="24"/>
          <w:vertAlign w:val="superscript"/>
          <w:rtl/>
        </w:rPr>
        <w:t>1</w:t>
      </w:r>
      <w:r w:rsidRPr="00F62B8D">
        <w:rPr>
          <w:rFonts w:ascii="Calibri" w:hAnsi="Calibri" w:cs="Calibri"/>
          <w:sz w:val="24"/>
          <w:szCs w:val="24"/>
        </w:rPr>
        <w:t xml:space="preserve"> </w:t>
      </w:r>
    </w:p>
    <w:p w:rsidR="00F62B8D" w:rsidRPr="00F62B8D" w:rsidRDefault="00E05CC5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F62B8D">
        <w:rPr>
          <w:rFonts w:ascii="Calibri" w:hAnsi="Calibri" w:cs="Calibri"/>
          <w:noProof/>
          <w:rtl/>
        </w:rPr>
        <w:drawing>
          <wp:inline distT="0" distB="0" distL="0" distR="0">
            <wp:extent cx="5278120" cy="4844472"/>
            <wp:effectExtent l="0" t="0" r="0" b="0"/>
            <wp:docPr id="15" name="תמונה 15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E05CC5" w:rsidP="00D510B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lastRenderedPageBreak/>
        <w:t>شكل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5: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في ديون الأسر الإسكانية وغير الإسكانية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المماثل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السابق</w:t>
      </w:r>
      <w:r w:rsidRPr="00F62B8D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</w:t>
      </w:r>
    </w:p>
    <w:p w:rsidR="00F62B8D" w:rsidRPr="00F62B8D" w:rsidRDefault="00E05CC5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F62B8D">
        <w:rPr>
          <w:rFonts w:ascii="Calibri" w:hAnsi="Calibri" w:cs="Calibri"/>
          <w:noProof/>
          <w:rtl/>
        </w:rPr>
        <w:drawing>
          <wp:inline distT="0" distB="0" distL="0" distR="0">
            <wp:extent cx="5251450" cy="2724150"/>
            <wp:effectExtent l="0" t="0" r="6350" b="0"/>
            <wp:docPr id="16" name="תמונה 16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F62B8D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F62B8D" w:rsidRPr="00F62B8D" w:rsidRDefault="00E05CC5" w:rsidP="00F62B8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6: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حجم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القروض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الجديدة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التي منحتها البنوك للجمهور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لشراء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شقة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سكنية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الرهون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العقارية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)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</w:t>
      </w:r>
    </w:p>
    <w:p w:rsidR="00F62B8D" w:rsidRPr="00F62B8D" w:rsidRDefault="00E05CC5" w:rsidP="00D776FF">
      <w:pPr>
        <w:pStyle w:val="ListParagraph"/>
        <w:spacing w:before="480" w:line="360" w:lineRule="auto"/>
        <w:ind w:left="0"/>
        <w:jc w:val="center"/>
        <w:rPr>
          <w:rFonts w:ascii="Calibri" w:hAnsi="Calibri" w:cs="Calibri"/>
          <w:sz w:val="24"/>
          <w:szCs w:val="24"/>
          <w:rtl/>
        </w:rPr>
      </w:pPr>
      <w:r w:rsidRPr="00F62B8D">
        <w:rPr>
          <w:rFonts w:ascii="Calibri" w:hAnsi="Calibri" w:cs="Calibri"/>
          <w:noProof/>
          <w:rtl/>
        </w:rPr>
        <w:drawing>
          <wp:inline distT="0" distB="0" distL="0" distR="0">
            <wp:extent cx="5251450" cy="2711450"/>
            <wp:effectExtent l="0" t="0" r="6350" b="0"/>
            <wp:docPr id="17" name="תמונה 17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8D" w:rsidRPr="00F62B8D" w:rsidRDefault="00F62B8D" w:rsidP="00F62B8D">
      <w:pPr>
        <w:pStyle w:val="ListParagraph"/>
        <w:spacing w:before="480" w:line="360" w:lineRule="auto"/>
        <w:ind w:left="0"/>
        <w:rPr>
          <w:rFonts w:ascii="Calibri" w:hAnsi="Calibri" w:cs="Calibri"/>
          <w:sz w:val="24"/>
          <w:szCs w:val="24"/>
          <w:rtl/>
        </w:rPr>
      </w:pPr>
    </w:p>
    <w:p w:rsidR="00F62B8D" w:rsidRPr="00F62B8D" w:rsidRDefault="00F62B8D" w:rsidP="00F62B8D">
      <w:pPr>
        <w:pStyle w:val="ListParagraph"/>
        <w:spacing w:before="480" w:line="360" w:lineRule="auto"/>
        <w:ind w:left="0"/>
        <w:rPr>
          <w:rFonts w:ascii="Calibri" w:hAnsi="Calibri" w:cs="Calibri"/>
          <w:sz w:val="24"/>
          <w:szCs w:val="24"/>
          <w:rtl/>
        </w:rPr>
      </w:pPr>
    </w:p>
    <w:p w:rsidR="00FD5C0C" w:rsidRPr="004844D6" w:rsidRDefault="00E05CC5" w:rsidP="00FD5C0C">
      <w:pPr>
        <w:pStyle w:val="ListParagraph"/>
        <w:spacing w:before="480" w:line="360" w:lineRule="auto"/>
        <w:ind w:left="0"/>
        <w:rPr>
          <w:rFonts w:ascii="Calibri" w:hAnsi="Calibri"/>
          <w:sz w:val="24"/>
          <w:szCs w:val="24"/>
          <w:rtl/>
          <w:lang w:bidi="ar-SA"/>
        </w:rPr>
      </w:pP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راجع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لمزيد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حول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الموضوع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موقع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البنك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صفحة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8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أرصدة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الائتمان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في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النظام الاقتصادي</w:t>
        </w:r>
      </w:hyperlink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9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الرهن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العقاري</w:t>
        </w:r>
      </w:hyperlink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20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أسعار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البن</w:t>
        </w:r>
        <w:r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و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ك</w:t>
        </w:r>
      </w:hyperlink>
      <w:r w:rsidRPr="004844D6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765FCC" w:rsidRPr="00FD5C0C" w:rsidRDefault="00765FCC" w:rsidP="00F62B8D">
      <w:pPr>
        <w:pStyle w:val="ListParagraph"/>
        <w:spacing w:before="480" w:line="360" w:lineRule="auto"/>
        <w:ind w:left="0"/>
        <w:rPr>
          <w:rFonts w:ascii="Calibri" w:hAnsi="Calibri"/>
          <w:sz w:val="24"/>
          <w:szCs w:val="24"/>
          <w:rtl/>
          <w:lang w:bidi="ar-SA"/>
        </w:rPr>
      </w:pPr>
    </w:p>
    <w:sectPr w:rsidR="00765FCC" w:rsidRPr="00FD5C0C" w:rsidSect="001D340E">
      <w:footerReference w:type="first" r:id="rId2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5CC5">
      <w:pPr>
        <w:spacing w:after="0" w:line="240" w:lineRule="auto"/>
      </w:pPr>
      <w:r>
        <w:separator/>
      </w:r>
    </w:p>
  </w:endnote>
  <w:endnote w:type="continuationSeparator" w:id="0">
    <w:p w:rsidR="00000000" w:rsidRDefault="00E0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E05CC5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05CC5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E05CC5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05CC5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E05CC5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05CC5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E05CC5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05CC5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E05CC5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FE9612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F0" w:rsidRDefault="00E05CC5" w:rsidP="008755E3">
      <w:pPr>
        <w:spacing w:after="0" w:line="240" w:lineRule="auto"/>
      </w:pPr>
      <w:r>
        <w:separator/>
      </w:r>
    </w:p>
  </w:footnote>
  <w:footnote w:type="continuationSeparator" w:id="0">
    <w:p w:rsidR="00754DF0" w:rsidRDefault="00E05CC5" w:rsidP="008755E3">
      <w:pPr>
        <w:spacing w:after="0" w:line="240" w:lineRule="auto"/>
      </w:pPr>
      <w:r>
        <w:continuationSeparator/>
      </w:r>
    </w:p>
  </w:footnote>
  <w:footnote w:id="1">
    <w:p w:rsidR="00F62B8D" w:rsidRPr="00F62B8D" w:rsidRDefault="00E05CC5" w:rsidP="00F62B8D">
      <w:pPr>
        <w:pStyle w:val="FootnoteText"/>
        <w:rPr>
          <w:rFonts w:ascii="Calibri" w:hAnsi="Calibri" w:cs="Calibri"/>
        </w:rPr>
      </w:pPr>
      <w:r w:rsidRPr="00F62B8D">
        <w:rPr>
          <w:rStyle w:val="FootnoteReference"/>
          <w:rFonts w:ascii="Calibri" w:hAnsi="Calibri" w:cs="Calibri"/>
        </w:rPr>
        <w:footnoteRef/>
      </w:r>
      <w:r w:rsidRPr="00F62B8D">
        <w:rPr>
          <w:rFonts w:ascii="Calibri" w:hAnsi="Calibri" w:cs="Calibri"/>
        </w:rPr>
        <w:t xml:space="preserve"> </w:t>
      </w:r>
      <w:r w:rsidR="00E87E0D" w:rsidRPr="00E87E0D">
        <w:rPr>
          <w:rFonts w:ascii="Calibri" w:hAnsi="Calibri" w:cs="Arial"/>
          <w:rtl/>
          <w:lang w:bidi="ar-SA"/>
        </w:rPr>
        <w:t xml:space="preserve">تعتمد بيانات الديون للبنوك على بيانات </w:t>
      </w:r>
      <w:r w:rsidR="00E87E0D" w:rsidRPr="00E87E0D">
        <w:rPr>
          <w:rFonts w:ascii="Calibri" w:hAnsi="Calibri" w:cs="Arial" w:hint="cs"/>
          <w:rtl/>
          <w:lang w:bidi="ar-SA"/>
        </w:rPr>
        <w:t>الموازنة</w:t>
      </w:r>
      <w:r w:rsidR="00E87E0D" w:rsidRPr="00E87E0D">
        <w:rPr>
          <w:rFonts w:ascii="Calibri" w:hAnsi="Calibri" w:cs="Arial"/>
          <w:rtl/>
          <w:lang w:bidi="ar-SA"/>
        </w:rPr>
        <w:t xml:space="preserve"> الشهرية وليس على بيانات القوائم المالية السنوية، وحتى تاريخ كتابة هذا الإعلان، لم يتم نشر بيانات التقرير لعام 2024 للجمهور بعد.</w:t>
      </w:r>
      <w:r w:rsidRPr="00F62B8D">
        <w:rPr>
          <w:rFonts w:ascii="Calibri" w:hAnsi="Calibri" w:cs="Calibri"/>
          <w:rtl/>
        </w:rPr>
        <w:t xml:space="preserve">  </w:t>
      </w:r>
    </w:p>
  </w:footnote>
  <w:footnote w:id="2">
    <w:p w:rsidR="00F62B8D" w:rsidRPr="00FD5C0C" w:rsidRDefault="00E05CC5" w:rsidP="00F62B8D">
      <w:pPr>
        <w:pStyle w:val="FootnoteText"/>
        <w:rPr>
          <w:rFonts w:ascii="Calibri" w:hAnsi="Calibri"/>
          <w:sz w:val="22"/>
          <w:szCs w:val="22"/>
          <w:rtl/>
          <w:lang w:bidi="ar-SA"/>
        </w:rPr>
      </w:pPr>
      <w:r w:rsidRPr="00F62B8D">
        <w:rPr>
          <w:rStyle w:val="FootnoteReference"/>
          <w:rFonts w:ascii="Calibri" w:hAnsi="Calibri" w:cs="Calibri"/>
          <w:sz w:val="22"/>
          <w:szCs w:val="22"/>
        </w:rPr>
        <w:footnoteRef/>
      </w:r>
      <w:r w:rsidRPr="00F62B8D">
        <w:rPr>
          <w:rFonts w:ascii="Calibri" w:hAnsi="Calibri" w:cs="Calibri"/>
          <w:sz w:val="22"/>
          <w:szCs w:val="22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الشركات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التجارية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الإسرائيلية،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>
        <w:rPr>
          <w:rFonts w:ascii="Calibri" w:hAnsi="Calibri" w:cs="Arial" w:hint="cs"/>
          <w:rtl/>
          <w:lang w:bidi="ar-SA"/>
        </w:rPr>
        <w:t>بدون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البنوك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وشركات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بطاقات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الائتمان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وشركات</w:t>
      </w:r>
      <w:r w:rsidR="00FD5C0C" w:rsidRPr="00CF5F3F">
        <w:rPr>
          <w:rFonts w:ascii="Calibri" w:hAnsi="Calibri" w:cs="Arial"/>
          <w:rtl/>
          <w:lang w:bidi="ar-SA"/>
        </w:rPr>
        <w:t xml:space="preserve"> </w:t>
      </w:r>
      <w:r w:rsidR="00FD5C0C" w:rsidRPr="00CF5F3F">
        <w:rPr>
          <w:rFonts w:ascii="Calibri" w:hAnsi="Calibri" w:cs="Arial" w:hint="cs"/>
          <w:rtl/>
          <w:lang w:bidi="ar-SA"/>
        </w:rPr>
        <w:t>التأمين</w:t>
      </w:r>
      <w:r w:rsidR="00FD5C0C" w:rsidRPr="00CF5F3F">
        <w:rPr>
          <w:rFonts w:ascii="Calibri" w:hAnsi="Calibri" w:cs="Arial"/>
          <w:rtl/>
          <w:lang w:bidi="ar-SA"/>
        </w:rPr>
        <w:t>.</w:t>
      </w:r>
    </w:p>
  </w:footnote>
  <w:footnote w:id="3">
    <w:p w:rsidR="00FD5C0C" w:rsidRPr="004844D6" w:rsidRDefault="00E05CC5" w:rsidP="00FD5C0C">
      <w:pPr>
        <w:pStyle w:val="FootnoteText"/>
        <w:jc w:val="both"/>
        <w:rPr>
          <w:rFonts w:ascii="Calibri" w:hAnsi="Calibri"/>
          <w:lang w:bidi="ar-SA"/>
        </w:rPr>
      </w:pPr>
      <w:r w:rsidRPr="002A0A31">
        <w:rPr>
          <w:rStyle w:val="FootnoteReference"/>
          <w:rFonts w:ascii="Calibri" w:hAnsi="Calibri" w:cs="Calibri"/>
          <w:sz w:val="22"/>
          <w:szCs w:val="22"/>
        </w:rPr>
        <w:footnoteRef/>
      </w:r>
      <w:r w:rsidRPr="002A0A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Times New Roman" w:hint="cs"/>
          <w:rtl/>
          <w:lang w:bidi="ar-SA"/>
        </w:rPr>
        <w:t xml:space="preserve"> </w:t>
      </w:r>
      <w:r>
        <w:rPr>
          <w:rFonts w:ascii="Calibri" w:hAnsi="Calibri" w:hint="cs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يتم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حساب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التغير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في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الهامش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ربع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إلى</w:t>
      </w:r>
      <w:r w:rsidRPr="004844D6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آخر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على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أنه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الفرق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بين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متوسط</w:t>
      </w:r>
      <w:r w:rsidRPr="004844D6">
        <w:rPr>
          <w:rFonts w:ascii="Calibri" w:hAnsi="Calibri" w:cs="Arial"/>
          <w:rtl/>
          <w:lang w:bidi="ar-SA"/>
        </w:rPr>
        <w:t xml:space="preserve"> ​​</w:t>
      </w:r>
      <w:r w:rsidRPr="004844D6">
        <w:rPr>
          <w:rFonts w:ascii="Calibri" w:hAnsi="Calibri" w:cs="Arial" w:hint="cs"/>
          <w:rtl/>
          <w:lang w:bidi="ar-SA"/>
        </w:rPr>
        <w:t>الهامش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في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الشهر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الأخير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الربع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الذي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شمله</w:t>
      </w:r>
      <w:r w:rsidRPr="004844D6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التقرير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ومتوسط</w:t>
      </w:r>
      <w:r w:rsidRPr="004844D6">
        <w:rPr>
          <w:rFonts w:ascii="Calibri" w:hAnsi="Calibri" w:cs="Arial"/>
          <w:rtl/>
          <w:lang w:bidi="ar-SA"/>
        </w:rPr>
        <w:t xml:space="preserve"> ​​</w:t>
      </w:r>
      <w:r w:rsidRPr="004844D6">
        <w:rPr>
          <w:rFonts w:ascii="Calibri" w:hAnsi="Calibri" w:cs="Arial" w:hint="cs"/>
          <w:rtl/>
          <w:lang w:bidi="ar-SA"/>
        </w:rPr>
        <w:t>الهامش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في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الشهر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الأخير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الربع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السابق</w:t>
      </w:r>
      <w:r w:rsidRPr="004844D6">
        <w:rPr>
          <w:rFonts w:ascii="Calibri" w:hAnsi="Calibri" w:cs="Arial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6411A"/>
    <w:multiLevelType w:val="hybridMultilevel"/>
    <w:tmpl w:val="F7CE62BC"/>
    <w:lvl w:ilvl="0" w:tplc="C14C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4C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C7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E8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64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C4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27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E4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D36"/>
    <w:multiLevelType w:val="hybridMultilevel"/>
    <w:tmpl w:val="9E6ABAF0"/>
    <w:lvl w:ilvl="0" w:tplc="A75C00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521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E9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2B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0C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E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23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0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2F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9E0"/>
    <w:multiLevelType w:val="hybridMultilevel"/>
    <w:tmpl w:val="95901ADC"/>
    <w:lvl w:ilvl="0" w:tplc="34061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BEF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8C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2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3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69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4F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EF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E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9D6"/>
    <w:multiLevelType w:val="hybridMultilevel"/>
    <w:tmpl w:val="8D602DF6"/>
    <w:lvl w:ilvl="0" w:tplc="0D32B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08D1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6ED2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02CB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A2F1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FA4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41B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50DB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9CD7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6386"/>
    <w:multiLevelType w:val="hybridMultilevel"/>
    <w:tmpl w:val="2C042564"/>
    <w:lvl w:ilvl="0" w:tplc="FD4282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B8B80362" w:tentative="1">
      <w:start w:val="1"/>
      <w:numFmt w:val="lowerLetter"/>
      <w:lvlText w:val="%2."/>
      <w:lvlJc w:val="left"/>
      <w:pPr>
        <w:ind w:left="1080" w:hanging="360"/>
      </w:pPr>
    </w:lvl>
    <w:lvl w:ilvl="2" w:tplc="21A62F76" w:tentative="1">
      <w:start w:val="1"/>
      <w:numFmt w:val="lowerRoman"/>
      <w:lvlText w:val="%3."/>
      <w:lvlJc w:val="right"/>
      <w:pPr>
        <w:ind w:left="1800" w:hanging="180"/>
      </w:pPr>
    </w:lvl>
    <w:lvl w:ilvl="3" w:tplc="44ACEE30" w:tentative="1">
      <w:start w:val="1"/>
      <w:numFmt w:val="decimal"/>
      <w:lvlText w:val="%4."/>
      <w:lvlJc w:val="left"/>
      <w:pPr>
        <w:ind w:left="2520" w:hanging="360"/>
      </w:pPr>
    </w:lvl>
    <w:lvl w:ilvl="4" w:tplc="2C8ECF02" w:tentative="1">
      <w:start w:val="1"/>
      <w:numFmt w:val="lowerLetter"/>
      <w:lvlText w:val="%5."/>
      <w:lvlJc w:val="left"/>
      <w:pPr>
        <w:ind w:left="3240" w:hanging="360"/>
      </w:pPr>
    </w:lvl>
    <w:lvl w:ilvl="5" w:tplc="1D8A7B6C" w:tentative="1">
      <w:start w:val="1"/>
      <w:numFmt w:val="lowerRoman"/>
      <w:lvlText w:val="%6."/>
      <w:lvlJc w:val="right"/>
      <w:pPr>
        <w:ind w:left="3960" w:hanging="180"/>
      </w:pPr>
    </w:lvl>
    <w:lvl w:ilvl="6" w:tplc="5412BB02" w:tentative="1">
      <w:start w:val="1"/>
      <w:numFmt w:val="decimal"/>
      <w:lvlText w:val="%7."/>
      <w:lvlJc w:val="left"/>
      <w:pPr>
        <w:ind w:left="4680" w:hanging="360"/>
      </w:pPr>
    </w:lvl>
    <w:lvl w:ilvl="7" w:tplc="C2C47592" w:tentative="1">
      <w:start w:val="1"/>
      <w:numFmt w:val="lowerLetter"/>
      <w:lvlText w:val="%8."/>
      <w:lvlJc w:val="left"/>
      <w:pPr>
        <w:ind w:left="5400" w:hanging="360"/>
      </w:pPr>
    </w:lvl>
    <w:lvl w:ilvl="8" w:tplc="C826DC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559A"/>
    <w:multiLevelType w:val="hybridMultilevel"/>
    <w:tmpl w:val="FB7C63D0"/>
    <w:lvl w:ilvl="0" w:tplc="3A9280B2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93301E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C848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3466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4AF3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8C9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1C44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1091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2ED6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73908"/>
    <w:multiLevelType w:val="hybridMultilevel"/>
    <w:tmpl w:val="5B506BDE"/>
    <w:lvl w:ilvl="0" w:tplc="0578289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ADC59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104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58AA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A049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8A47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1EA9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40C4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82C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34BD"/>
    <w:multiLevelType w:val="hybridMultilevel"/>
    <w:tmpl w:val="480A0F34"/>
    <w:lvl w:ilvl="0" w:tplc="D9D209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40033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66DA13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A4C8B6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8CA415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EABD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9E36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273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10B3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F44EC"/>
    <w:multiLevelType w:val="hybridMultilevel"/>
    <w:tmpl w:val="1C1837E0"/>
    <w:lvl w:ilvl="0" w:tplc="71C04F6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712405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4802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F4A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EA3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48C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8494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B4F5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3A1A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E52B0"/>
    <w:multiLevelType w:val="hybridMultilevel"/>
    <w:tmpl w:val="37787044"/>
    <w:lvl w:ilvl="0" w:tplc="C380A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C7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EA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6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07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A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4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02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C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34AED"/>
    <w:multiLevelType w:val="hybridMultilevel"/>
    <w:tmpl w:val="440A9C16"/>
    <w:lvl w:ilvl="0" w:tplc="B05E9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6F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28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A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6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63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1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49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8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A032A"/>
    <w:multiLevelType w:val="hybridMultilevel"/>
    <w:tmpl w:val="B066D268"/>
    <w:lvl w:ilvl="0" w:tplc="E2A2F8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87C7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E5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8A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CA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C8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09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0F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87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A49A5"/>
    <w:multiLevelType w:val="hybridMultilevel"/>
    <w:tmpl w:val="D488128E"/>
    <w:lvl w:ilvl="0" w:tplc="F2CE84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BCE91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4666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041E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8063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9808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F29B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28D0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3849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E0056"/>
    <w:multiLevelType w:val="hybridMultilevel"/>
    <w:tmpl w:val="3E1638A6"/>
    <w:lvl w:ilvl="0" w:tplc="7B50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D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E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CC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EF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A7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C0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2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5319A"/>
    <w:multiLevelType w:val="hybridMultilevel"/>
    <w:tmpl w:val="919C9EC4"/>
    <w:lvl w:ilvl="0" w:tplc="B2A8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C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E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06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4D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4F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4A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A1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1510"/>
    <w:multiLevelType w:val="hybridMultilevel"/>
    <w:tmpl w:val="5F3AB4F6"/>
    <w:lvl w:ilvl="0" w:tplc="33B8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8D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00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03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09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A7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E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45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A8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A06E1"/>
    <w:multiLevelType w:val="hybridMultilevel"/>
    <w:tmpl w:val="E110BD78"/>
    <w:lvl w:ilvl="0" w:tplc="FCD663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F1CC7AC" w:tentative="1">
      <w:start w:val="1"/>
      <w:numFmt w:val="lowerLetter"/>
      <w:lvlText w:val="%2."/>
      <w:lvlJc w:val="left"/>
      <w:pPr>
        <w:ind w:left="938" w:hanging="360"/>
      </w:pPr>
    </w:lvl>
    <w:lvl w:ilvl="2" w:tplc="C6DA12F4" w:tentative="1">
      <w:start w:val="1"/>
      <w:numFmt w:val="lowerRoman"/>
      <w:lvlText w:val="%3."/>
      <w:lvlJc w:val="right"/>
      <w:pPr>
        <w:ind w:left="1658" w:hanging="180"/>
      </w:pPr>
    </w:lvl>
    <w:lvl w:ilvl="3" w:tplc="94086E92" w:tentative="1">
      <w:start w:val="1"/>
      <w:numFmt w:val="decimal"/>
      <w:lvlText w:val="%4."/>
      <w:lvlJc w:val="left"/>
      <w:pPr>
        <w:ind w:left="2378" w:hanging="360"/>
      </w:pPr>
    </w:lvl>
    <w:lvl w:ilvl="4" w:tplc="649E6E86" w:tentative="1">
      <w:start w:val="1"/>
      <w:numFmt w:val="lowerLetter"/>
      <w:lvlText w:val="%5."/>
      <w:lvlJc w:val="left"/>
      <w:pPr>
        <w:ind w:left="3098" w:hanging="360"/>
      </w:pPr>
    </w:lvl>
    <w:lvl w:ilvl="5" w:tplc="996C3862" w:tentative="1">
      <w:start w:val="1"/>
      <w:numFmt w:val="lowerRoman"/>
      <w:lvlText w:val="%6."/>
      <w:lvlJc w:val="right"/>
      <w:pPr>
        <w:ind w:left="3818" w:hanging="180"/>
      </w:pPr>
    </w:lvl>
    <w:lvl w:ilvl="6" w:tplc="69C0654A" w:tentative="1">
      <w:start w:val="1"/>
      <w:numFmt w:val="decimal"/>
      <w:lvlText w:val="%7."/>
      <w:lvlJc w:val="left"/>
      <w:pPr>
        <w:ind w:left="4538" w:hanging="360"/>
      </w:pPr>
    </w:lvl>
    <w:lvl w:ilvl="7" w:tplc="571AF128" w:tentative="1">
      <w:start w:val="1"/>
      <w:numFmt w:val="lowerLetter"/>
      <w:lvlText w:val="%8."/>
      <w:lvlJc w:val="left"/>
      <w:pPr>
        <w:ind w:left="5258" w:hanging="360"/>
      </w:pPr>
    </w:lvl>
    <w:lvl w:ilvl="8" w:tplc="50C4D36A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1F12BEA"/>
    <w:multiLevelType w:val="hybridMultilevel"/>
    <w:tmpl w:val="D4BA8082"/>
    <w:lvl w:ilvl="0" w:tplc="CB506A7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23ABC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7293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0C70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6C80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488C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58F7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02C3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5AEC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A0EE0"/>
    <w:multiLevelType w:val="hybridMultilevel"/>
    <w:tmpl w:val="A3A22F8E"/>
    <w:lvl w:ilvl="0" w:tplc="15FCAC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AC7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8A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EE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47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ED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EA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25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21C9"/>
    <w:multiLevelType w:val="hybridMultilevel"/>
    <w:tmpl w:val="8EB677D8"/>
    <w:lvl w:ilvl="0" w:tplc="F738DE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6F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4ABB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A0F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8731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877E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C0F6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6B43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022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F3F09"/>
    <w:multiLevelType w:val="hybridMultilevel"/>
    <w:tmpl w:val="F9DAA404"/>
    <w:lvl w:ilvl="0" w:tplc="A7201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E8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2B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02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EC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20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0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80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6C97829"/>
    <w:multiLevelType w:val="hybridMultilevel"/>
    <w:tmpl w:val="DC4CD442"/>
    <w:lvl w:ilvl="0" w:tplc="8BCA30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15A24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20ED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CA89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3649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0ABB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0258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689C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9850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446BFD"/>
    <w:multiLevelType w:val="hybridMultilevel"/>
    <w:tmpl w:val="1F14AA34"/>
    <w:lvl w:ilvl="0" w:tplc="A6EC3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728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A1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C6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8D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1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F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2F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D7AF8"/>
    <w:multiLevelType w:val="hybridMultilevel"/>
    <w:tmpl w:val="A064A97A"/>
    <w:lvl w:ilvl="0" w:tplc="FB58F2E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7C46462" w:tentative="1">
      <w:start w:val="1"/>
      <w:numFmt w:val="lowerLetter"/>
      <w:lvlText w:val="%2."/>
      <w:lvlJc w:val="left"/>
      <w:pPr>
        <w:ind w:left="1440" w:hanging="360"/>
      </w:pPr>
    </w:lvl>
    <w:lvl w:ilvl="2" w:tplc="63CE72EE" w:tentative="1">
      <w:start w:val="1"/>
      <w:numFmt w:val="lowerRoman"/>
      <w:lvlText w:val="%3."/>
      <w:lvlJc w:val="right"/>
      <w:pPr>
        <w:ind w:left="2160" w:hanging="180"/>
      </w:pPr>
    </w:lvl>
    <w:lvl w:ilvl="3" w:tplc="73642B26" w:tentative="1">
      <w:start w:val="1"/>
      <w:numFmt w:val="decimal"/>
      <w:lvlText w:val="%4."/>
      <w:lvlJc w:val="left"/>
      <w:pPr>
        <w:ind w:left="2880" w:hanging="360"/>
      </w:pPr>
    </w:lvl>
    <w:lvl w:ilvl="4" w:tplc="C5A4CB3E" w:tentative="1">
      <w:start w:val="1"/>
      <w:numFmt w:val="lowerLetter"/>
      <w:lvlText w:val="%5."/>
      <w:lvlJc w:val="left"/>
      <w:pPr>
        <w:ind w:left="3600" w:hanging="360"/>
      </w:pPr>
    </w:lvl>
    <w:lvl w:ilvl="5" w:tplc="AFE0B650" w:tentative="1">
      <w:start w:val="1"/>
      <w:numFmt w:val="lowerRoman"/>
      <w:lvlText w:val="%6."/>
      <w:lvlJc w:val="right"/>
      <w:pPr>
        <w:ind w:left="4320" w:hanging="180"/>
      </w:pPr>
    </w:lvl>
    <w:lvl w:ilvl="6" w:tplc="B6847C8E" w:tentative="1">
      <w:start w:val="1"/>
      <w:numFmt w:val="decimal"/>
      <w:lvlText w:val="%7."/>
      <w:lvlJc w:val="left"/>
      <w:pPr>
        <w:ind w:left="5040" w:hanging="360"/>
      </w:pPr>
    </w:lvl>
    <w:lvl w:ilvl="7" w:tplc="C1AA4854" w:tentative="1">
      <w:start w:val="1"/>
      <w:numFmt w:val="lowerLetter"/>
      <w:lvlText w:val="%8."/>
      <w:lvlJc w:val="left"/>
      <w:pPr>
        <w:ind w:left="5760" w:hanging="360"/>
      </w:pPr>
    </w:lvl>
    <w:lvl w:ilvl="8" w:tplc="17708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07A1"/>
    <w:multiLevelType w:val="hybridMultilevel"/>
    <w:tmpl w:val="7CF2F540"/>
    <w:lvl w:ilvl="0" w:tplc="188032FE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D60D3AE" w:tentative="1">
      <w:start w:val="1"/>
      <w:numFmt w:val="lowerLetter"/>
      <w:lvlText w:val="%2."/>
      <w:lvlJc w:val="left"/>
      <w:pPr>
        <w:ind w:left="1440" w:hanging="360"/>
      </w:pPr>
    </w:lvl>
    <w:lvl w:ilvl="2" w:tplc="4784E55A" w:tentative="1">
      <w:start w:val="1"/>
      <w:numFmt w:val="lowerRoman"/>
      <w:lvlText w:val="%3."/>
      <w:lvlJc w:val="right"/>
      <w:pPr>
        <w:ind w:left="2160" w:hanging="180"/>
      </w:pPr>
    </w:lvl>
    <w:lvl w:ilvl="3" w:tplc="5A0E32DC" w:tentative="1">
      <w:start w:val="1"/>
      <w:numFmt w:val="decimal"/>
      <w:lvlText w:val="%4."/>
      <w:lvlJc w:val="left"/>
      <w:pPr>
        <w:ind w:left="2880" w:hanging="360"/>
      </w:pPr>
    </w:lvl>
    <w:lvl w:ilvl="4" w:tplc="A3266F0A" w:tentative="1">
      <w:start w:val="1"/>
      <w:numFmt w:val="lowerLetter"/>
      <w:lvlText w:val="%5."/>
      <w:lvlJc w:val="left"/>
      <w:pPr>
        <w:ind w:left="3600" w:hanging="360"/>
      </w:pPr>
    </w:lvl>
    <w:lvl w:ilvl="5" w:tplc="69B81F98" w:tentative="1">
      <w:start w:val="1"/>
      <w:numFmt w:val="lowerRoman"/>
      <w:lvlText w:val="%6."/>
      <w:lvlJc w:val="right"/>
      <w:pPr>
        <w:ind w:left="4320" w:hanging="180"/>
      </w:pPr>
    </w:lvl>
    <w:lvl w:ilvl="6" w:tplc="5C5474A6" w:tentative="1">
      <w:start w:val="1"/>
      <w:numFmt w:val="decimal"/>
      <w:lvlText w:val="%7."/>
      <w:lvlJc w:val="left"/>
      <w:pPr>
        <w:ind w:left="5040" w:hanging="360"/>
      </w:pPr>
    </w:lvl>
    <w:lvl w:ilvl="7" w:tplc="6FA80BD2" w:tentative="1">
      <w:start w:val="1"/>
      <w:numFmt w:val="lowerLetter"/>
      <w:lvlText w:val="%8."/>
      <w:lvlJc w:val="left"/>
      <w:pPr>
        <w:ind w:left="5760" w:hanging="360"/>
      </w:pPr>
    </w:lvl>
    <w:lvl w:ilvl="8" w:tplc="BAE6B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A0206"/>
    <w:multiLevelType w:val="hybridMultilevel"/>
    <w:tmpl w:val="F94C8AC0"/>
    <w:lvl w:ilvl="0" w:tplc="49EC59EE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10ACF8" w:tentative="1">
      <w:start w:val="1"/>
      <w:numFmt w:val="lowerLetter"/>
      <w:lvlText w:val="%2."/>
      <w:lvlJc w:val="left"/>
      <w:pPr>
        <w:ind w:left="1440" w:hanging="360"/>
      </w:pPr>
    </w:lvl>
    <w:lvl w:ilvl="2" w:tplc="42EA79B4" w:tentative="1">
      <w:start w:val="1"/>
      <w:numFmt w:val="lowerRoman"/>
      <w:lvlText w:val="%3."/>
      <w:lvlJc w:val="right"/>
      <w:pPr>
        <w:ind w:left="2160" w:hanging="180"/>
      </w:pPr>
    </w:lvl>
    <w:lvl w:ilvl="3" w:tplc="50DA5190" w:tentative="1">
      <w:start w:val="1"/>
      <w:numFmt w:val="decimal"/>
      <w:lvlText w:val="%4."/>
      <w:lvlJc w:val="left"/>
      <w:pPr>
        <w:ind w:left="2880" w:hanging="360"/>
      </w:pPr>
    </w:lvl>
    <w:lvl w:ilvl="4" w:tplc="670A868C" w:tentative="1">
      <w:start w:val="1"/>
      <w:numFmt w:val="lowerLetter"/>
      <w:lvlText w:val="%5."/>
      <w:lvlJc w:val="left"/>
      <w:pPr>
        <w:ind w:left="3600" w:hanging="360"/>
      </w:pPr>
    </w:lvl>
    <w:lvl w:ilvl="5" w:tplc="1ACEA174" w:tentative="1">
      <w:start w:val="1"/>
      <w:numFmt w:val="lowerRoman"/>
      <w:lvlText w:val="%6."/>
      <w:lvlJc w:val="right"/>
      <w:pPr>
        <w:ind w:left="4320" w:hanging="180"/>
      </w:pPr>
    </w:lvl>
    <w:lvl w:ilvl="6" w:tplc="50183F8A" w:tentative="1">
      <w:start w:val="1"/>
      <w:numFmt w:val="decimal"/>
      <w:lvlText w:val="%7."/>
      <w:lvlJc w:val="left"/>
      <w:pPr>
        <w:ind w:left="5040" w:hanging="360"/>
      </w:pPr>
    </w:lvl>
    <w:lvl w:ilvl="7" w:tplc="1EA4DBC0" w:tentative="1">
      <w:start w:val="1"/>
      <w:numFmt w:val="lowerLetter"/>
      <w:lvlText w:val="%8."/>
      <w:lvlJc w:val="left"/>
      <w:pPr>
        <w:ind w:left="5760" w:hanging="360"/>
      </w:pPr>
    </w:lvl>
    <w:lvl w:ilvl="8" w:tplc="0298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3982"/>
    <w:multiLevelType w:val="hybridMultilevel"/>
    <w:tmpl w:val="EFCCFC24"/>
    <w:lvl w:ilvl="0" w:tplc="7E1EA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06E4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D657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AF6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AC9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2A43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D6CB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3A9C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5829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7"/>
  </w:num>
  <w:num w:numId="8">
    <w:abstractNumId w:val="25"/>
  </w:num>
  <w:num w:numId="9">
    <w:abstractNumId w:val="28"/>
  </w:num>
  <w:num w:numId="10">
    <w:abstractNumId w:val="21"/>
  </w:num>
  <w:num w:numId="11">
    <w:abstractNumId w:val="16"/>
  </w:num>
  <w:num w:numId="12">
    <w:abstractNumId w:val="22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34"/>
  </w:num>
  <w:num w:numId="18">
    <w:abstractNumId w:val="29"/>
  </w:num>
  <w:num w:numId="19">
    <w:abstractNumId w:val="27"/>
  </w:num>
  <w:num w:numId="20">
    <w:abstractNumId w:val="26"/>
  </w:num>
  <w:num w:numId="21">
    <w:abstractNumId w:val="1"/>
  </w:num>
  <w:num w:numId="22">
    <w:abstractNumId w:val="10"/>
  </w:num>
  <w:num w:numId="23">
    <w:abstractNumId w:val="30"/>
  </w:num>
  <w:num w:numId="24">
    <w:abstractNumId w:val="20"/>
  </w:num>
  <w:num w:numId="25">
    <w:abstractNumId w:val="24"/>
  </w:num>
  <w:num w:numId="26">
    <w:abstractNumId w:val="33"/>
  </w:num>
  <w:num w:numId="27">
    <w:abstractNumId w:val="0"/>
  </w:num>
  <w:num w:numId="28">
    <w:abstractNumId w:val="15"/>
  </w:num>
  <w:num w:numId="29">
    <w:abstractNumId w:val="19"/>
  </w:num>
  <w:num w:numId="30">
    <w:abstractNumId w:val="12"/>
  </w:num>
  <w:num w:numId="31">
    <w:abstractNumId w:val="14"/>
  </w:num>
  <w:num w:numId="32">
    <w:abstractNumId w:val="2"/>
  </w:num>
  <w:num w:numId="33">
    <w:abstractNumId w:val="32"/>
  </w:num>
  <w:num w:numId="34">
    <w:abstractNumId w:val="18"/>
  </w:num>
  <w:num w:numId="3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2175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269AF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340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0A31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0DC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54021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844D6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36FB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0A82"/>
    <w:rsid w:val="00641674"/>
    <w:rsid w:val="00642297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4DF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6712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385F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FE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D6839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092B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5F3F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0BF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6FF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5CC5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87E0D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2B8D"/>
    <w:rsid w:val="00F63BEE"/>
    <w:rsid w:val="00F671F7"/>
    <w:rsid w:val="00F67341"/>
    <w:rsid w:val="00F676C8"/>
    <w:rsid w:val="00F702BF"/>
    <w:rsid w:val="00F717ED"/>
    <w:rsid w:val="00F736DF"/>
    <w:rsid w:val="00F7413D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5C0C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regularpublications/statistic_bulletin/bulletin2024/" TargetMode="Externa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1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13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63F5-B0DF-43E9-AE7A-FB26612A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1069</Words>
  <Characters>5487</Characters>
  <Application>Microsoft Office Word</Application>
  <DocSecurity>4</DocSecurity>
  <Lines>342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2025-04-09T08:42:00Z</dcterms:created>
  <dcterms:modified xsi:type="dcterms:W3CDTF">2025-04-09T08:42:00Z</dcterms:modified>
</cp:coreProperties>
</file>