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310" w:type="dxa"/>
        <w:jc w:val="center"/>
        <w:tblLayout w:type="fixed"/>
        <w:tblLook w:val="0000" w:firstRow="0" w:lastRow="0" w:firstColumn="0" w:lastColumn="0" w:noHBand="0" w:noVBand="0"/>
      </w:tblPr>
      <w:tblGrid>
        <w:gridCol w:w="2582"/>
        <w:gridCol w:w="3644"/>
        <w:gridCol w:w="3084"/>
      </w:tblGrid>
      <w:tr w:rsidR="0041761B" w:rsidTr="007A4795">
        <w:trPr>
          <w:jc w:val="center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358" w:rsidRPr="00520BB4" w:rsidRDefault="00F03153" w:rsidP="007A4795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בנ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ק </w:t>
            </w:r>
            <w:r w:rsidRPr="00520BB4">
              <w:rPr>
                <w:rFonts w:cs="David"/>
                <w:b/>
                <w:bCs/>
                <w:sz w:val="28"/>
                <w:szCs w:val="28"/>
                <w:rtl/>
              </w:rPr>
              <w:t>יש</w:t>
            </w:r>
            <w:r w:rsidRPr="00520BB4">
              <w:rPr>
                <w:rFonts w:cs="David" w:hint="cs"/>
                <w:b/>
                <w:bCs/>
                <w:sz w:val="28"/>
                <w:szCs w:val="28"/>
                <w:rtl/>
              </w:rPr>
              <w:t>ראל</w:t>
            </w:r>
          </w:p>
          <w:p w:rsidR="00257358" w:rsidRDefault="00F03153" w:rsidP="007A4795">
            <w:pPr>
              <w:spacing w:line="360" w:lineRule="auto"/>
              <w:ind w:right="-101"/>
              <w:jc w:val="center"/>
              <w:rPr>
                <w:sz w:val="24"/>
                <w:szCs w:val="24"/>
              </w:rPr>
            </w:pPr>
            <w:r w:rsidRPr="00520BB4">
              <w:rPr>
                <w:rFonts w:cs="David"/>
                <w:sz w:val="24"/>
                <w:szCs w:val="24"/>
                <w:rtl/>
              </w:rPr>
              <w:t>דו</w:t>
            </w:r>
            <w:r w:rsidRPr="00520BB4">
              <w:rPr>
                <w:rFonts w:cs="David" w:hint="cs"/>
                <w:sz w:val="24"/>
                <w:szCs w:val="24"/>
                <w:rtl/>
              </w:rPr>
              <w:t>בר</w:t>
            </w:r>
            <w:r w:rsidRPr="00520BB4">
              <w:rPr>
                <w:rFonts w:cs="David"/>
                <w:sz w:val="24"/>
                <w:szCs w:val="24"/>
                <w:rtl/>
              </w:rPr>
              <w:t>ות</w:t>
            </w:r>
            <w:r w:rsidRPr="00520BB4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257358" w:rsidRDefault="00F03153" w:rsidP="007A4795">
            <w:pPr>
              <w:jc w:val="center"/>
            </w:pPr>
            <w:r w:rsidRPr="00B93FDD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0</wp:posOffset>
                  </wp:positionV>
                  <wp:extent cx="1051200" cy="1051200"/>
                  <wp:effectExtent l="0" t="0" r="0" b="0"/>
                  <wp:wrapSquare wrapText="bothSides"/>
                  <wp:docPr id="1" name="תמונה 1" descr="\\portals\DavWWWRoot\sites\boi\about\Mitug\DocList\Logo Bank of Israel 2 color\Logo Bank of Israel 2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\\portals\DavWWWRoot\sites\boi\about\Mitug\DocList\Logo Bank of Israel 2 color\Logo Bank of Israel 2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358" w:rsidRPr="00BE5211" w:rsidRDefault="00F03153" w:rsidP="00C0055D">
            <w:pPr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 w:rsidRPr="00BE5211">
              <w:rPr>
                <w:rFonts w:cs="David" w:hint="eastAsia"/>
                <w:sz w:val="24"/>
                <w:szCs w:val="24"/>
                <w:rtl/>
              </w:rPr>
              <w:t>‏</w:t>
            </w:r>
            <w:r w:rsidRPr="00BE5211">
              <w:rPr>
                <w:rFonts w:cs="David" w:hint="cs"/>
                <w:sz w:val="24"/>
                <w:szCs w:val="24"/>
                <w:rtl/>
              </w:rPr>
              <w:t xml:space="preserve">ירושלים, </w:t>
            </w:r>
            <w:r w:rsidR="00C0055D">
              <w:rPr>
                <w:rFonts w:cs="David" w:hint="eastAsia"/>
                <w:sz w:val="24"/>
                <w:szCs w:val="24"/>
                <w:rtl/>
              </w:rPr>
              <w:t>‏כ</w:t>
            </w:r>
            <w:r w:rsidR="00C0055D">
              <w:rPr>
                <w:rFonts w:cs="David"/>
                <w:sz w:val="24"/>
                <w:szCs w:val="24"/>
                <w:rtl/>
              </w:rPr>
              <w:t>"ט סיון תשפ"ו</w:t>
            </w:r>
          </w:p>
          <w:p w:rsidR="00257358" w:rsidRPr="00BE5211" w:rsidRDefault="00F03153" w:rsidP="007A4795">
            <w:pPr>
              <w:spacing w:line="480" w:lineRule="auto"/>
              <w:jc w:val="right"/>
              <w:rPr>
                <w:rFonts w:cs="David"/>
                <w:sz w:val="24"/>
                <w:szCs w:val="24"/>
              </w:rPr>
            </w:pPr>
            <w:r>
              <w:rPr>
                <w:rFonts w:cs="David" w:hint="eastAsia"/>
                <w:sz w:val="24"/>
                <w:szCs w:val="24"/>
                <w:rtl/>
              </w:rPr>
              <w:t>‏</w:t>
            </w:r>
            <w:r>
              <w:rPr>
                <w:rFonts w:cs="David"/>
                <w:sz w:val="24"/>
                <w:szCs w:val="24"/>
                <w:rtl/>
              </w:rPr>
              <w:t>14 יוני 2026</w:t>
            </w:r>
          </w:p>
        </w:tc>
      </w:tr>
    </w:tbl>
    <w:p w:rsidR="00C1062F" w:rsidRDefault="00F03153" w:rsidP="00C1062F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  <w:rtl/>
        </w:rPr>
      </w:pP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بيان</w:t>
      </w:r>
      <w:r w:rsid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صحفي</w:t>
      </w:r>
      <w:r>
        <w:rPr>
          <w:rFonts w:ascii="David" w:hAnsi="David" w:cs="David" w:hint="cs"/>
          <w:color w:val="000000" w:themeColor="text1"/>
          <w:sz w:val="24"/>
          <w:szCs w:val="24"/>
          <w:rtl/>
        </w:rPr>
        <w:t>:</w:t>
      </w:r>
    </w:p>
    <w:p w:rsidR="00893DF2" w:rsidRPr="00893DF2" w:rsidRDefault="00F03153" w:rsidP="00893DF2">
      <w:pPr>
        <w:spacing w:line="360" w:lineRule="auto"/>
        <w:jc w:val="center"/>
        <w:rPr>
          <w:rFonts w:ascii="David" w:hAnsi="David"/>
          <w:b/>
          <w:bCs/>
          <w:color w:val="000000" w:themeColor="text1"/>
          <w:sz w:val="28"/>
          <w:szCs w:val="28"/>
          <w:rtl/>
          <w:lang w:bidi="ar-SA"/>
        </w:rPr>
      </w:pPr>
      <w:r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تعيين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البروفيسورة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نعومي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فيلدمان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لفترة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ولاية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إضافية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كعضو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في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اللجنة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النقدية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لبنك</w:t>
      </w:r>
      <w:r w:rsidRPr="00893DF2">
        <w:rPr>
          <w:rFonts w:ascii="David" w:hAnsi="David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893DF2">
        <w:rPr>
          <w:rFonts w:ascii="David" w:hAnsi="David" w:cs="Arial" w:hint="cs"/>
          <w:b/>
          <w:bCs/>
          <w:color w:val="000000" w:themeColor="text1"/>
          <w:sz w:val="28"/>
          <w:szCs w:val="28"/>
          <w:rtl/>
          <w:lang w:bidi="ar-SA"/>
        </w:rPr>
        <w:t>إسرائيل</w:t>
      </w:r>
    </w:p>
    <w:p w:rsidR="00893DF2" w:rsidRPr="00893DF2" w:rsidRDefault="00F03153" w:rsidP="00893DF2">
      <w:pPr>
        <w:spacing w:line="360" w:lineRule="auto"/>
        <w:jc w:val="both"/>
        <w:rPr>
          <w:rFonts w:ascii="David" w:hAnsi="David"/>
          <w:color w:val="000000" w:themeColor="text1"/>
          <w:sz w:val="24"/>
          <w:szCs w:val="24"/>
          <w:rtl/>
          <w:lang w:bidi="ar-SA"/>
        </w:rPr>
      </w:pPr>
      <w:bookmarkStart w:id="0" w:name="_GoBack"/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وافقت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حكومة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إسرائيل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على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توصية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التعيينات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بتمديد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ولاية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البروفيسورة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نعومي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فيلدمان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لفترة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إضافية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كعضو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النقدية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لبنك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إسرائيل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.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سيدخل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هذا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التعيين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حيز التنفيذ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اعتبار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اً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3371B5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تاريخ</w:t>
      </w:r>
      <w:r w:rsidR="003371B5">
        <w:rPr>
          <w:rFonts w:ascii="David" w:hAnsi="David" w:cs="Arial" w:hint="cs"/>
          <w:color w:val="000000" w:themeColor="text1"/>
          <w:sz w:val="24"/>
          <w:szCs w:val="24"/>
          <w:rtl/>
        </w:rPr>
        <w:t xml:space="preserve"> 12.6.26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>.</w:t>
      </w:r>
    </w:p>
    <w:p w:rsidR="00893DF2" w:rsidRPr="00893DF2" w:rsidRDefault="00F03153" w:rsidP="00B3592D">
      <w:pPr>
        <w:spacing w:line="360" w:lineRule="auto"/>
        <w:jc w:val="both"/>
        <w:rPr>
          <w:rFonts w:ascii="David" w:hAnsi="David"/>
          <w:color w:val="000000" w:themeColor="text1"/>
          <w:sz w:val="24"/>
          <w:szCs w:val="24"/>
          <w:rtl/>
          <w:lang w:bidi="ar-SA"/>
        </w:rPr>
      </w:pP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وفق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اً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لقانون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بنك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إسرائيل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(2010)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يجب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على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النقدية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أن تضم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ستة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أعضاء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: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المحافظ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(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رئيس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>)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ونائب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المحافظ،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وموظف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بنك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إسرائيل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يعينه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المحافظ،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وثلاثة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أعضاء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الجمهور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تعينهم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الحكومة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.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بناءً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على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ذلك،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سيشغل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البروفيسور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أوري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هيفيت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س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والبروفيسورة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نعومي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فيلدمان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عضوية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النقدية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كممثلين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الجمهور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>.</w:t>
      </w:r>
    </w:p>
    <w:p w:rsidR="00B3592D" w:rsidRDefault="00F03153" w:rsidP="00B3592D">
      <w:pPr>
        <w:spacing w:line="360" w:lineRule="auto"/>
        <w:jc w:val="both"/>
        <w:rPr>
          <w:rFonts w:ascii="David" w:hAnsi="David" w:cs="Arial"/>
          <w:color w:val="000000" w:themeColor="text1"/>
          <w:sz w:val="24"/>
          <w:szCs w:val="24"/>
          <w:rtl/>
          <w:lang w:bidi="ar-SA"/>
        </w:rPr>
      </w:pP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تحمل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البروفيسورة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فيلدمان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اللقب الأول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جامعة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إلينوي،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ولقب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دكتوراه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جامعة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ميشيغان،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وهي متخصصة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مجال التمويل العمومي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والضرائب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والاقتصاد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السلوكي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.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تشغل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البروفيسورة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فيلدمان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منصب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بروفيسور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قسم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في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الجامعة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العبرية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منذ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عام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2018،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وهي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أيض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اً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محررة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المجلة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David"/>
          <w:color w:val="000000" w:themeColor="text1"/>
          <w:sz w:val="24"/>
          <w:szCs w:val="24"/>
        </w:rPr>
        <w:t>American Economic Journal: Economic Policy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.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كما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شغلت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منصب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كبير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الاقتصاديين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قسم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التحليل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المالي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مجلس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الاحتياطي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الفيدرالي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عام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2011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إلى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عام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2018،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وخلال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تلك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الفترة،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عملت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لمدة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عام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مجلس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المستشارين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الاقتصاديين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للرئيس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 الأمريكي (</w:t>
      </w:r>
      <w:r>
        <w:rPr>
          <w:rFonts w:ascii="David" w:hAnsi="David" w:cs="David" w:hint="cs"/>
          <w:color w:val="000000" w:themeColor="text1"/>
          <w:sz w:val="24"/>
          <w:szCs w:val="24"/>
        </w:rPr>
        <w:t>CEA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)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.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كما عملت قبل ذلك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مستشارةً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لقسم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الاستراتيجية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النقدية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والتقييم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البنك </w:t>
      </w:r>
      <w:r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المركزي لانجلترا عام 2004.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</w:p>
    <w:p w:rsidR="00893DF2" w:rsidRPr="00893DF2" w:rsidRDefault="00F03153" w:rsidP="00B3592D">
      <w:pPr>
        <w:spacing w:line="360" w:lineRule="auto"/>
        <w:jc w:val="both"/>
        <w:rPr>
          <w:rFonts w:ascii="David" w:hAnsi="David"/>
          <w:color w:val="000000" w:themeColor="text1"/>
          <w:sz w:val="24"/>
          <w:szCs w:val="24"/>
          <w:rtl/>
          <w:lang w:bidi="ar-SA"/>
        </w:rPr>
      </w:pP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محافظ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بنك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إسرائيل،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البروفيسور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أمير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 xml:space="preserve"> </w:t>
      </w:r>
      <w:r w:rsidRPr="00B3592D">
        <w:rPr>
          <w:rFonts w:ascii="David" w:hAnsi="David" w:cs="Arial" w:hint="cs"/>
          <w:b/>
          <w:bCs/>
          <w:color w:val="000000" w:themeColor="text1"/>
          <w:sz w:val="24"/>
          <w:szCs w:val="24"/>
          <w:rtl/>
          <w:lang w:bidi="ar-SA"/>
        </w:rPr>
        <w:t>يارون</w:t>
      </w:r>
      <w:r w:rsidRPr="00B3592D">
        <w:rPr>
          <w:rFonts w:ascii="David" w:hAnsi="David" w:cs="Arial"/>
          <w:b/>
          <w:bCs/>
          <w:color w:val="000000" w:themeColor="text1"/>
          <w:sz w:val="24"/>
          <w:szCs w:val="24"/>
          <w:rtl/>
          <w:lang w:bidi="ar-SA"/>
        </w:rPr>
        <w:t>: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"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أتمنى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للبروفيسورة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فيلدمان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دوام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النجاح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أداء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دورها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كممثلة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عن الجمهور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في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اللجنة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النقدية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="00B3592D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 xml:space="preserve">في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بنك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إسرائيل،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وأشكرها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على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استعدادها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لتحمّل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هذه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 xml:space="preserve"> </w:t>
      </w:r>
      <w:r w:rsidRPr="00893DF2">
        <w:rPr>
          <w:rFonts w:ascii="David" w:hAnsi="David" w:cs="Arial" w:hint="cs"/>
          <w:color w:val="000000" w:themeColor="text1"/>
          <w:sz w:val="24"/>
          <w:szCs w:val="24"/>
          <w:rtl/>
          <w:lang w:bidi="ar-SA"/>
        </w:rPr>
        <w:t>المسؤولية</w:t>
      </w:r>
      <w:r w:rsidRPr="00893DF2">
        <w:rPr>
          <w:rFonts w:ascii="David" w:hAnsi="David" w:cs="Arial"/>
          <w:color w:val="000000" w:themeColor="text1"/>
          <w:sz w:val="24"/>
          <w:szCs w:val="24"/>
          <w:rtl/>
          <w:lang w:bidi="ar-SA"/>
        </w:rPr>
        <w:t>".</w:t>
      </w:r>
    </w:p>
    <w:bookmarkEnd w:id="0"/>
    <w:p w:rsidR="00C1062F" w:rsidRPr="00C1062F" w:rsidRDefault="00C1062F" w:rsidP="00C1062F">
      <w:pPr>
        <w:spacing w:line="360" w:lineRule="auto"/>
        <w:jc w:val="both"/>
        <w:rPr>
          <w:rFonts w:ascii="David" w:hAnsi="David" w:cs="David"/>
          <w:color w:val="000000" w:themeColor="text1"/>
          <w:sz w:val="24"/>
          <w:szCs w:val="24"/>
        </w:rPr>
      </w:pPr>
    </w:p>
    <w:sectPr w:rsidR="00C1062F" w:rsidRPr="00C1062F" w:rsidSect="000875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2F"/>
    <w:rsid w:val="00010CF0"/>
    <w:rsid w:val="000167D6"/>
    <w:rsid w:val="00020F0E"/>
    <w:rsid w:val="00080763"/>
    <w:rsid w:val="00087510"/>
    <w:rsid w:val="000A2D38"/>
    <w:rsid w:val="000D7FEE"/>
    <w:rsid w:val="000E4E47"/>
    <w:rsid w:val="00130BF2"/>
    <w:rsid w:val="00140C28"/>
    <w:rsid w:val="00165616"/>
    <w:rsid w:val="002076D5"/>
    <w:rsid w:val="00210BF6"/>
    <w:rsid w:val="00214AF0"/>
    <w:rsid w:val="00257358"/>
    <w:rsid w:val="00272A06"/>
    <w:rsid w:val="002857CE"/>
    <w:rsid w:val="002C21B0"/>
    <w:rsid w:val="002D2D6D"/>
    <w:rsid w:val="0030119A"/>
    <w:rsid w:val="003036B8"/>
    <w:rsid w:val="003371B5"/>
    <w:rsid w:val="003403BC"/>
    <w:rsid w:val="0035359C"/>
    <w:rsid w:val="00376BF6"/>
    <w:rsid w:val="003868AD"/>
    <w:rsid w:val="00386CE5"/>
    <w:rsid w:val="003C1030"/>
    <w:rsid w:val="003E0021"/>
    <w:rsid w:val="00401FAC"/>
    <w:rsid w:val="00412336"/>
    <w:rsid w:val="0041761B"/>
    <w:rsid w:val="00475372"/>
    <w:rsid w:val="004840F5"/>
    <w:rsid w:val="004959E7"/>
    <w:rsid w:val="004B4355"/>
    <w:rsid w:val="004B63A7"/>
    <w:rsid w:val="00520BB4"/>
    <w:rsid w:val="00546A67"/>
    <w:rsid w:val="005526D1"/>
    <w:rsid w:val="00591406"/>
    <w:rsid w:val="005D323D"/>
    <w:rsid w:val="0063502E"/>
    <w:rsid w:val="006857B9"/>
    <w:rsid w:val="006A1BAD"/>
    <w:rsid w:val="006A6241"/>
    <w:rsid w:val="006C5B40"/>
    <w:rsid w:val="006C6AC4"/>
    <w:rsid w:val="00702A2F"/>
    <w:rsid w:val="00704315"/>
    <w:rsid w:val="00731C76"/>
    <w:rsid w:val="00742840"/>
    <w:rsid w:val="00745C34"/>
    <w:rsid w:val="007A4795"/>
    <w:rsid w:val="00802F45"/>
    <w:rsid w:val="0084165F"/>
    <w:rsid w:val="008632A1"/>
    <w:rsid w:val="00893DF2"/>
    <w:rsid w:val="0089573B"/>
    <w:rsid w:val="008A3B9F"/>
    <w:rsid w:val="009209D9"/>
    <w:rsid w:val="00926676"/>
    <w:rsid w:val="00933667"/>
    <w:rsid w:val="00983710"/>
    <w:rsid w:val="009E5B21"/>
    <w:rsid w:val="009E69E1"/>
    <w:rsid w:val="009F6011"/>
    <w:rsid w:val="00A4015A"/>
    <w:rsid w:val="00A659BC"/>
    <w:rsid w:val="00AB3C44"/>
    <w:rsid w:val="00AB3FC3"/>
    <w:rsid w:val="00B07514"/>
    <w:rsid w:val="00B07BD2"/>
    <w:rsid w:val="00B15BC3"/>
    <w:rsid w:val="00B3592D"/>
    <w:rsid w:val="00B81AA2"/>
    <w:rsid w:val="00B83D10"/>
    <w:rsid w:val="00BC6EFD"/>
    <w:rsid w:val="00BE5211"/>
    <w:rsid w:val="00C0055D"/>
    <w:rsid w:val="00C1062F"/>
    <w:rsid w:val="00CA10D5"/>
    <w:rsid w:val="00CD5B2B"/>
    <w:rsid w:val="00D01BFF"/>
    <w:rsid w:val="00D106C7"/>
    <w:rsid w:val="00D11BA9"/>
    <w:rsid w:val="00D142BE"/>
    <w:rsid w:val="00D24E24"/>
    <w:rsid w:val="00D36ACD"/>
    <w:rsid w:val="00D774FE"/>
    <w:rsid w:val="00E00601"/>
    <w:rsid w:val="00E218A5"/>
    <w:rsid w:val="00E9344F"/>
    <w:rsid w:val="00E95E04"/>
    <w:rsid w:val="00EA1402"/>
    <w:rsid w:val="00F03153"/>
    <w:rsid w:val="00F22B86"/>
    <w:rsid w:val="00F337C2"/>
    <w:rsid w:val="00F54C39"/>
    <w:rsid w:val="00F73FA9"/>
    <w:rsid w:val="00FA2550"/>
    <w:rsid w:val="00FB2BD2"/>
    <w:rsid w:val="00FC119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7DBE5-E27B-5B46-B9B2-5D3D41F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6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50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1247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מיטל רולניצקי</dc:creator>
  <cp:lastModifiedBy>רוסול דכוור</cp:lastModifiedBy>
  <cp:revision>2</cp:revision>
  <dcterms:created xsi:type="dcterms:W3CDTF">2026-06-17T10:38:00Z</dcterms:created>
  <dcterms:modified xsi:type="dcterms:W3CDTF">2026-06-17T10:38:00Z</dcterms:modified>
</cp:coreProperties>
</file>