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60DE00" w14:textId="77777777" w:rsidR="00CB5D78" w:rsidRPr="003B4DD7" w:rsidRDefault="002235F5" w:rsidP="00E73FB2">
      <w:pPr>
        <w:bidi w:val="0"/>
        <w:jc w:val="both"/>
        <w:rPr>
          <w:rFonts w:asciiTheme="majorBidi" w:hAnsiTheme="majorBidi" w:cstheme="majorBidi"/>
          <w:rtl/>
        </w:rPr>
      </w:pPr>
      <w:r w:rsidRPr="003B4DD7">
        <w:rPr>
          <w:rFonts w:asciiTheme="majorBidi" w:hAnsiTheme="majorBidi" w:cstheme="majorBidi"/>
          <w:noProof/>
        </w:rPr>
        <w:drawing>
          <wp:anchor distT="0" distB="0" distL="114300" distR="114300" simplePos="0" relativeHeight="251658240" behindDoc="0" locked="0" layoutInCell="1" allowOverlap="1" wp14:anchorId="609F92CD" wp14:editId="7D0C5461">
            <wp:simplePos x="0" y="0"/>
            <wp:positionH relativeFrom="margin">
              <wp:align>center</wp:align>
            </wp:positionH>
            <wp:positionV relativeFrom="paragraph">
              <wp:posOffset>-279451</wp:posOffset>
            </wp:positionV>
            <wp:extent cx="975360" cy="975360"/>
            <wp:effectExtent l="0" t="0" r="0" b="0"/>
            <wp:wrapNone/>
            <wp:docPr id="1" name="Picture 1" descr="\\portals\DavWWWRoot\sites\boi\about\Mitug\DocList\Logo Bank of Israel 2 color\Logo Bank of Israel 2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portals\DavWWWRoot\sites\boi\about\Mitug\DocList\Logo Bank of Israel 2 color\Logo Bank of Israel 2 colo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97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64C6A93" w14:textId="77777777" w:rsidR="00691DBA" w:rsidRDefault="00691DBA" w:rsidP="00691DBA">
      <w:pPr>
        <w:pStyle w:val="regpar"/>
        <w:spacing w:line="300" w:lineRule="atLeast"/>
        <w:ind w:firstLine="0"/>
        <w:jc w:val="center"/>
        <w:rPr>
          <w:rFonts w:asciiTheme="majorBidi" w:hAnsiTheme="majorBidi" w:cstheme="majorBidi"/>
          <w:b/>
          <w:bCs/>
        </w:rPr>
      </w:pPr>
    </w:p>
    <w:p w14:paraId="73AA1379" w14:textId="77777777" w:rsidR="00691DBA" w:rsidRDefault="00691DBA" w:rsidP="00691DBA">
      <w:pPr>
        <w:pStyle w:val="regpar"/>
        <w:spacing w:line="300" w:lineRule="atLeast"/>
        <w:ind w:firstLine="0"/>
        <w:jc w:val="center"/>
        <w:rPr>
          <w:rFonts w:asciiTheme="majorBidi" w:hAnsiTheme="majorBidi" w:cstheme="majorBidi"/>
          <w:b/>
          <w:bCs/>
        </w:rPr>
      </w:pPr>
    </w:p>
    <w:p w14:paraId="237767BF" w14:textId="77777777" w:rsidR="00691DBA" w:rsidRDefault="00691DBA" w:rsidP="00691DBA">
      <w:pPr>
        <w:pStyle w:val="regpar"/>
        <w:spacing w:line="300" w:lineRule="atLeast"/>
        <w:ind w:firstLine="0"/>
        <w:jc w:val="center"/>
        <w:rPr>
          <w:rFonts w:asciiTheme="majorBidi" w:hAnsiTheme="majorBidi" w:cstheme="majorBidi"/>
          <w:b/>
          <w:bCs/>
        </w:rPr>
      </w:pPr>
    </w:p>
    <w:p w14:paraId="39318D40" w14:textId="6F016472" w:rsidR="00892A46" w:rsidRPr="003B4DD7" w:rsidRDefault="00892A46" w:rsidP="00691DBA">
      <w:pPr>
        <w:pStyle w:val="regpar"/>
        <w:spacing w:line="300" w:lineRule="atLeast"/>
        <w:ind w:firstLine="0"/>
        <w:jc w:val="center"/>
        <w:rPr>
          <w:rFonts w:asciiTheme="majorBidi" w:hAnsiTheme="majorBidi" w:cstheme="majorBidi"/>
          <w:b/>
          <w:bCs/>
        </w:rPr>
      </w:pPr>
      <w:r w:rsidRPr="003B4DD7">
        <w:rPr>
          <w:rFonts w:asciiTheme="majorBidi" w:hAnsiTheme="majorBidi" w:cstheme="majorBidi"/>
          <w:b/>
          <w:bCs/>
        </w:rPr>
        <w:t>BANK OF ISRAEL</w:t>
      </w:r>
    </w:p>
    <w:p w14:paraId="3D04B5A1" w14:textId="77777777" w:rsidR="00892A46" w:rsidRPr="003B4DD7" w:rsidRDefault="00892A46" w:rsidP="00691DBA">
      <w:pPr>
        <w:pStyle w:val="regpar"/>
        <w:spacing w:line="300" w:lineRule="atLeast"/>
        <w:ind w:firstLine="0"/>
        <w:jc w:val="center"/>
        <w:rPr>
          <w:rFonts w:asciiTheme="majorBidi" w:hAnsiTheme="majorBidi" w:cstheme="majorBidi"/>
        </w:rPr>
      </w:pPr>
      <w:r w:rsidRPr="003B4DD7">
        <w:rPr>
          <w:rFonts w:asciiTheme="majorBidi" w:hAnsiTheme="majorBidi" w:cstheme="majorBidi"/>
        </w:rPr>
        <w:t>Office of the Spokesperson and Economic Information</w:t>
      </w:r>
    </w:p>
    <w:p w14:paraId="78B8B21C" w14:textId="77777777" w:rsidR="005C60A7" w:rsidRDefault="005C60A7" w:rsidP="00691DBA">
      <w:pPr>
        <w:bidi w:val="0"/>
        <w:jc w:val="center"/>
        <w:rPr>
          <w:rFonts w:asciiTheme="majorBidi" w:hAnsiTheme="majorBidi" w:cstheme="majorBidi"/>
        </w:rPr>
      </w:pPr>
    </w:p>
    <w:p w14:paraId="6095C718" w14:textId="58AF157C" w:rsidR="007926C7" w:rsidRPr="003B4DD7" w:rsidRDefault="002F3F1D" w:rsidP="002F3F1D">
      <w:pPr>
        <w:bidi w:val="0"/>
        <w:jc w:val="right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</w:rPr>
        <w:t>A</w:t>
      </w:r>
      <w:r>
        <w:rPr>
          <w:rFonts w:asciiTheme="majorBidi" w:hAnsiTheme="majorBidi" w:cstheme="majorBidi"/>
        </w:rPr>
        <w:t>pril 16</w:t>
      </w:r>
      <w:r w:rsidR="000B2231">
        <w:rPr>
          <w:rFonts w:asciiTheme="majorBidi" w:hAnsiTheme="majorBidi" w:cstheme="majorBidi"/>
        </w:rPr>
        <w:t>, 202</w:t>
      </w:r>
      <w:r>
        <w:rPr>
          <w:rFonts w:asciiTheme="majorBidi" w:hAnsiTheme="majorBidi" w:cstheme="majorBidi"/>
        </w:rPr>
        <w:t>4</w:t>
      </w:r>
    </w:p>
    <w:p w14:paraId="6D03C559" w14:textId="77777777" w:rsidR="007926C7" w:rsidRPr="003B4DD7" w:rsidRDefault="007926C7" w:rsidP="00691DBA">
      <w:pPr>
        <w:bidi w:val="0"/>
        <w:jc w:val="right"/>
        <w:rPr>
          <w:rFonts w:asciiTheme="majorBidi" w:hAnsiTheme="majorBidi" w:cstheme="majorBidi"/>
        </w:rPr>
      </w:pPr>
    </w:p>
    <w:p w14:paraId="44B6DB2C" w14:textId="77777777" w:rsidR="00892A46" w:rsidRPr="003B4DD7" w:rsidRDefault="00892A46" w:rsidP="00691DBA">
      <w:pPr>
        <w:bidi w:val="0"/>
        <w:rPr>
          <w:rFonts w:asciiTheme="majorBidi" w:hAnsiTheme="majorBidi" w:cstheme="majorBidi"/>
        </w:rPr>
      </w:pPr>
      <w:r w:rsidRPr="003B4DD7">
        <w:rPr>
          <w:rFonts w:asciiTheme="majorBidi" w:hAnsiTheme="majorBidi" w:cstheme="majorBidi"/>
        </w:rPr>
        <w:t>Press Release:</w:t>
      </w:r>
    </w:p>
    <w:p w14:paraId="3602F9EE" w14:textId="77777777" w:rsidR="00892A46" w:rsidRPr="003B4DD7" w:rsidRDefault="00892A46" w:rsidP="00E73FB2">
      <w:pPr>
        <w:tabs>
          <w:tab w:val="center" w:pos="4156"/>
          <w:tab w:val="right" w:pos="8312"/>
        </w:tabs>
        <w:bidi w:val="0"/>
        <w:jc w:val="both"/>
        <w:rPr>
          <w:rFonts w:asciiTheme="majorBidi" w:hAnsiTheme="majorBidi" w:cstheme="majorBidi"/>
        </w:rPr>
      </w:pPr>
    </w:p>
    <w:p w14:paraId="2B3AFC39" w14:textId="76A33F95" w:rsidR="000D4E65" w:rsidRPr="00691DBA" w:rsidRDefault="00D77BDD" w:rsidP="00D77BDD">
      <w:pPr>
        <w:bidi w:val="0"/>
        <w:jc w:val="center"/>
        <w:rPr>
          <w:b/>
          <w:bCs/>
          <w:sz w:val="28"/>
          <w:szCs w:val="28"/>
        </w:rPr>
      </w:pPr>
      <w:bookmarkStart w:id="0" w:name="_GoBack"/>
      <w:r>
        <w:rPr>
          <w:b/>
          <w:bCs/>
          <w:sz w:val="28"/>
          <w:szCs w:val="28"/>
        </w:rPr>
        <w:t xml:space="preserve">Decision to cease the publication of </w:t>
      </w:r>
      <w:proofErr w:type="spellStart"/>
      <w:r>
        <w:rPr>
          <w:b/>
          <w:bCs/>
          <w:sz w:val="28"/>
          <w:szCs w:val="28"/>
        </w:rPr>
        <w:t>Telbor</w:t>
      </w:r>
      <w:proofErr w:type="spellEnd"/>
      <w:r>
        <w:rPr>
          <w:b/>
          <w:bCs/>
          <w:sz w:val="28"/>
          <w:szCs w:val="28"/>
        </w:rPr>
        <w:t xml:space="preserve"> after June 30, 2025</w:t>
      </w:r>
    </w:p>
    <w:p w14:paraId="10EAEB9B" w14:textId="77777777" w:rsidR="005B789C" w:rsidRPr="00691DBA" w:rsidRDefault="005B789C" w:rsidP="00E73FB2">
      <w:pPr>
        <w:bidi w:val="0"/>
        <w:jc w:val="center"/>
        <w:rPr>
          <w:sz w:val="22"/>
          <w:szCs w:val="22"/>
        </w:rPr>
      </w:pPr>
    </w:p>
    <w:p w14:paraId="0917E8B9" w14:textId="77777777" w:rsidR="00D77BDD" w:rsidRDefault="00D77BDD" w:rsidP="00D77BDD">
      <w:pPr>
        <w:bidi w:val="0"/>
        <w:spacing w:line="360" w:lineRule="auto"/>
        <w:jc w:val="both"/>
        <w:rPr>
          <w:rFonts w:ascii="David" w:hAnsi="David" w:cs="David"/>
          <w:b/>
          <w:bCs/>
        </w:rPr>
      </w:pPr>
    </w:p>
    <w:p w14:paraId="782EAADF" w14:textId="19DE8819" w:rsidR="002F3F1D" w:rsidRPr="00691DBA" w:rsidRDefault="005B789C" w:rsidP="00D77BDD">
      <w:pPr>
        <w:bidi w:val="0"/>
        <w:spacing w:line="360" w:lineRule="auto"/>
        <w:jc w:val="both"/>
        <w:rPr>
          <w:rFonts w:ascii="David" w:hAnsi="David" w:cs="David"/>
        </w:rPr>
      </w:pPr>
      <w:r w:rsidRPr="00691DBA">
        <w:rPr>
          <w:rFonts w:ascii="David" w:hAnsi="David" w:cs="David"/>
          <w:b/>
          <w:bCs/>
        </w:rPr>
        <w:t>Bank of Israel Markets Department Director Dr. Golan Benita said</w:t>
      </w:r>
      <w:r w:rsidRPr="00691DBA">
        <w:rPr>
          <w:rFonts w:ascii="David" w:hAnsi="David" w:cs="David"/>
        </w:rPr>
        <w:t>, “</w:t>
      </w:r>
      <w:r w:rsidR="002F3F1D">
        <w:rPr>
          <w:rFonts w:ascii="David" w:hAnsi="David" w:cs="David"/>
        </w:rPr>
        <w:t>The cessation</w:t>
      </w:r>
      <w:r w:rsidR="00D77BDD">
        <w:rPr>
          <w:rFonts w:ascii="David" w:hAnsi="David" w:cs="David"/>
        </w:rPr>
        <w:t xml:space="preserve"> date </w:t>
      </w:r>
      <w:r w:rsidR="002F3F1D">
        <w:rPr>
          <w:rFonts w:ascii="David" w:hAnsi="David" w:cs="David"/>
        </w:rPr>
        <w:t xml:space="preserve">decision for </w:t>
      </w:r>
      <w:proofErr w:type="spellStart"/>
      <w:r w:rsidR="002F3F1D">
        <w:rPr>
          <w:rFonts w:ascii="David" w:hAnsi="David" w:cs="David"/>
        </w:rPr>
        <w:t>Telbor</w:t>
      </w:r>
      <w:proofErr w:type="spellEnd"/>
      <w:r w:rsidR="002F3F1D">
        <w:rPr>
          <w:rFonts w:ascii="David" w:hAnsi="David" w:cs="David"/>
        </w:rPr>
        <w:t xml:space="preserve"> interest </w:t>
      </w:r>
      <w:proofErr w:type="gramStart"/>
      <w:r w:rsidR="002F3F1D">
        <w:rPr>
          <w:rFonts w:ascii="David" w:hAnsi="David" w:cs="David"/>
        </w:rPr>
        <w:t>rate,</w:t>
      </w:r>
      <w:proofErr w:type="gramEnd"/>
      <w:r w:rsidR="002F3F1D">
        <w:rPr>
          <w:rFonts w:ascii="David" w:hAnsi="David" w:cs="David"/>
        </w:rPr>
        <w:t xml:space="preserve"> is an important milestone in the transition process from </w:t>
      </w:r>
      <w:proofErr w:type="spellStart"/>
      <w:r w:rsidR="002F3F1D">
        <w:rPr>
          <w:rFonts w:ascii="David" w:hAnsi="David" w:cs="David"/>
        </w:rPr>
        <w:t>Telbor</w:t>
      </w:r>
      <w:proofErr w:type="spellEnd"/>
      <w:r w:rsidR="002F3F1D">
        <w:rPr>
          <w:rFonts w:ascii="David" w:hAnsi="David" w:cs="David"/>
        </w:rPr>
        <w:t xml:space="preserve"> to SHIR. </w:t>
      </w:r>
      <w:r w:rsidR="002F3F1D" w:rsidRPr="00691DBA">
        <w:rPr>
          <w:rFonts w:ascii="David" w:hAnsi="David" w:cs="David"/>
        </w:rPr>
        <w:t>The shift to the SHIR interest rate is expected to contribute to the advancement and development of the shekel interest rate derivative market.</w:t>
      </w:r>
      <w:r w:rsidR="002F3F1D">
        <w:rPr>
          <w:rFonts w:ascii="David" w:hAnsi="David" w:cs="David"/>
        </w:rPr>
        <w:t>"</w:t>
      </w:r>
    </w:p>
    <w:p w14:paraId="095A92FE" w14:textId="77777777" w:rsidR="002F3F1D" w:rsidRDefault="002F3F1D" w:rsidP="00D77BDD">
      <w:pPr>
        <w:bidi w:val="0"/>
        <w:spacing w:line="360" w:lineRule="auto"/>
        <w:jc w:val="both"/>
        <w:rPr>
          <w:rFonts w:ascii="David" w:hAnsi="David" w:cs="David"/>
        </w:rPr>
      </w:pPr>
    </w:p>
    <w:p w14:paraId="09803AE4" w14:textId="7FEA3FFF" w:rsidR="002F3F1D" w:rsidRDefault="002F3F1D" w:rsidP="002F3F1D">
      <w:pPr>
        <w:pStyle w:val="NormalWeb"/>
        <w:shd w:val="clear" w:color="auto" w:fill="FFFFFF"/>
        <w:spacing w:before="0" w:beforeAutospacing="0" w:line="360" w:lineRule="auto"/>
        <w:jc w:val="both"/>
        <w:rPr>
          <w:rFonts w:ascii="David" w:hAnsi="David" w:cs="David"/>
          <w:b/>
          <w:bCs/>
          <w:color w:val="2E3D50"/>
        </w:rPr>
      </w:pPr>
      <w:r>
        <w:rPr>
          <w:rFonts w:ascii="David" w:hAnsi="David" w:cs="David"/>
          <w:b/>
          <w:bCs/>
          <w:color w:val="2E3D50"/>
        </w:rPr>
        <w:t xml:space="preserve">The </w:t>
      </w:r>
      <w:proofErr w:type="spellStart"/>
      <w:r>
        <w:rPr>
          <w:rFonts w:ascii="David" w:hAnsi="David" w:cs="David"/>
          <w:b/>
          <w:bCs/>
          <w:color w:val="2E3D50"/>
        </w:rPr>
        <w:t>Telbor</w:t>
      </w:r>
      <w:proofErr w:type="spellEnd"/>
      <w:r>
        <w:rPr>
          <w:rFonts w:ascii="David" w:hAnsi="David" w:cs="David"/>
          <w:b/>
          <w:bCs/>
          <w:color w:val="2E3D50"/>
        </w:rPr>
        <w:t xml:space="preserve"> Committee has decided today that the publication of all tenors of TELBOR will permanently cease immediately following a final publication on </w:t>
      </w:r>
      <w:r>
        <w:rPr>
          <w:rFonts w:ascii="David" w:hAnsi="David" w:cs="David" w:hint="cs"/>
          <w:b/>
          <w:bCs/>
          <w:color w:val="2E3D50"/>
        </w:rPr>
        <w:t>J</w:t>
      </w:r>
      <w:r>
        <w:rPr>
          <w:rFonts w:ascii="David" w:hAnsi="David" w:cs="David"/>
          <w:b/>
          <w:bCs/>
          <w:color w:val="2E3D50"/>
        </w:rPr>
        <w:t>une 30, 2025.</w:t>
      </w:r>
    </w:p>
    <w:p w14:paraId="63B4A22F" w14:textId="6B0B1E55" w:rsidR="002F3F1D" w:rsidRDefault="002F3F1D" w:rsidP="002F3F1D">
      <w:pPr>
        <w:bidi w:val="0"/>
        <w:spacing w:line="360" w:lineRule="auto"/>
        <w:jc w:val="both"/>
        <w:rPr>
          <w:rStyle w:val="Hyperlink"/>
          <w:color w:val="2E3D50"/>
          <w:u w:val="none"/>
        </w:rPr>
      </w:pPr>
      <w:r>
        <w:rPr>
          <w:rFonts w:ascii="David" w:hAnsi="David" w:cs="David"/>
          <w:color w:val="2E3D50"/>
        </w:rPr>
        <w:t xml:space="preserve">This </w:t>
      </w:r>
      <w:r w:rsidRPr="002F3F1D">
        <w:rPr>
          <w:rFonts w:ascii="David" w:hAnsi="David" w:cs="David"/>
          <w:color w:val="2E3D50"/>
        </w:rPr>
        <w:t xml:space="preserve">announcement constitutes an "Index Cessation Event" under the 2021 ISDA Interest Rate Derivatives Definitions and the </w:t>
      </w:r>
      <w:hyperlink r:id="rId9" w:history="1">
        <w:r w:rsidRPr="002F3F1D">
          <w:rPr>
            <w:rStyle w:val="Hyperlink"/>
            <w:rFonts w:ascii="David" w:hAnsi="David" w:cs="David"/>
            <w:color w:val="2E3D50"/>
            <w:u w:val="none"/>
          </w:rPr>
          <w:t>November 2022 Benchmark Module of the ISDA 2021 Fallbacks Protocol.</w:t>
        </w:r>
      </w:hyperlink>
    </w:p>
    <w:p w14:paraId="2497869C" w14:textId="77777777" w:rsidR="002F3F1D" w:rsidRPr="002F3F1D" w:rsidRDefault="002F3F1D" w:rsidP="002F3F1D">
      <w:pPr>
        <w:bidi w:val="0"/>
        <w:spacing w:line="360" w:lineRule="auto"/>
        <w:jc w:val="both"/>
        <w:rPr>
          <w:rStyle w:val="Hyperlink"/>
          <w:color w:val="2E3D50"/>
          <w:u w:val="none"/>
        </w:rPr>
      </w:pPr>
    </w:p>
    <w:p w14:paraId="0ACF1AE6" w14:textId="77777777" w:rsidR="002F3F1D" w:rsidRDefault="002F3F1D" w:rsidP="002F3F1D">
      <w:pPr>
        <w:pStyle w:val="NormalWeb"/>
        <w:shd w:val="clear" w:color="auto" w:fill="FFFFFF"/>
        <w:spacing w:before="0" w:beforeAutospacing="0" w:line="360" w:lineRule="auto"/>
        <w:jc w:val="both"/>
        <w:rPr>
          <w:rFonts w:ascii="David" w:hAnsi="David" w:cs="David"/>
          <w:color w:val="2E3D50"/>
        </w:rPr>
      </w:pPr>
      <w:r>
        <w:rPr>
          <w:rFonts w:ascii="David" w:hAnsi="David" w:cs="David"/>
          <w:color w:val="2E3D50"/>
        </w:rPr>
        <w:t xml:space="preserve">In February 2022, the </w:t>
      </w:r>
      <w:proofErr w:type="spellStart"/>
      <w:r>
        <w:rPr>
          <w:rFonts w:ascii="David" w:hAnsi="David" w:cs="David"/>
          <w:color w:val="2E3D50"/>
        </w:rPr>
        <w:t>Telbor</w:t>
      </w:r>
      <w:proofErr w:type="spellEnd"/>
      <w:r>
        <w:rPr>
          <w:rFonts w:ascii="David" w:hAnsi="David" w:cs="David"/>
          <w:color w:val="2E3D50"/>
        </w:rPr>
        <w:t xml:space="preserve"> committee decided that the SHIR (Shekel overnight Interest Rate) rate will eventually be the replacement for the </w:t>
      </w:r>
      <w:proofErr w:type="spellStart"/>
      <w:r>
        <w:rPr>
          <w:rFonts w:ascii="David" w:hAnsi="David" w:cs="David"/>
          <w:color w:val="2E3D50"/>
        </w:rPr>
        <w:t>Telbor</w:t>
      </w:r>
      <w:proofErr w:type="spellEnd"/>
      <w:r>
        <w:rPr>
          <w:rFonts w:ascii="David" w:hAnsi="David" w:cs="David"/>
          <w:color w:val="2E3D50"/>
        </w:rPr>
        <w:t xml:space="preserve"> interest rate, in shekel interest rate derivative transactions, at a time in the future when </w:t>
      </w:r>
      <w:proofErr w:type="spellStart"/>
      <w:r>
        <w:rPr>
          <w:rFonts w:ascii="David" w:hAnsi="David" w:cs="David"/>
          <w:color w:val="2E3D50"/>
        </w:rPr>
        <w:t>Telbor</w:t>
      </w:r>
      <w:proofErr w:type="spellEnd"/>
      <w:r>
        <w:rPr>
          <w:rFonts w:ascii="David" w:hAnsi="David" w:cs="David"/>
          <w:color w:val="2E3D50"/>
        </w:rPr>
        <w:t xml:space="preserve"> ceases and will serve as the overnight interest rate for the same day.  At that time, the future cessation of </w:t>
      </w:r>
      <w:proofErr w:type="spellStart"/>
      <w:r>
        <w:rPr>
          <w:rFonts w:ascii="David" w:hAnsi="David" w:cs="David"/>
          <w:color w:val="2E3D50"/>
        </w:rPr>
        <w:t>Telbor</w:t>
      </w:r>
      <w:proofErr w:type="spellEnd"/>
      <w:r>
        <w:rPr>
          <w:rFonts w:ascii="David" w:hAnsi="David" w:cs="David"/>
          <w:color w:val="2E3D50"/>
        </w:rPr>
        <w:t xml:space="preserve"> </w:t>
      </w:r>
      <w:proofErr w:type="gramStart"/>
      <w:r>
        <w:rPr>
          <w:rFonts w:ascii="David" w:hAnsi="David" w:cs="David"/>
          <w:color w:val="2E3D50"/>
        </w:rPr>
        <w:t>was not decided</w:t>
      </w:r>
      <w:proofErr w:type="gramEnd"/>
      <w:r>
        <w:rPr>
          <w:rFonts w:ascii="David" w:hAnsi="David" w:cs="David"/>
          <w:color w:val="2E3D50"/>
        </w:rPr>
        <w:t xml:space="preserve">. The decision to switch the </w:t>
      </w:r>
      <w:proofErr w:type="spellStart"/>
      <w:r>
        <w:rPr>
          <w:rFonts w:ascii="David" w:hAnsi="David" w:cs="David"/>
          <w:color w:val="2E3D50"/>
        </w:rPr>
        <w:t>Telbor</w:t>
      </w:r>
      <w:proofErr w:type="spellEnd"/>
      <w:r>
        <w:rPr>
          <w:rFonts w:ascii="David" w:hAnsi="David" w:cs="David"/>
          <w:color w:val="2E3D50"/>
        </w:rPr>
        <w:t xml:space="preserve"> interest rate is in accordance with the decisions reached in major economies worldwide, according to which IBOR type interest rates will be replaced by risk-free overnight interest rates.</w:t>
      </w:r>
    </w:p>
    <w:p w14:paraId="4DA83DD7" w14:textId="77777777" w:rsidR="002F3F1D" w:rsidRDefault="002F3F1D" w:rsidP="002F3F1D">
      <w:pPr>
        <w:pStyle w:val="NormalWeb"/>
        <w:shd w:val="clear" w:color="auto" w:fill="FFFFFF"/>
        <w:spacing w:before="0" w:beforeAutospacing="0" w:line="360" w:lineRule="auto"/>
        <w:jc w:val="both"/>
      </w:pPr>
      <w:r>
        <w:rPr>
          <w:rFonts w:ascii="David" w:hAnsi="David" w:cs="David"/>
          <w:color w:val="2E3D50"/>
        </w:rPr>
        <w:t xml:space="preserve">For further information, please refer to the ISDA Statement relating to the TELBOR cessation announcement. </w:t>
      </w:r>
    </w:p>
    <w:p w14:paraId="4A594236" w14:textId="77777777" w:rsidR="002F3F1D" w:rsidRDefault="002F3F1D" w:rsidP="002F3F1D">
      <w:pPr>
        <w:pStyle w:val="NormalWeb"/>
        <w:shd w:val="clear" w:color="auto" w:fill="FFFFFF"/>
        <w:spacing w:before="0" w:beforeAutospacing="0" w:line="360" w:lineRule="auto"/>
        <w:jc w:val="both"/>
        <w:rPr>
          <w:rFonts w:ascii="David" w:hAnsi="David" w:cs="David"/>
          <w:color w:val="2E3D50"/>
        </w:rPr>
      </w:pPr>
      <w:r>
        <w:rPr>
          <w:rFonts w:ascii="David" w:hAnsi="David" w:cs="David"/>
          <w:color w:val="2E3D50"/>
        </w:rPr>
        <w:t xml:space="preserve">Further information regarding the </w:t>
      </w:r>
      <w:hyperlink r:id="rId10" w:history="1">
        <w:r>
          <w:rPr>
            <w:rStyle w:val="Hyperlink"/>
            <w:rFonts w:ascii="David" w:hAnsi="David" w:cs="David"/>
          </w:rPr>
          <w:t>TELBOR</w:t>
        </w:r>
      </w:hyperlink>
      <w:r>
        <w:rPr>
          <w:rFonts w:ascii="David" w:hAnsi="David" w:cs="David"/>
          <w:color w:val="2E3D50"/>
        </w:rPr>
        <w:t xml:space="preserve"> and </w:t>
      </w:r>
      <w:hyperlink r:id="rId11" w:history="1">
        <w:r>
          <w:rPr>
            <w:rStyle w:val="Hyperlink"/>
            <w:rFonts w:ascii="David" w:hAnsi="David" w:cs="David"/>
          </w:rPr>
          <w:t>SHIR</w:t>
        </w:r>
      </w:hyperlink>
      <w:r>
        <w:rPr>
          <w:rFonts w:ascii="David" w:hAnsi="David" w:cs="David"/>
          <w:color w:val="2E3D50"/>
        </w:rPr>
        <w:t xml:space="preserve"> is available on the BOI website.</w:t>
      </w:r>
    </w:p>
    <w:p w14:paraId="5D4DFB0A" w14:textId="77777777" w:rsidR="002F3F1D" w:rsidRDefault="002F3F1D" w:rsidP="002F3F1D">
      <w:pPr>
        <w:pStyle w:val="NormalWeb"/>
        <w:shd w:val="clear" w:color="auto" w:fill="FFFFFF"/>
        <w:spacing w:before="0" w:beforeAutospacing="0" w:line="360" w:lineRule="auto"/>
        <w:jc w:val="both"/>
        <w:rPr>
          <w:rFonts w:ascii="David" w:hAnsi="David" w:cs="David"/>
          <w:color w:val="2E3D50"/>
        </w:rPr>
      </w:pPr>
      <w:r>
        <w:rPr>
          <w:rFonts w:ascii="David" w:hAnsi="David" w:cs="David"/>
          <w:color w:val="2E3D50"/>
        </w:rPr>
        <w:t xml:space="preserve">Any comments or queries regarding this SHIR cessation announcement </w:t>
      </w:r>
      <w:proofErr w:type="gramStart"/>
      <w:r>
        <w:rPr>
          <w:rFonts w:ascii="David" w:hAnsi="David" w:cs="David"/>
          <w:color w:val="2E3D50"/>
        </w:rPr>
        <w:t>should be sent</w:t>
      </w:r>
      <w:proofErr w:type="gramEnd"/>
      <w:r>
        <w:rPr>
          <w:rFonts w:ascii="David" w:hAnsi="David" w:cs="David"/>
          <w:color w:val="2E3D50"/>
        </w:rPr>
        <w:t xml:space="preserve"> to </w:t>
      </w:r>
      <w:hyperlink r:id="rId12" w:history="1">
        <w:r>
          <w:rPr>
            <w:rStyle w:val="Hyperlink"/>
            <w:rFonts w:ascii="David" w:hAnsi="David" w:cs="David"/>
          </w:rPr>
          <w:t>shir@boi.org.il</w:t>
        </w:r>
      </w:hyperlink>
      <w:r>
        <w:rPr>
          <w:rFonts w:ascii="David" w:hAnsi="David" w:cs="David"/>
          <w:color w:val="2E3D50"/>
        </w:rPr>
        <w:t xml:space="preserve">. </w:t>
      </w:r>
    </w:p>
    <w:p w14:paraId="09BE6C83" w14:textId="77777777" w:rsidR="002F3F1D" w:rsidRDefault="002F3F1D" w:rsidP="002F3F1D">
      <w:pPr>
        <w:bidi w:val="0"/>
        <w:jc w:val="both"/>
        <w:rPr>
          <w:rFonts w:ascii="David" w:hAnsi="David" w:cs="David"/>
        </w:rPr>
      </w:pPr>
    </w:p>
    <w:p w14:paraId="527A8868" w14:textId="77777777" w:rsidR="002F3F1D" w:rsidRDefault="002F3F1D" w:rsidP="002F3F1D">
      <w:pPr>
        <w:bidi w:val="0"/>
        <w:jc w:val="both"/>
        <w:rPr>
          <w:rFonts w:ascii="David" w:hAnsi="David" w:cs="David"/>
        </w:rPr>
      </w:pPr>
    </w:p>
    <w:p w14:paraId="5E3FB576" w14:textId="77777777" w:rsidR="002F3F1D" w:rsidRDefault="002F3F1D" w:rsidP="002F3F1D">
      <w:pPr>
        <w:bidi w:val="0"/>
        <w:jc w:val="both"/>
        <w:rPr>
          <w:rFonts w:ascii="David" w:hAnsi="David" w:cs="David"/>
        </w:rPr>
      </w:pPr>
    </w:p>
    <w:p w14:paraId="0233393A" w14:textId="77777777" w:rsidR="002F3F1D" w:rsidRDefault="002F3F1D" w:rsidP="002F3F1D">
      <w:pPr>
        <w:bidi w:val="0"/>
        <w:jc w:val="both"/>
        <w:rPr>
          <w:rFonts w:ascii="David" w:hAnsi="David" w:cs="David"/>
        </w:rPr>
      </w:pPr>
    </w:p>
    <w:p w14:paraId="10A8603B" w14:textId="77777777" w:rsidR="002F3F1D" w:rsidRDefault="002F3F1D" w:rsidP="002F3F1D">
      <w:pPr>
        <w:bidi w:val="0"/>
        <w:jc w:val="both"/>
        <w:rPr>
          <w:rFonts w:ascii="David" w:hAnsi="David" w:cs="David"/>
        </w:rPr>
      </w:pPr>
    </w:p>
    <w:bookmarkEnd w:id="0"/>
    <w:p w14:paraId="1E84360F" w14:textId="07A738FC" w:rsidR="008F1718" w:rsidRPr="00416FD3" w:rsidRDefault="008F1718" w:rsidP="004E273E">
      <w:pPr>
        <w:bidi w:val="0"/>
        <w:jc w:val="both"/>
        <w:rPr>
          <w:rtl/>
        </w:rPr>
      </w:pPr>
    </w:p>
    <w:sectPr w:rsidR="008F1718" w:rsidRPr="00416FD3" w:rsidSect="00D114C9">
      <w:headerReference w:type="default" r:id="rId13"/>
      <w:footerReference w:type="default" r:id="rId14"/>
      <w:pgSz w:w="11906" w:h="16838"/>
      <w:pgMar w:top="510" w:right="1797" w:bottom="624" w:left="1797" w:header="397" w:footer="283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3CAF00" w14:textId="77777777" w:rsidR="00646E46" w:rsidRDefault="00646E46" w:rsidP="00E64B36">
      <w:r>
        <w:separator/>
      </w:r>
    </w:p>
  </w:endnote>
  <w:endnote w:type="continuationSeparator" w:id="0">
    <w:p w14:paraId="141A65F9" w14:textId="77777777" w:rsidR="00646E46" w:rsidRDefault="00646E46" w:rsidP="00E64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B3215F" w14:textId="37779602" w:rsidR="00B96022" w:rsidRPr="00986270" w:rsidRDefault="00986270" w:rsidP="00EB0782">
    <w:pPr>
      <w:bidi w:val="0"/>
      <w:ind w:right="-52"/>
      <w:rPr>
        <w:b/>
        <w:bCs/>
        <w:sz w:val="26"/>
        <w:szCs w:val="26"/>
        <w:u w:val="single"/>
        <w:rtl/>
        <w:cs/>
      </w:rPr>
    </w:pPr>
    <w:r w:rsidRPr="00986270">
      <w:rPr>
        <w:sz w:val="18"/>
        <w:szCs w:val="18"/>
      </w:rPr>
      <w:t>Bank of Israel</w:t>
    </w:r>
    <w:r>
      <w:rPr>
        <w:sz w:val="18"/>
        <w:szCs w:val="18"/>
      </w:rPr>
      <w:tab/>
    </w:r>
    <w:r w:rsidR="00596FB4" w:rsidRPr="00CD0A35">
      <w:rPr>
        <w:sz w:val="18"/>
        <w:szCs w:val="18"/>
      </w:rPr>
      <w:tab/>
    </w:r>
    <w:r w:rsidR="00B96022" w:rsidRPr="00CD0A35">
      <w:rPr>
        <w:sz w:val="18"/>
        <w:szCs w:val="18"/>
      </w:rPr>
      <w:t>Page</w:t>
    </w:r>
    <w:r w:rsidR="00B96022" w:rsidRPr="00CD0A35">
      <w:rPr>
        <w:sz w:val="18"/>
        <w:szCs w:val="18"/>
        <w:rtl/>
        <w:cs/>
        <w:lang w:val="he-IL"/>
      </w:rPr>
      <w:t xml:space="preserve"> </w:t>
    </w:r>
    <w:r w:rsidR="00B96022" w:rsidRPr="00CD0A35">
      <w:rPr>
        <w:b/>
        <w:bCs/>
        <w:sz w:val="18"/>
        <w:szCs w:val="18"/>
      </w:rPr>
      <w:fldChar w:fldCharType="begin"/>
    </w:r>
    <w:r w:rsidR="00B96022" w:rsidRPr="00CD0A35">
      <w:rPr>
        <w:b/>
        <w:bCs/>
        <w:sz w:val="18"/>
        <w:szCs w:val="18"/>
        <w:rtl/>
        <w:cs/>
      </w:rPr>
      <w:instrText>PAGE</w:instrText>
    </w:r>
    <w:r w:rsidR="00B96022" w:rsidRPr="00CD0A35">
      <w:rPr>
        <w:b/>
        <w:bCs/>
        <w:sz w:val="18"/>
        <w:szCs w:val="18"/>
      </w:rPr>
      <w:fldChar w:fldCharType="separate"/>
    </w:r>
    <w:r w:rsidR="00D62D47">
      <w:rPr>
        <w:b/>
        <w:bCs/>
        <w:noProof/>
        <w:sz w:val="18"/>
        <w:szCs w:val="18"/>
      </w:rPr>
      <w:t>1</w:t>
    </w:r>
    <w:r w:rsidR="00B96022" w:rsidRPr="00CD0A35">
      <w:rPr>
        <w:b/>
        <w:bCs/>
        <w:sz w:val="18"/>
        <w:szCs w:val="18"/>
      </w:rPr>
      <w:fldChar w:fldCharType="end"/>
    </w:r>
    <w:r w:rsidR="00B96022" w:rsidRPr="00CD0A35">
      <w:rPr>
        <w:sz w:val="18"/>
        <w:szCs w:val="18"/>
      </w:rPr>
      <w:t xml:space="preserve"> Of</w:t>
    </w:r>
    <w:r w:rsidR="00B96022" w:rsidRPr="00CD0A35">
      <w:rPr>
        <w:sz w:val="18"/>
        <w:szCs w:val="18"/>
        <w:rtl/>
        <w:cs/>
        <w:lang w:val="he-IL"/>
      </w:rPr>
      <w:t xml:space="preserve"> </w:t>
    </w:r>
    <w:r w:rsidR="00B96022" w:rsidRPr="00CD0A35">
      <w:rPr>
        <w:b/>
        <w:bCs/>
        <w:sz w:val="18"/>
        <w:szCs w:val="18"/>
      </w:rPr>
      <w:fldChar w:fldCharType="begin"/>
    </w:r>
    <w:r w:rsidR="00B96022" w:rsidRPr="00CD0A35">
      <w:rPr>
        <w:b/>
        <w:bCs/>
        <w:sz w:val="18"/>
        <w:szCs w:val="18"/>
        <w:rtl/>
        <w:cs/>
      </w:rPr>
      <w:instrText>NUMPAGES</w:instrText>
    </w:r>
    <w:r w:rsidR="00B96022" w:rsidRPr="00CD0A35">
      <w:rPr>
        <w:b/>
        <w:bCs/>
        <w:sz w:val="18"/>
        <w:szCs w:val="18"/>
      </w:rPr>
      <w:fldChar w:fldCharType="separate"/>
    </w:r>
    <w:r w:rsidR="00D62D47">
      <w:rPr>
        <w:b/>
        <w:bCs/>
        <w:noProof/>
        <w:sz w:val="18"/>
        <w:szCs w:val="18"/>
      </w:rPr>
      <w:t>1</w:t>
    </w:r>
    <w:r w:rsidR="00B96022" w:rsidRPr="00CD0A35">
      <w:rPr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667534" w14:textId="77777777" w:rsidR="00646E46" w:rsidRDefault="00646E46" w:rsidP="00E64B36">
      <w:r>
        <w:separator/>
      </w:r>
    </w:p>
  </w:footnote>
  <w:footnote w:type="continuationSeparator" w:id="0">
    <w:p w14:paraId="48FBDDD1" w14:textId="77777777" w:rsidR="00646E46" w:rsidRDefault="00646E46" w:rsidP="00E64B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2565FF" w14:textId="2AC9537A" w:rsidR="0046455D" w:rsidRDefault="005D6AC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7086FD93" wp14:editId="53C8CFBC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396148396" name="MSIPCMcb314a04a419d45bdca26baa" descr="{&quot;HashCode&quot;:1227105120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8EE63F4" w14:textId="5BE40EBB" w:rsidR="005D6AC7" w:rsidRPr="005D6AC7" w:rsidRDefault="005D6AC7" w:rsidP="005D6AC7">
                          <w:pPr>
                            <w:jc w:val="right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5D6AC7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CORPORATE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086FD93" id="_x0000_t202" coordsize="21600,21600" o:spt="202" path="m,l,21600r21600,l21600,xe">
              <v:stroke joinstyle="miter"/>
              <v:path gradientshapeok="t" o:connecttype="rect"/>
            </v:shapetype>
            <v:shape id="MSIPCMcb314a04a419d45bdca26baa" o:spid="_x0000_s1026" type="#_x0000_t202" alt="{&quot;HashCode&quot;:1227105120,&quot;Height&quot;:841.0,&quot;Width&quot;:595.0,&quot;Placement&quot;:&quot;Header&quot;,&quot;Index&quot;:&quot;Primary&quot;,&quot;Section&quot;:1,&quot;Top&quot;:0.0,&quot;Left&quot;:0.0}" style="position:absolute;left:0;text-align:left;margin-left:0;margin-top:15pt;width:595.3pt;height:21.5pt;z-index: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" o:allowincell="f" filled="f" stroked="f" strokeweight=".5pt">
              <v:textbox inset=",0,20pt,0">
                <w:txbxContent>
                  <w:p w14:paraId="68EE63F4" w14:textId="5BE40EBB" w:rsidR="005D6AC7" w:rsidRPr="005D6AC7" w:rsidRDefault="005D6AC7" w:rsidP="005D6AC7">
                    <w:pPr>
                      <w:jc w:val="right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5D6AC7">
                      <w:rPr>
                        <w:rFonts w:ascii="Calibri" w:hAnsi="Calibri" w:cs="Calibri"/>
                        <w:color w:val="000000"/>
                        <w:sz w:val="20"/>
                      </w:rPr>
                      <w:t>CORPORATE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A1A26"/>
    <w:multiLevelType w:val="hybridMultilevel"/>
    <w:tmpl w:val="A40E20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8D6ED9"/>
    <w:multiLevelType w:val="hybridMultilevel"/>
    <w:tmpl w:val="9B7419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9EE03CF"/>
    <w:multiLevelType w:val="hybridMultilevel"/>
    <w:tmpl w:val="710C5E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FCF55FD"/>
    <w:multiLevelType w:val="hybridMultilevel"/>
    <w:tmpl w:val="1CF65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99796A"/>
    <w:multiLevelType w:val="hybridMultilevel"/>
    <w:tmpl w:val="E89AE2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E95DB1"/>
    <w:multiLevelType w:val="hybridMultilevel"/>
    <w:tmpl w:val="1AB63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efaultTableStyle w:val="TableTheme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2D0"/>
    <w:rsid w:val="00000A06"/>
    <w:rsid w:val="00007FFE"/>
    <w:rsid w:val="0001385E"/>
    <w:rsid w:val="0001413F"/>
    <w:rsid w:val="00022DA8"/>
    <w:rsid w:val="00033569"/>
    <w:rsid w:val="00051247"/>
    <w:rsid w:val="000526A0"/>
    <w:rsid w:val="0005726E"/>
    <w:rsid w:val="00065D9C"/>
    <w:rsid w:val="000A520E"/>
    <w:rsid w:val="000B2231"/>
    <w:rsid w:val="000C710C"/>
    <w:rsid w:val="000D1D28"/>
    <w:rsid w:val="000D4E65"/>
    <w:rsid w:val="000F48F6"/>
    <w:rsid w:val="000F4BF2"/>
    <w:rsid w:val="001001A2"/>
    <w:rsid w:val="00101B55"/>
    <w:rsid w:val="00130245"/>
    <w:rsid w:val="001428C4"/>
    <w:rsid w:val="00143F3A"/>
    <w:rsid w:val="00151D84"/>
    <w:rsid w:val="00160B25"/>
    <w:rsid w:val="00162F5E"/>
    <w:rsid w:val="00165CB6"/>
    <w:rsid w:val="00167BAE"/>
    <w:rsid w:val="00175CDA"/>
    <w:rsid w:val="001815E1"/>
    <w:rsid w:val="00182CF0"/>
    <w:rsid w:val="001963C6"/>
    <w:rsid w:val="001A4816"/>
    <w:rsid w:val="001B4E73"/>
    <w:rsid w:val="001C1BC1"/>
    <w:rsid w:val="001C388F"/>
    <w:rsid w:val="001C71E8"/>
    <w:rsid w:val="001D381C"/>
    <w:rsid w:val="001F57DE"/>
    <w:rsid w:val="00202E77"/>
    <w:rsid w:val="002117DC"/>
    <w:rsid w:val="0021327F"/>
    <w:rsid w:val="002235F5"/>
    <w:rsid w:val="002271A2"/>
    <w:rsid w:val="00237CE5"/>
    <w:rsid w:val="00246239"/>
    <w:rsid w:val="00247387"/>
    <w:rsid w:val="00252C62"/>
    <w:rsid w:val="00273AE1"/>
    <w:rsid w:val="00281C70"/>
    <w:rsid w:val="00283FB7"/>
    <w:rsid w:val="0029640A"/>
    <w:rsid w:val="00297100"/>
    <w:rsid w:val="002A0D2A"/>
    <w:rsid w:val="002B48CC"/>
    <w:rsid w:val="002C6007"/>
    <w:rsid w:val="002C6A25"/>
    <w:rsid w:val="002D4DF2"/>
    <w:rsid w:val="002E5463"/>
    <w:rsid w:val="002F3F1D"/>
    <w:rsid w:val="002F4149"/>
    <w:rsid w:val="002F7EEF"/>
    <w:rsid w:val="0030265A"/>
    <w:rsid w:val="0030279B"/>
    <w:rsid w:val="003129D6"/>
    <w:rsid w:val="003136EE"/>
    <w:rsid w:val="00321832"/>
    <w:rsid w:val="00322C28"/>
    <w:rsid w:val="003276ED"/>
    <w:rsid w:val="003365E0"/>
    <w:rsid w:val="00344E60"/>
    <w:rsid w:val="00360B5C"/>
    <w:rsid w:val="00364AF8"/>
    <w:rsid w:val="00364C08"/>
    <w:rsid w:val="00371527"/>
    <w:rsid w:val="003727EE"/>
    <w:rsid w:val="003772AF"/>
    <w:rsid w:val="00385CB3"/>
    <w:rsid w:val="00387840"/>
    <w:rsid w:val="0039059D"/>
    <w:rsid w:val="00390CA5"/>
    <w:rsid w:val="003A1AC9"/>
    <w:rsid w:val="003A335C"/>
    <w:rsid w:val="003A3813"/>
    <w:rsid w:val="003B4DD7"/>
    <w:rsid w:val="003B715F"/>
    <w:rsid w:val="003B7DC3"/>
    <w:rsid w:val="003C7815"/>
    <w:rsid w:val="003D6F31"/>
    <w:rsid w:val="003D7860"/>
    <w:rsid w:val="003D7BF1"/>
    <w:rsid w:val="003E3F4C"/>
    <w:rsid w:val="003F745D"/>
    <w:rsid w:val="00401395"/>
    <w:rsid w:val="004033B8"/>
    <w:rsid w:val="00403D99"/>
    <w:rsid w:val="00411BA4"/>
    <w:rsid w:val="00412846"/>
    <w:rsid w:val="00413339"/>
    <w:rsid w:val="004147FC"/>
    <w:rsid w:val="00416FD3"/>
    <w:rsid w:val="0042309E"/>
    <w:rsid w:val="00430365"/>
    <w:rsid w:val="004309C6"/>
    <w:rsid w:val="00443044"/>
    <w:rsid w:val="00445B15"/>
    <w:rsid w:val="00447E5A"/>
    <w:rsid w:val="004608E1"/>
    <w:rsid w:val="0046455D"/>
    <w:rsid w:val="0046672E"/>
    <w:rsid w:val="00473B04"/>
    <w:rsid w:val="00474107"/>
    <w:rsid w:val="00482E08"/>
    <w:rsid w:val="00492391"/>
    <w:rsid w:val="004A20A5"/>
    <w:rsid w:val="004D02F4"/>
    <w:rsid w:val="004D32A7"/>
    <w:rsid w:val="004D5D6F"/>
    <w:rsid w:val="004E25DD"/>
    <w:rsid w:val="004E273E"/>
    <w:rsid w:val="004E4AEC"/>
    <w:rsid w:val="004F4341"/>
    <w:rsid w:val="0050183E"/>
    <w:rsid w:val="00513B3C"/>
    <w:rsid w:val="005165DB"/>
    <w:rsid w:val="005221FC"/>
    <w:rsid w:val="005406F8"/>
    <w:rsid w:val="00540B03"/>
    <w:rsid w:val="005462D0"/>
    <w:rsid w:val="0055455A"/>
    <w:rsid w:val="00555C8A"/>
    <w:rsid w:val="00555F62"/>
    <w:rsid w:val="005576E1"/>
    <w:rsid w:val="00566FAC"/>
    <w:rsid w:val="00567733"/>
    <w:rsid w:val="005713A8"/>
    <w:rsid w:val="00583DAD"/>
    <w:rsid w:val="0059277F"/>
    <w:rsid w:val="00592A99"/>
    <w:rsid w:val="00596FB4"/>
    <w:rsid w:val="00597EED"/>
    <w:rsid w:val="005A2991"/>
    <w:rsid w:val="005B789C"/>
    <w:rsid w:val="005C2F2F"/>
    <w:rsid w:val="005C60A7"/>
    <w:rsid w:val="005D0AF8"/>
    <w:rsid w:val="005D6AC7"/>
    <w:rsid w:val="005E61AC"/>
    <w:rsid w:val="005F3A83"/>
    <w:rsid w:val="005F3E47"/>
    <w:rsid w:val="0060215A"/>
    <w:rsid w:val="0061692C"/>
    <w:rsid w:val="006216F9"/>
    <w:rsid w:val="00621BB5"/>
    <w:rsid w:val="0062658F"/>
    <w:rsid w:val="00640EEA"/>
    <w:rsid w:val="0064482B"/>
    <w:rsid w:val="00646E46"/>
    <w:rsid w:val="00652D53"/>
    <w:rsid w:val="00662FB1"/>
    <w:rsid w:val="0067516F"/>
    <w:rsid w:val="006832D0"/>
    <w:rsid w:val="00691DBA"/>
    <w:rsid w:val="006A0642"/>
    <w:rsid w:val="006A36CC"/>
    <w:rsid w:val="006A66C5"/>
    <w:rsid w:val="006B029C"/>
    <w:rsid w:val="006B4683"/>
    <w:rsid w:val="006B5BA9"/>
    <w:rsid w:val="006B679C"/>
    <w:rsid w:val="006C714C"/>
    <w:rsid w:val="006D3582"/>
    <w:rsid w:val="006D7651"/>
    <w:rsid w:val="006E1B6A"/>
    <w:rsid w:val="0070010B"/>
    <w:rsid w:val="0070029F"/>
    <w:rsid w:val="00701734"/>
    <w:rsid w:val="00721560"/>
    <w:rsid w:val="00726036"/>
    <w:rsid w:val="0074341E"/>
    <w:rsid w:val="00751F08"/>
    <w:rsid w:val="00760371"/>
    <w:rsid w:val="007666A8"/>
    <w:rsid w:val="00776535"/>
    <w:rsid w:val="007806C5"/>
    <w:rsid w:val="00786563"/>
    <w:rsid w:val="00787142"/>
    <w:rsid w:val="00791B43"/>
    <w:rsid w:val="007926C7"/>
    <w:rsid w:val="00793399"/>
    <w:rsid w:val="00796E72"/>
    <w:rsid w:val="007A2030"/>
    <w:rsid w:val="007A589B"/>
    <w:rsid w:val="007A64CC"/>
    <w:rsid w:val="007B2769"/>
    <w:rsid w:val="007C6400"/>
    <w:rsid w:val="007D57EE"/>
    <w:rsid w:val="007E0C1F"/>
    <w:rsid w:val="007E1CB3"/>
    <w:rsid w:val="007F7993"/>
    <w:rsid w:val="0081026B"/>
    <w:rsid w:val="00830099"/>
    <w:rsid w:val="00832EA9"/>
    <w:rsid w:val="008403F1"/>
    <w:rsid w:val="00842057"/>
    <w:rsid w:val="00842BAF"/>
    <w:rsid w:val="0086005B"/>
    <w:rsid w:val="00864C55"/>
    <w:rsid w:val="0086637C"/>
    <w:rsid w:val="008732FB"/>
    <w:rsid w:val="00884167"/>
    <w:rsid w:val="008914B1"/>
    <w:rsid w:val="00892A46"/>
    <w:rsid w:val="008A523A"/>
    <w:rsid w:val="008A7212"/>
    <w:rsid w:val="008B2431"/>
    <w:rsid w:val="008B257A"/>
    <w:rsid w:val="008C082F"/>
    <w:rsid w:val="008C366C"/>
    <w:rsid w:val="008D390B"/>
    <w:rsid w:val="008D6FB6"/>
    <w:rsid w:val="008E38F1"/>
    <w:rsid w:val="008E4D8E"/>
    <w:rsid w:val="008F1718"/>
    <w:rsid w:val="008F17A3"/>
    <w:rsid w:val="008F1FCF"/>
    <w:rsid w:val="00900453"/>
    <w:rsid w:val="00904100"/>
    <w:rsid w:val="0090462E"/>
    <w:rsid w:val="00905463"/>
    <w:rsid w:val="0091307F"/>
    <w:rsid w:val="00933EF4"/>
    <w:rsid w:val="0093574D"/>
    <w:rsid w:val="00961BD6"/>
    <w:rsid w:val="0097278E"/>
    <w:rsid w:val="009744A0"/>
    <w:rsid w:val="00976781"/>
    <w:rsid w:val="00986270"/>
    <w:rsid w:val="009B166B"/>
    <w:rsid w:val="009B66C8"/>
    <w:rsid w:val="009C21B3"/>
    <w:rsid w:val="009C2C42"/>
    <w:rsid w:val="009E3D4E"/>
    <w:rsid w:val="009E6A28"/>
    <w:rsid w:val="009F010F"/>
    <w:rsid w:val="009F3FB7"/>
    <w:rsid w:val="00A117D2"/>
    <w:rsid w:val="00A17420"/>
    <w:rsid w:val="00A239A7"/>
    <w:rsid w:val="00A3549C"/>
    <w:rsid w:val="00A374AC"/>
    <w:rsid w:val="00A37869"/>
    <w:rsid w:val="00A44A88"/>
    <w:rsid w:val="00A72122"/>
    <w:rsid w:val="00A74752"/>
    <w:rsid w:val="00A749E1"/>
    <w:rsid w:val="00A81B6C"/>
    <w:rsid w:val="00A94775"/>
    <w:rsid w:val="00A962CF"/>
    <w:rsid w:val="00AB75B4"/>
    <w:rsid w:val="00AC64B7"/>
    <w:rsid w:val="00AC74EC"/>
    <w:rsid w:val="00AD2234"/>
    <w:rsid w:val="00AD4AE1"/>
    <w:rsid w:val="00AD7CC8"/>
    <w:rsid w:val="00AE6E25"/>
    <w:rsid w:val="00AF6B3A"/>
    <w:rsid w:val="00B054AD"/>
    <w:rsid w:val="00B108AE"/>
    <w:rsid w:val="00B13C9D"/>
    <w:rsid w:val="00B159A9"/>
    <w:rsid w:val="00B2426C"/>
    <w:rsid w:val="00B40E49"/>
    <w:rsid w:val="00B533D5"/>
    <w:rsid w:val="00B54F09"/>
    <w:rsid w:val="00B71972"/>
    <w:rsid w:val="00B84789"/>
    <w:rsid w:val="00B85769"/>
    <w:rsid w:val="00B87F00"/>
    <w:rsid w:val="00B916A7"/>
    <w:rsid w:val="00B9176B"/>
    <w:rsid w:val="00B96022"/>
    <w:rsid w:val="00BC113A"/>
    <w:rsid w:val="00BC71FF"/>
    <w:rsid w:val="00BD0FFD"/>
    <w:rsid w:val="00BE27B4"/>
    <w:rsid w:val="00BE4CAF"/>
    <w:rsid w:val="00BE52BF"/>
    <w:rsid w:val="00C00BB8"/>
    <w:rsid w:val="00C02233"/>
    <w:rsid w:val="00C05BED"/>
    <w:rsid w:val="00C06B06"/>
    <w:rsid w:val="00C106C2"/>
    <w:rsid w:val="00C15121"/>
    <w:rsid w:val="00C171FF"/>
    <w:rsid w:val="00C21009"/>
    <w:rsid w:val="00C21363"/>
    <w:rsid w:val="00C2294B"/>
    <w:rsid w:val="00C265A4"/>
    <w:rsid w:val="00C37129"/>
    <w:rsid w:val="00C42CD0"/>
    <w:rsid w:val="00C47A56"/>
    <w:rsid w:val="00C52224"/>
    <w:rsid w:val="00C52FC2"/>
    <w:rsid w:val="00C5755A"/>
    <w:rsid w:val="00C67CE0"/>
    <w:rsid w:val="00C74F11"/>
    <w:rsid w:val="00C7643D"/>
    <w:rsid w:val="00C76E10"/>
    <w:rsid w:val="00CB5D78"/>
    <w:rsid w:val="00CC58F8"/>
    <w:rsid w:val="00CD0A35"/>
    <w:rsid w:val="00CD4FA7"/>
    <w:rsid w:val="00CD5F91"/>
    <w:rsid w:val="00CD6927"/>
    <w:rsid w:val="00CE0B40"/>
    <w:rsid w:val="00CF683C"/>
    <w:rsid w:val="00D040A2"/>
    <w:rsid w:val="00D114C9"/>
    <w:rsid w:val="00D13C47"/>
    <w:rsid w:val="00D21685"/>
    <w:rsid w:val="00D318A3"/>
    <w:rsid w:val="00D326DC"/>
    <w:rsid w:val="00D353EC"/>
    <w:rsid w:val="00D354E8"/>
    <w:rsid w:val="00D44122"/>
    <w:rsid w:val="00D554DA"/>
    <w:rsid w:val="00D60BFC"/>
    <w:rsid w:val="00D60FF3"/>
    <w:rsid w:val="00D62D47"/>
    <w:rsid w:val="00D655F5"/>
    <w:rsid w:val="00D67C46"/>
    <w:rsid w:val="00D70591"/>
    <w:rsid w:val="00D75CFB"/>
    <w:rsid w:val="00D77847"/>
    <w:rsid w:val="00D77BDD"/>
    <w:rsid w:val="00D907A2"/>
    <w:rsid w:val="00DA6116"/>
    <w:rsid w:val="00DD195D"/>
    <w:rsid w:val="00DD4976"/>
    <w:rsid w:val="00DE01A0"/>
    <w:rsid w:val="00DE0699"/>
    <w:rsid w:val="00DF4CC2"/>
    <w:rsid w:val="00DF6966"/>
    <w:rsid w:val="00E04222"/>
    <w:rsid w:val="00E0503C"/>
    <w:rsid w:val="00E1281F"/>
    <w:rsid w:val="00E16FFB"/>
    <w:rsid w:val="00E2493A"/>
    <w:rsid w:val="00E369B9"/>
    <w:rsid w:val="00E4365F"/>
    <w:rsid w:val="00E50F50"/>
    <w:rsid w:val="00E51E99"/>
    <w:rsid w:val="00E64B36"/>
    <w:rsid w:val="00E660F1"/>
    <w:rsid w:val="00E7204F"/>
    <w:rsid w:val="00E73FB2"/>
    <w:rsid w:val="00E74DBF"/>
    <w:rsid w:val="00E8008F"/>
    <w:rsid w:val="00E8413B"/>
    <w:rsid w:val="00E84C73"/>
    <w:rsid w:val="00E85DB1"/>
    <w:rsid w:val="00EB0782"/>
    <w:rsid w:val="00EB0DEC"/>
    <w:rsid w:val="00EB20C7"/>
    <w:rsid w:val="00EB44F5"/>
    <w:rsid w:val="00EB669A"/>
    <w:rsid w:val="00EC126C"/>
    <w:rsid w:val="00EC13FB"/>
    <w:rsid w:val="00EC48D4"/>
    <w:rsid w:val="00ED5226"/>
    <w:rsid w:val="00EE2AA0"/>
    <w:rsid w:val="00EE3596"/>
    <w:rsid w:val="00EF1554"/>
    <w:rsid w:val="00EF1AC2"/>
    <w:rsid w:val="00EF222F"/>
    <w:rsid w:val="00F033FC"/>
    <w:rsid w:val="00F15E93"/>
    <w:rsid w:val="00F164F5"/>
    <w:rsid w:val="00F45181"/>
    <w:rsid w:val="00F4589F"/>
    <w:rsid w:val="00F45972"/>
    <w:rsid w:val="00F53236"/>
    <w:rsid w:val="00F56917"/>
    <w:rsid w:val="00F576F6"/>
    <w:rsid w:val="00F806F6"/>
    <w:rsid w:val="00FA13BA"/>
    <w:rsid w:val="00FA4548"/>
    <w:rsid w:val="00FB0438"/>
    <w:rsid w:val="00FC2A67"/>
    <w:rsid w:val="00FF5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ED6C8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72AF"/>
    <w:pPr>
      <w:bidi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81026B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81026B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81026B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81026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81026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81026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462D0"/>
    <w:pPr>
      <w:tabs>
        <w:tab w:val="center" w:pos="4153"/>
        <w:tab w:val="right" w:pos="8306"/>
      </w:tabs>
    </w:pPr>
  </w:style>
  <w:style w:type="paragraph" w:customStyle="1" w:styleId="regpar">
    <w:name w:val="regpar"/>
    <w:basedOn w:val="Normal"/>
    <w:rsid w:val="005462D0"/>
    <w:pPr>
      <w:bidi w:val="0"/>
      <w:spacing w:line="300" w:lineRule="exact"/>
      <w:ind w:firstLine="240"/>
      <w:jc w:val="both"/>
    </w:pPr>
    <w:rPr>
      <w:rFonts w:ascii="Times" w:hAnsi="Times" w:cs="Times"/>
    </w:rPr>
  </w:style>
  <w:style w:type="table" w:styleId="TableTheme">
    <w:name w:val="Table Theme"/>
    <w:basedOn w:val="TableNormal"/>
    <w:rsid w:val="0081026B"/>
    <w:pPr>
      <w:bidi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styleId="Hyperlink">
    <w:name w:val="Hyperlink"/>
    <w:uiPriority w:val="99"/>
    <w:rsid w:val="0081026B"/>
    <w:rPr>
      <w:color w:val="0000FF"/>
      <w:u w:val="single"/>
    </w:rPr>
  </w:style>
  <w:style w:type="character" w:styleId="FollowedHyperlink">
    <w:name w:val="FollowedHyperlink"/>
    <w:rsid w:val="0081026B"/>
    <w:rPr>
      <w:color w:val="606420"/>
      <w:u w:val="single"/>
    </w:rPr>
  </w:style>
  <w:style w:type="paragraph" w:styleId="Footer">
    <w:name w:val="footer"/>
    <w:basedOn w:val="Normal"/>
    <w:link w:val="FooterChar"/>
    <w:uiPriority w:val="99"/>
    <w:rsid w:val="00E64B36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E64B36"/>
    <w:rPr>
      <w:sz w:val="24"/>
      <w:szCs w:val="24"/>
    </w:rPr>
  </w:style>
  <w:style w:type="character" w:customStyle="1" w:styleId="HeaderChar">
    <w:name w:val="Header Char"/>
    <w:link w:val="Header"/>
    <w:uiPriority w:val="99"/>
    <w:rsid w:val="00E64B36"/>
    <w:rPr>
      <w:sz w:val="24"/>
      <w:szCs w:val="24"/>
    </w:rPr>
  </w:style>
  <w:style w:type="paragraph" w:styleId="BalloonText">
    <w:name w:val="Balloon Text"/>
    <w:basedOn w:val="Normal"/>
    <w:link w:val="BalloonTextChar"/>
    <w:rsid w:val="00E64B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64B3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61BD6"/>
    <w:pPr>
      <w:bidi w:val="0"/>
      <w:ind w:left="720"/>
      <w:contextualSpacing/>
    </w:pPr>
    <w:rPr>
      <w:rFonts w:eastAsia="Calibri" w:cs="Arial"/>
      <w:szCs w:val="22"/>
    </w:rPr>
  </w:style>
  <w:style w:type="paragraph" w:styleId="FootnoteText">
    <w:name w:val="footnote text"/>
    <w:basedOn w:val="Normal"/>
    <w:link w:val="FootnoteTextChar"/>
    <w:unhideWhenUsed/>
    <w:rsid w:val="00596FB4"/>
    <w:pPr>
      <w:bidi w:val="0"/>
      <w:spacing w:line="300" w:lineRule="exact"/>
      <w:jc w:val="both"/>
    </w:pPr>
    <w:rPr>
      <w:rFonts w:ascii="Times" w:hAnsi="Times" w:cs="Times"/>
      <w:sz w:val="20"/>
      <w:szCs w:val="20"/>
    </w:rPr>
  </w:style>
  <w:style w:type="character" w:customStyle="1" w:styleId="FootnoteTextChar">
    <w:name w:val="Footnote Text Char"/>
    <w:link w:val="FootnoteText"/>
    <w:rsid w:val="00596FB4"/>
    <w:rPr>
      <w:rFonts w:ascii="Times" w:hAnsi="Times" w:cs="Times"/>
    </w:rPr>
  </w:style>
  <w:style w:type="character" w:styleId="FootnoteReference">
    <w:name w:val="footnote reference"/>
    <w:unhideWhenUsed/>
    <w:rsid w:val="00596FB4"/>
    <w:rPr>
      <w:vertAlign w:val="superscript"/>
    </w:rPr>
  </w:style>
  <w:style w:type="paragraph" w:customStyle="1" w:styleId="PS">
    <w:name w:val="PS"/>
    <w:basedOn w:val="Normal"/>
    <w:rsid w:val="00A3549C"/>
    <w:pPr>
      <w:bidi w:val="0"/>
      <w:ind w:firstLine="432"/>
    </w:pPr>
    <w:rPr>
      <w:szCs w:val="20"/>
      <w:lang w:bidi="ar-SA"/>
    </w:rPr>
  </w:style>
  <w:style w:type="paragraph" w:styleId="NormalWeb">
    <w:name w:val="Normal (Web)"/>
    <w:basedOn w:val="Normal"/>
    <w:uiPriority w:val="99"/>
    <w:unhideWhenUsed/>
    <w:rsid w:val="00AC64B7"/>
    <w:pPr>
      <w:bidi w:val="0"/>
      <w:spacing w:before="100" w:beforeAutospacing="1" w:after="100" w:afterAutospacing="1"/>
    </w:pPr>
  </w:style>
  <w:style w:type="paragraph" w:customStyle="1" w:styleId="xmsonormal">
    <w:name w:val="x_msonormal"/>
    <w:basedOn w:val="Normal"/>
    <w:rsid w:val="000D1D28"/>
    <w:pPr>
      <w:bidi w:val="0"/>
    </w:pPr>
    <w:rPr>
      <w:rFonts w:ascii="Calibri" w:eastAsiaTheme="minorHAnsi" w:hAnsi="Calibri" w:cs="Calibri"/>
      <w:sz w:val="22"/>
      <w:szCs w:val="22"/>
      <w:lang w:val="en-GB" w:eastAsia="en-GB" w:bidi="ar-SA"/>
    </w:rPr>
  </w:style>
  <w:style w:type="paragraph" w:styleId="Revision">
    <w:name w:val="Revision"/>
    <w:hidden/>
    <w:uiPriority w:val="99"/>
    <w:semiHidden/>
    <w:rsid w:val="00F164F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397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hir@boi.org.i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oi.org.il/en/economic-roles/financial-markets/shir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boi.org.il/en/economic-roles/financial-markets/the-telbor-marke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sda.org/protocol/november-2022-benchmark-module-of-the-isda-2021-fallbacks-protocol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1755C6-6136-4C9B-82D0-B281361F5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349</Words>
  <Characters>1746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2091</CharactersWithSpaces>
  <SharedDoc>false</SharedDoc>
  <HLinks>
    <vt:vector size="6" baseType="variant">
      <vt:variant>
        <vt:i4>4980745</vt:i4>
      </vt:variant>
      <vt:variant>
        <vt:i4>0</vt:i4>
      </vt:variant>
      <vt:variant>
        <vt:i4>0</vt:i4>
      </vt:variant>
      <vt:variant>
        <vt:i4>5</vt:i4>
      </vt:variant>
      <vt:variant>
        <vt:lpwstr>http://www.boi.org.il/en/Research/Pages/ind.aspx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2024-04-16T10:58:00Z</dcterms:created>
  <dcterms:modified xsi:type="dcterms:W3CDTF">2024-04-16T10:58:00Z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ffedc7-8dd7-4346-b906-eaa072ee5258_Enabled">
    <vt:lpwstr>true</vt:lpwstr>
  </property>
  <property fmtid="{D5CDD505-2E9C-101B-9397-08002B2CF9AE}" pid="3" name="MSIP_Label_16ffedc7-8dd7-4346-b906-eaa072ee5258_SetDate">
    <vt:lpwstr>2023-12-19T17:20:36Z</vt:lpwstr>
  </property>
  <property fmtid="{D5CDD505-2E9C-101B-9397-08002B2CF9AE}" pid="4" name="MSIP_Label_16ffedc7-8dd7-4346-b906-eaa072ee5258_Method">
    <vt:lpwstr>Standard</vt:lpwstr>
  </property>
  <property fmtid="{D5CDD505-2E9C-101B-9397-08002B2CF9AE}" pid="5" name="MSIP_Label_16ffedc7-8dd7-4346-b906-eaa072ee5258_Name">
    <vt:lpwstr>Corporate</vt:lpwstr>
  </property>
  <property fmtid="{D5CDD505-2E9C-101B-9397-08002B2CF9AE}" pid="6" name="MSIP_Label_16ffedc7-8dd7-4346-b906-eaa072ee5258_SiteId">
    <vt:lpwstr>287e9f0e-91ec-4cf0-b7a4-c63898072181</vt:lpwstr>
  </property>
  <property fmtid="{D5CDD505-2E9C-101B-9397-08002B2CF9AE}" pid="7" name="MSIP_Label_16ffedc7-8dd7-4346-b906-eaa072ee5258_ActionId">
    <vt:lpwstr>7a67b895-3630-414a-90da-85338b05e54a</vt:lpwstr>
  </property>
  <property fmtid="{D5CDD505-2E9C-101B-9397-08002B2CF9AE}" pid="8" name="MSIP_Label_16ffedc7-8dd7-4346-b906-eaa072ee5258_ContentBits">
    <vt:lpwstr>1</vt:lpwstr>
  </property>
</Properties>
</file>