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Default="00A65B34" w:rsidP="008964B2">
      <w:pPr>
        <w:bidi w:val="0"/>
        <w:jc w:val="both"/>
        <w:rPr>
          <w:rFonts w:asciiTheme="majorBidi" w:hAnsiTheme="majorBidi" w:cstheme="majorBidi"/>
          <w:noProof/>
        </w:rPr>
      </w:pPr>
      <w:r w:rsidRPr="00A92071">
        <w:rPr>
          <w:rFonts w:asciiTheme="minorHAnsi" w:hAnsiTheme="minorHAnsi" w:cstheme="minorHAnsi"/>
          <w:noProof/>
        </w:rPr>
        <w:drawing>
          <wp:anchor distT="0" distB="0" distL="114300" distR="114300" simplePos="0" relativeHeight="251659264" behindDoc="0" locked="0" layoutInCell="1" allowOverlap="1" wp14:anchorId="6DD24202" wp14:editId="363B3C11">
            <wp:simplePos x="0" y="0"/>
            <wp:positionH relativeFrom="column">
              <wp:posOffset>1914525</wp:posOffset>
            </wp:positionH>
            <wp:positionV relativeFrom="paragraph">
              <wp:posOffset>159385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5B34" w:rsidRDefault="00A65B34" w:rsidP="008964B2">
      <w:pPr>
        <w:bidi w:val="0"/>
        <w:jc w:val="both"/>
        <w:rPr>
          <w:rFonts w:asciiTheme="majorBidi" w:hAnsiTheme="majorBidi" w:cstheme="majorBidi"/>
          <w:noProof/>
        </w:rPr>
      </w:pPr>
    </w:p>
    <w:p w:rsidR="00A65B34" w:rsidRDefault="00A65B34" w:rsidP="00AE40E6">
      <w:pPr>
        <w:bidi w:val="0"/>
        <w:jc w:val="center"/>
        <w:rPr>
          <w:rFonts w:asciiTheme="majorBidi" w:hAnsiTheme="majorBidi" w:cstheme="majorBidi"/>
          <w:noProof/>
        </w:rPr>
      </w:pPr>
    </w:p>
    <w:p w:rsidR="00A65B34" w:rsidRPr="003B4DD7" w:rsidRDefault="00A65B34" w:rsidP="00AE40E6">
      <w:pPr>
        <w:bidi w:val="0"/>
        <w:jc w:val="center"/>
        <w:rPr>
          <w:rFonts w:asciiTheme="majorBidi" w:hAnsiTheme="majorBidi" w:cstheme="majorBidi"/>
          <w:rtl/>
        </w:rPr>
      </w:pPr>
    </w:p>
    <w:p w:rsidR="00892A46" w:rsidRPr="003B4DD7" w:rsidRDefault="00892A46" w:rsidP="00AE40E6">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AE40E6">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7926C7" w:rsidRDefault="007926C7" w:rsidP="008964B2">
      <w:pPr>
        <w:bidi w:val="0"/>
        <w:jc w:val="both"/>
        <w:rPr>
          <w:rFonts w:asciiTheme="majorBidi" w:hAnsiTheme="majorBidi" w:cstheme="majorBidi"/>
        </w:rPr>
      </w:pPr>
      <w:r w:rsidRPr="003B4DD7">
        <w:rPr>
          <w:rFonts w:asciiTheme="majorBidi" w:hAnsiTheme="majorBidi" w:cstheme="majorBidi"/>
        </w:rPr>
        <w:br/>
      </w:r>
    </w:p>
    <w:p w:rsidR="00581833" w:rsidRDefault="00581833" w:rsidP="008964B2">
      <w:pPr>
        <w:bidi w:val="0"/>
        <w:jc w:val="both"/>
        <w:rPr>
          <w:rFonts w:asciiTheme="majorBidi" w:hAnsiTheme="majorBidi" w:cstheme="majorBidi"/>
        </w:rPr>
      </w:pPr>
      <w:r>
        <w:rPr>
          <w:rFonts w:asciiTheme="majorBidi" w:hAnsiTheme="majorBidi" w:cstheme="majorBidi"/>
        </w:rPr>
        <w:t>December 16, 2025</w:t>
      </w:r>
    </w:p>
    <w:p w:rsidR="00C27619" w:rsidRDefault="00C27619" w:rsidP="008964B2">
      <w:pPr>
        <w:bidi w:val="0"/>
        <w:jc w:val="both"/>
        <w:rPr>
          <w:rFonts w:asciiTheme="majorBidi" w:hAnsiTheme="majorBidi" w:cstheme="majorBidi"/>
        </w:rPr>
      </w:pPr>
    </w:p>
    <w:p w:rsidR="00C27619" w:rsidRDefault="00C27619" w:rsidP="008964B2">
      <w:pPr>
        <w:bidi w:val="0"/>
        <w:jc w:val="both"/>
        <w:rPr>
          <w:rFonts w:asciiTheme="majorBidi" w:hAnsiTheme="majorBidi" w:cstheme="majorBidi"/>
          <w:b/>
          <w:bCs/>
        </w:rPr>
      </w:pPr>
      <w:r w:rsidRPr="009C43A2">
        <w:rPr>
          <w:rFonts w:asciiTheme="majorBidi" w:hAnsiTheme="majorBidi" w:cstheme="majorBidi"/>
          <w:b/>
          <w:bCs/>
        </w:rPr>
        <w:t>Press release:</w:t>
      </w:r>
    </w:p>
    <w:p w:rsidR="00C27619" w:rsidRDefault="00C27619" w:rsidP="008964B2">
      <w:pPr>
        <w:bidi w:val="0"/>
        <w:jc w:val="both"/>
        <w:rPr>
          <w:rFonts w:asciiTheme="majorBidi" w:hAnsiTheme="majorBidi" w:cstheme="majorBidi"/>
        </w:rPr>
      </w:pPr>
    </w:p>
    <w:p w:rsidR="000A7388" w:rsidRDefault="00581833" w:rsidP="00F94A66">
      <w:pPr>
        <w:bidi w:val="0"/>
        <w:jc w:val="center"/>
        <w:rPr>
          <w:rFonts w:asciiTheme="majorBidi" w:hAnsiTheme="majorBidi" w:cstheme="majorBidi"/>
          <w:b/>
          <w:bCs/>
          <w:sz w:val="32"/>
          <w:szCs w:val="32"/>
        </w:rPr>
      </w:pPr>
      <w:r>
        <w:rPr>
          <w:rFonts w:asciiTheme="majorBidi" w:hAnsiTheme="majorBidi" w:cstheme="majorBidi"/>
          <w:b/>
          <w:bCs/>
          <w:sz w:val="32"/>
          <w:szCs w:val="32"/>
        </w:rPr>
        <w:t>The Banking Supervision Department takes several steps in the housing credit market</w:t>
      </w:r>
    </w:p>
    <w:p w:rsidR="00581833" w:rsidRDefault="00581833" w:rsidP="008964B2">
      <w:pPr>
        <w:bidi w:val="0"/>
        <w:jc w:val="both"/>
        <w:rPr>
          <w:rFonts w:asciiTheme="majorBidi" w:hAnsiTheme="majorBidi" w:cstheme="majorBidi"/>
          <w:b/>
          <w:bCs/>
          <w:sz w:val="32"/>
          <w:szCs w:val="32"/>
        </w:rPr>
      </w:pPr>
    </w:p>
    <w:p w:rsidR="00581833" w:rsidRPr="00A62E9B" w:rsidRDefault="00581833" w:rsidP="00004C89">
      <w:pPr>
        <w:bidi w:val="0"/>
        <w:jc w:val="both"/>
        <w:rPr>
          <w:rFonts w:asciiTheme="majorBidi" w:hAnsiTheme="majorBidi" w:cstheme="majorBidi"/>
        </w:rPr>
      </w:pPr>
      <w:r w:rsidRPr="00A62E9B">
        <w:rPr>
          <w:rFonts w:asciiTheme="majorBidi" w:hAnsiTheme="majorBidi" w:cstheme="majorBidi"/>
        </w:rPr>
        <w:t xml:space="preserve">The Bank of Israel closely and frequently follows developments in the housing market, and takes a </w:t>
      </w:r>
      <w:r w:rsidR="004016D8" w:rsidRPr="00A62E9B">
        <w:rPr>
          <w:rFonts w:asciiTheme="majorBidi" w:hAnsiTheme="majorBidi" w:cstheme="majorBidi"/>
        </w:rPr>
        <w:t xml:space="preserve">wide </w:t>
      </w:r>
      <w:r w:rsidRPr="00A62E9B">
        <w:rPr>
          <w:rFonts w:asciiTheme="majorBidi" w:hAnsiTheme="majorBidi" w:cstheme="majorBidi"/>
        </w:rPr>
        <w:t xml:space="preserve">range of steps </w:t>
      </w:r>
      <w:r w:rsidR="004016D8" w:rsidRPr="00A62E9B">
        <w:rPr>
          <w:rFonts w:asciiTheme="majorBidi" w:hAnsiTheme="majorBidi" w:cstheme="majorBidi"/>
        </w:rPr>
        <w:t xml:space="preserve">to </w:t>
      </w:r>
      <w:r w:rsidRPr="00A62E9B">
        <w:rPr>
          <w:rFonts w:asciiTheme="majorBidi" w:hAnsiTheme="majorBidi" w:cstheme="majorBidi"/>
        </w:rPr>
        <w:t>provid</w:t>
      </w:r>
      <w:r w:rsidR="004016D8" w:rsidRPr="00A62E9B">
        <w:rPr>
          <w:rFonts w:asciiTheme="majorBidi" w:hAnsiTheme="majorBidi" w:cstheme="majorBidi"/>
        </w:rPr>
        <w:t xml:space="preserve">er </w:t>
      </w:r>
      <w:r w:rsidRPr="00A62E9B">
        <w:rPr>
          <w:rFonts w:asciiTheme="majorBidi" w:hAnsiTheme="majorBidi" w:cstheme="majorBidi"/>
        </w:rPr>
        <w:t>a response to households’ credit needs</w:t>
      </w:r>
      <w:r w:rsidR="004016D8" w:rsidRPr="00A62E9B">
        <w:rPr>
          <w:rFonts w:asciiTheme="majorBidi" w:hAnsiTheme="majorBidi" w:cstheme="majorBidi"/>
        </w:rPr>
        <w:t xml:space="preserve"> </w:t>
      </w:r>
      <w:r w:rsidRPr="00A62E9B">
        <w:rPr>
          <w:rFonts w:asciiTheme="majorBidi" w:hAnsiTheme="majorBidi" w:cstheme="majorBidi"/>
        </w:rPr>
        <w:t xml:space="preserve">while </w:t>
      </w:r>
      <w:r w:rsidR="009A256E" w:rsidRPr="00A62E9B">
        <w:rPr>
          <w:rFonts w:asciiTheme="majorBidi" w:hAnsiTheme="majorBidi" w:cstheme="majorBidi"/>
        </w:rPr>
        <w:t xml:space="preserve">ensuring adequate </w:t>
      </w:r>
      <w:r w:rsidRPr="00A62E9B">
        <w:rPr>
          <w:rFonts w:asciiTheme="majorBidi" w:hAnsiTheme="majorBidi" w:cstheme="majorBidi"/>
        </w:rPr>
        <w:t xml:space="preserve">repayment capacity. This </w:t>
      </w:r>
      <w:r w:rsidR="004016D8" w:rsidRPr="00A62E9B">
        <w:rPr>
          <w:rFonts w:asciiTheme="majorBidi" w:hAnsiTheme="majorBidi" w:cstheme="majorBidi"/>
        </w:rPr>
        <w:t xml:space="preserve">continuous </w:t>
      </w:r>
      <w:r w:rsidRPr="00A62E9B">
        <w:rPr>
          <w:rFonts w:asciiTheme="majorBidi" w:hAnsiTheme="majorBidi" w:cstheme="majorBidi"/>
        </w:rPr>
        <w:t xml:space="preserve">monitoring indicates that there has been an increase </w:t>
      </w:r>
      <w:r w:rsidR="009508AD" w:rsidRPr="00A62E9B">
        <w:rPr>
          <w:rFonts w:asciiTheme="majorBidi" w:hAnsiTheme="majorBidi" w:cstheme="majorBidi"/>
        </w:rPr>
        <w:t xml:space="preserve">in </w:t>
      </w:r>
      <w:r w:rsidR="00004C89" w:rsidRPr="00A62E9B">
        <w:rPr>
          <w:rFonts w:asciiTheme="majorBidi" w:hAnsiTheme="majorBidi" w:cstheme="majorBidi"/>
        </w:rPr>
        <w:t xml:space="preserve">additional </w:t>
      </w:r>
      <w:r w:rsidR="009508AD" w:rsidRPr="00A62E9B">
        <w:rPr>
          <w:rFonts w:asciiTheme="majorBidi" w:hAnsiTheme="majorBidi" w:cstheme="majorBidi"/>
        </w:rPr>
        <w:t xml:space="preserve">housing credit taken on, </w:t>
      </w:r>
      <w:r w:rsidR="00004C89" w:rsidRPr="00A62E9B">
        <w:rPr>
          <w:rFonts w:asciiTheme="majorBidi" w:hAnsiTheme="majorBidi" w:cstheme="majorBidi"/>
        </w:rPr>
        <w:t xml:space="preserve">in </w:t>
      </w:r>
      <w:r w:rsidR="009508AD" w:rsidRPr="00A62E9B">
        <w:rPr>
          <w:rFonts w:asciiTheme="majorBidi" w:hAnsiTheme="majorBidi" w:cstheme="majorBidi"/>
        </w:rPr>
        <w:t>particular</w:t>
      </w:r>
      <w:r w:rsidR="00004C89" w:rsidRPr="00A62E9B">
        <w:rPr>
          <w:rFonts w:asciiTheme="majorBidi" w:hAnsiTheme="majorBidi" w:cstheme="majorBidi"/>
        </w:rPr>
        <w:t xml:space="preserve"> </w:t>
      </w:r>
      <w:r w:rsidR="009508AD" w:rsidRPr="00A62E9B">
        <w:rPr>
          <w:rFonts w:asciiTheme="majorBidi" w:hAnsiTheme="majorBidi" w:cstheme="majorBidi"/>
        </w:rPr>
        <w:t xml:space="preserve">close to the date of taking out a first mortgage. These </w:t>
      </w:r>
      <w:r w:rsidR="009A256E" w:rsidRPr="00A62E9B">
        <w:rPr>
          <w:rFonts w:asciiTheme="majorBidi" w:hAnsiTheme="majorBidi" w:cstheme="majorBidi"/>
        </w:rPr>
        <w:t xml:space="preserve">actions </w:t>
      </w:r>
      <w:r w:rsidR="009508AD" w:rsidRPr="00A62E9B">
        <w:rPr>
          <w:rFonts w:asciiTheme="majorBidi" w:hAnsiTheme="majorBidi" w:cstheme="majorBidi"/>
        </w:rPr>
        <w:t>increase households’ overall debt and have an impact on their repayment ability. Accordingly, the Supervisor of Banks has decide</w:t>
      </w:r>
      <w:r w:rsidR="009A256E" w:rsidRPr="00A62E9B">
        <w:rPr>
          <w:rFonts w:asciiTheme="majorBidi" w:hAnsiTheme="majorBidi" w:cstheme="majorBidi"/>
        </w:rPr>
        <w:t>d</w:t>
      </w:r>
      <w:r w:rsidR="009508AD" w:rsidRPr="00A62E9B">
        <w:rPr>
          <w:rFonts w:asciiTheme="majorBidi" w:hAnsiTheme="majorBidi" w:cstheme="majorBidi"/>
        </w:rPr>
        <w:t xml:space="preserve"> to </w:t>
      </w:r>
      <w:r w:rsidR="009A256E" w:rsidRPr="00A62E9B">
        <w:rPr>
          <w:rFonts w:asciiTheme="majorBidi" w:hAnsiTheme="majorBidi" w:cstheme="majorBidi"/>
        </w:rPr>
        <w:t xml:space="preserve">introduce measures that </w:t>
      </w:r>
      <w:r w:rsidR="009508AD" w:rsidRPr="00A62E9B">
        <w:rPr>
          <w:rFonts w:asciiTheme="majorBidi" w:hAnsiTheme="majorBidi" w:cstheme="majorBidi"/>
        </w:rPr>
        <w:t>present</w:t>
      </w:r>
      <w:r w:rsidR="009A256E" w:rsidRPr="00A62E9B">
        <w:rPr>
          <w:rFonts w:asciiTheme="majorBidi" w:hAnsiTheme="majorBidi" w:cstheme="majorBidi"/>
        </w:rPr>
        <w:t xml:space="preserve"> </w:t>
      </w:r>
      <w:r w:rsidR="009508AD" w:rsidRPr="00A62E9B">
        <w:rPr>
          <w:rFonts w:asciiTheme="majorBidi" w:hAnsiTheme="majorBidi" w:cstheme="majorBidi"/>
        </w:rPr>
        <w:t>the household’s repayment ability</w:t>
      </w:r>
      <w:r w:rsidR="00BA7037" w:rsidRPr="00A62E9B">
        <w:rPr>
          <w:rFonts w:asciiTheme="majorBidi" w:hAnsiTheme="majorBidi" w:cstheme="majorBidi"/>
        </w:rPr>
        <w:t xml:space="preserve"> </w:t>
      </w:r>
      <w:r w:rsidR="009A256E" w:rsidRPr="00A62E9B">
        <w:rPr>
          <w:rFonts w:asciiTheme="majorBidi" w:hAnsiTheme="majorBidi" w:cstheme="majorBidi"/>
        </w:rPr>
        <w:t xml:space="preserve">more accurately </w:t>
      </w:r>
      <w:r w:rsidR="00BA7037" w:rsidRPr="00A62E9B">
        <w:rPr>
          <w:rFonts w:asciiTheme="majorBidi" w:hAnsiTheme="majorBidi" w:cstheme="majorBidi"/>
        </w:rPr>
        <w:t xml:space="preserve">and </w:t>
      </w:r>
      <w:r w:rsidR="009A256E" w:rsidRPr="00A62E9B">
        <w:rPr>
          <w:rFonts w:asciiTheme="majorBidi" w:hAnsiTheme="majorBidi" w:cstheme="majorBidi"/>
        </w:rPr>
        <w:t xml:space="preserve">that </w:t>
      </w:r>
      <w:r w:rsidR="00BA7037" w:rsidRPr="00A62E9B">
        <w:rPr>
          <w:rFonts w:asciiTheme="majorBidi" w:hAnsiTheme="majorBidi" w:cstheme="majorBidi"/>
        </w:rPr>
        <w:t xml:space="preserve">strengthen its </w:t>
      </w:r>
      <w:r w:rsidR="00004C89" w:rsidRPr="00A62E9B">
        <w:rPr>
          <w:rFonts w:asciiTheme="majorBidi" w:hAnsiTheme="majorBidi" w:cstheme="majorBidi"/>
        </w:rPr>
        <w:t xml:space="preserve">resilience </w:t>
      </w:r>
      <w:r w:rsidR="00BA7037" w:rsidRPr="00A62E9B">
        <w:rPr>
          <w:rFonts w:asciiTheme="majorBidi" w:hAnsiTheme="majorBidi" w:cstheme="majorBidi"/>
        </w:rPr>
        <w:t xml:space="preserve">to the debt’s risks. </w:t>
      </w:r>
      <w:r w:rsidR="00523B40" w:rsidRPr="00A62E9B">
        <w:rPr>
          <w:rFonts w:asciiTheme="majorBidi" w:hAnsiTheme="majorBidi" w:cstheme="majorBidi"/>
        </w:rPr>
        <w:t xml:space="preserve">At the same time, </w:t>
      </w:r>
      <w:r w:rsidR="00BA7037" w:rsidRPr="00A62E9B">
        <w:rPr>
          <w:rFonts w:asciiTheme="majorBidi" w:hAnsiTheme="majorBidi" w:cstheme="majorBidi"/>
        </w:rPr>
        <w:t xml:space="preserve">it was decided to </w:t>
      </w:r>
      <w:r w:rsidR="00B6008A" w:rsidRPr="00A62E9B">
        <w:rPr>
          <w:rFonts w:asciiTheme="majorBidi" w:hAnsiTheme="majorBidi" w:cstheme="majorBidi"/>
        </w:rPr>
        <w:t xml:space="preserve">make permanent a leniency that was granted on a temporary basis </w:t>
      </w:r>
      <w:r w:rsidR="00523B40" w:rsidRPr="00A62E9B">
        <w:rPr>
          <w:rFonts w:asciiTheme="majorBidi" w:hAnsiTheme="majorBidi" w:cstheme="majorBidi"/>
        </w:rPr>
        <w:t xml:space="preserve">over </w:t>
      </w:r>
      <w:r w:rsidR="00B6008A" w:rsidRPr="00A62E9B">
        <w:rPr>
          <w:rFonts w:asciiTheme="majorBidi" w:hAnsiTheme="majorBidi" w:cstheme="majorBidi"/>
        </w:rPr>
        <w:t xml:space="preserve">the past two years, and to continue allowing the taking out of </w:t>
      </w:r>
      <w:r w:rsidR="00523B40" w:rsidRPr="00A62E9B">
        <w:rPr>
          <w:rFonts w:asciiTheme="majorBidi" w:hAnsiTheme="majorBidi" w:cstheme="majorBidi"/>
        </w:rPr>
        <w:t xml:space="preserve">lower cost </w:t>
      </w:r>
      <w:r w:rsidR="00B6008A" w:rsidRPr="00A62E9B">
        <w:rPr>
          <w:rFonts w:asciiTheme="majorBidi" w:hAnsiTheme="majorBidi" w:cstheme="majorBidi"/>
        </w:rPr>
        <w:t xml:space="preserve">credit when needed. This balance, created by the steps taken by the Banking Supervision Department, </w:t>
      </w:r>
      <w:r w:rsidR="001542B9" w:rsidRPr="00A62E9B">
        <w:rPr>
          <w:rFonts w:asciiTheme="majorBidi" w:hAnsiTheme="majorBidi" w:cstheme="majorBidi"/>
        </w:rPr>
        <w:t xml:space="preserve">provide </w:t>
      </w:r>
      <w:r w:rsidR="00B6008A" w:rsidRPr="00A62E9B">
        <w:rPr>
          <w:rFonts w:asciiTheme="majorBidi" w:hAnsiTheme="majorBidi" w:cstheme="majorBidi"/>
        </w:rPr>
        <w:t>a household</w:t>
      </w:r>
      <w:r w:rsidR="00523B40" w:rsidRPr="00A62E9B">
        <w:rPr>
          <w:rFonts w:asciiTheme="majorBidi" w:hAnsiTheme="majorBidi" w:cstheme="majorBidi"/>
        </w:rPr>
        <w:t xml:space="preserve"> with </w:t>
      </w:r>
      <w:r w:rsidR="001542B9" w:rsidRPr="00A62E9B">
        <w:rPr>
          <w:rFonts w:asciiTheme="majorBidi" w:hAnsiTheme="majorBidi" w:cstheme="majorBidi"/>
        </w:rPr>
        <w:t xml:space="preserve">sufficient margin for </w:t>
      </w:r>
      <w:r w:rsidR="00523B40" w:rsidRPr="00A62E9B">
        <w:rPr>
          <w:rFonts w:asciiTheme="majorBidi" w:hAnsiTheme="majorBidi" w:cstheme="majorBidi"/>
        </w:rPr>
        <w:t xml:space="preserve">day-to-day </w:t>
      </w:r>
      <w:r w:rsidR="001542B9" w:rsidRPr="00A62E9B">
        <w:rPr>
          <w:rFonts w:asciiTheme="majorBidi" w:hAnsiTheme="majorBidi" w:cstheme="majorBidi"/>
        </w:rPr>
        <w:t>conduct as well as financial flexibility for managing future events</w:t>
      </w:r>
      <w:r w:rsidR="00523B40" w:rsidRPr="00A62E9B">
        <w:rPr>
          <w:rFonts w:asciiTheme="majorBidi" w:hAnsiTheme="majorBidi" w:cstheme="majorBidi"/>
        </w:rPr>
        <w:t xml:space="preserve">, planned and unplanned, </w:t>
      </w:r>
      <w:r w:rsidR="001542B9" w:rsidRPr="00A62E9B">
        <w:rPr>
          <w:rFonts w:asciiTheme="majorBidi" w:hAnsiTheme="majorBidi" w:cstheme="majorBidi"/>
        </w:rPr>
        <w:t>in the household’s life.</w:t>
      </w:r>
      <w:r w:rsidR="00523B40" w:rsidRPr="00A62E9B">
        <w:rPr>
          <w:rFonts w:asciiTheme="majorBidi" w:hAnsiTheme="majorBidi" w:cstheme="majorBidi"/>
        </w:rPr>
        <w:t xml:space="preserve"> </w:t>
      </w:r>
      <w:r w:rsidR="002B199E" w:rsidRPr="00A62E9B">
        <w:rPr>
          <w:rFonts w:asciiTheme="majorBidi" w:hAnsiTheme="majorBidi" w:cstheme="majorBidi"/>
        </w:rPr>
        <w:t>These steps are based on professional work, which includes international comparisons.</w:t>
      </w:r>
    </w:p>
    <w:p w:rsidR="00DF32BA" w:rsidRPr="00A62E9B" w:rsidRDefault="00DF32BA" w:rsidP="008964B2">
      <w:pPr>
        <w:bidi w:val="0"/>
        <w:jc w:val="both"/>
        <w:rPr>
          <w:rFonts w:asciiTheme="majorBidi" w:hAnsiTheme="majorBidi" w:cstheme="majorBidi"/>
        </w:rPr>
      </w:pPr>
    </w:p>
    <w:p w:rsidR="008C6558" w:rsidRPr="00A62E9B" w:rsidRDefault="008C6558" w:rsidP="00DF32BA">
      <w:pPr>
        <w:bidi w:val="0"/>
        <w:jc w:val="both"/>
        <w:rPr>
          <w:rFonts w:asciiTheme="majorBidi" w:hAnsiTheme="majorBidi" w:cstheme="majorBidi"/>
        </w:rPr>
      </w:pPr>
      <w:r w:rsidRPr="00A62E9B">
        <w:rPr>
          <w:rFonts w:asciiTheme="majorBidi" w:hAnsiTheme="majorBidi" w:cstheme="majorBidi"/>
        </w:rPr>
        <w:t>Pursuant to the above, the Supervisor of Banks has decided to carry out the following measures:</w:t>
      </w:r>
    </w:p>
    <w:p w:rsidR="008C6558" w:rsidRPr="00A62E9B" w:rsidRDefault="008C6558" w:rsidP="00DF32BA">
      <w:pPr>
        <w:pStyle w:val="aa"/>
        <w:numPr>
          <w:ilvl w:val="0"/>
          <w:numId w:val="9"/>
        </w:numPr>
        <w:jc w:val="both"/>
        <w:rPr>
          <w:rFonts w:asciiTheme="majorBidi" w:hAnsiTheme="majorBidi" w:cstheme="majorBidi"/>
          <w:szCs w:val="24"/>
        </w:rPr>
      </w:pPr>
      <w:r w:rsidRPr="00A62E9B">
        <w:rPr>
          <w:rFonts w:asciiTheme="majorBidi" w:hAnsiTheme="majorBidi" w:cstheme="majorBidi"/>
          <w:szCs w:val="24"/>
        </w:rPr>
        <w:t xml:space="preserve">To clarify that </w:t>
      </w:r>
      <w:r w:rsidR="00DF32BA" w:rsidRPr="00A62E9B">
        <w:rPr>
          <w:rFonts w:asciiTheme="majorBidi" w:hAnsiTheme="majorBidi" w:cstheme="majorBidi"/>
          <w:szCs w:val="24"/>
        </w:rPr>
        <w:t xml:space="preserve">a </w:t>
      </w:r>
      <w:r w:rsidRPr="00A62E9B">
        <w:rPr>
          <w:rFonts w:asciiTheme="majorBidi" w:hAnsiTheme="majorBidi" w:cstheme="majorBidi"/>
          <w:szCs w:val="24"/>
        </w:rPr>
        <w:t>calculati</w:t>
      </w:r>
      <w:r w:rsidR="00DF32BA" w:rsidRPr="00A62E9B">
        <w:rPr>
          <w:rFonts w:asciiTheme="majorBidi" w:hAnsiTheme="majorBidi" w:cstheme="majorBidi"/>
          <w:szCs w:val="24"/>
        </w:rPr>
        <w:t xml:space="preserve">on of </w:t>
      </w:r>
      <w:r w:rsidRPr="00A62E9B">
        <w:rPr>
          <w:rFonts w:asciiTheme="majorBidi" w:hAnsiTheme="majorBidi" w:cstheme="majorBidi"/>
          <w:szCs w:val="24"/>
        </w:rPr>
        <w:t>the payment to income ratio (PTI)</w:t>
      </w:r>
      <w:r w:rsidR="00DF32BA" w:rsidRPr="00A62E9B">
        <w:rPr>
          <w:rFonts w:asciiTheme="majorBidi" w:hAnsiTheme="majorBidi" w:cstheme="majorBidi"/>
          <w:szCs w:val="24"/>
        </w:rPr>
        <w:t>,</w:t>
      </w:r>
      <w:r w:rsidRPr="00A62E9B">
        <w:rPr>
          <w:rFonts w:asciiTheme="majorBidi" w:hAnsiTheme="majorBidi" w:cstheme="majorBidi"/>
          <w:szCs w:val="24"/>
        </w:rPr>
        <w:t xml:space="preserve"> when taking an additional housing loan in addition to the existing housing loan</w:t>
      </w:r>
      <w:r w:rsidR="00B277A7" w:rsidRPr="00A62E9B">
        <w:rPr>
          <w:rFonts w:asciiTheme="majorBidi" w:hAnsiTheme="majorBidi" w:cstheme="majorBidi"/>
          <w:szCs w:val="24"/>
        </w:rPr>
        <w:t xml:space="preserve"> secured by a pledge of </w:t>
      </w:r>
      <w:r w:rsidR="00DF32BA" w:rsidRPr="00A62E9B">
        <w:rPr>
          <w:rFonts w:asciiTheme="majorBidi" w:hAnsiTheme="majorBidi" w:cstheme="majorBidi"/>
          <w:szCs w:val="24"/>
        </w:rPr>
        <w:t xml:space="preserve">the same </w:t>
      </w:r>
      <w:r w:rsidR="00B277A7" w:rsidRPr="00A62E9B">
        <w:rPr>
          <w:rFonts w:asciiTheme="majorBidi" w:hAnsiTheme="majorBidi" w:cstheme="majorBidi"/>
          <w:szCs w:val="24"/>
        </w:rPr>
        <w:t>property, should examine the monthly payment in respect of the total credit secured by th</w:t>
      </w:r>
      <w:r w:rsidR="00DF32BA" w:rsidRPr="00A62E9B">
        <w:rPr>
          <w:rFonts w:asciiTheme="majorBidi" w:hAnsiTheme="majorBidi" w:cstheme="majorBidi"/>
          <w:szCs w:val="24"/>
        </w:rPr>
        <w:t xml:space="preserve">at </w:t>
      </w:r>
      <w:r w:rsidR="00B277A7" w:rsidRPr="00A62E9B">
        <w:rPr>
          <w:rFonts w:asciiTheme="majorBidi" w:hAnsiTheme="majorBidi" w:cstheme="majorBidi"/>
          <w:szCs w:val="24"/>
        </w:rPr>
        <w:t>property.</w:t>
      </w:r>
    </w:p>
    <w:p w:rsidR="00B277A7" w:rsidRPr="00A62E9B" w:rsidRDefault="00166B41" w:rsidP="008964B2">
      <w:pPr>
        <w:pStyle w:val="aa"/>
        <w:numPr>
          <w:ilvl w:val="0"/>
          <w:numId w:val="9"/>
        </w:numPr>
        <w:jc w:val="both"/>
        <w:rPr>
          <w:rFonts w:asciiTheme="majorBidi" w:hAnsiTheme="majorBidi" w:cstheme="majorBidi"/>
          <w:szCs w:val="24"/>
        </w:rPr>
      </w:pPr>
      <w:r w:rsidRPr="00A62E9B">
        <w:rPr>
          <w:rFonts w:asciiTheme="majorBidi" w:hAnsiTheme="majorBidi" w:cstheme="majorBidi"/>
          <w:szCs w:val="24"/>
        </w:rPr>
        <w:t>T</w:t>
      </w:r>
      <w:r w:rsidR="00B277A7" w:rsidRPr="00A62E9B">
        <w:rPr>
          <w:rFonts w:asciiTheme="majorBidi" w:hAnsiTheme="majorBidi" w:cstheme="majorBidi"/>
          <w:szCs w:val="24"/>
        </w:rPr>
        <w:t xml:space="preserve">he maximum amount of the property’s value, established in Section 4a(2) of Proper Conduct of Banking Business Directive no. 329 that the banking corporation can take into account for calculating the limitation on the loan to value ratio (LTV) with regard to a reduced-price housing loan, </w:t>
      </w:r>
      <w:r w:rsidRPr="00A62E9B">
        <w:rPr>
          <w:rFonts w:asciiTheme="majorBidi" w:hAnsiTheme="majorBidi" w:cstheme="majorBidi"/>
          <w:szCs w:val="24"/>
        </w:rPr>
        <w:t xml:space="preserve">will be updated </w:t>
      </w:r>
      <w:r w:rsidR="00B277A7" w:rsidRPr="00A62E9B">
        <w:rPr>
          <w:rFonts w:asciiTheme="majorBidi" w:hAnsiTheme="majorBidi" w:cstheme="majorBidi"/>
          <w:szCs w:val="24"/>
        </w:rPr>
        <w:t>in accordance with the rate of increase in the Consumer Price Index (CPI).</w:t>
      </w:r>
    </w:p>
    <w:p w:rsidR="00B277A7" w:rsidRPr="00A62E9B" w:rsidRDefault="00B277A7" w:rsidP="00EC1C78">
      <w:pPr>
        <w:pStyle w:val="aa"/>
        <w:numPr>
          <w:ilvl w:val="0"/>
          <w:numId w:val="9"/>
        </w:numPr>
        <w:jc w:val="both"/>
        <w:rPr>
          <w:rFonts w:asciiTheme="majorBidi" w:hAnsiTheme="majorBidi" w:cstheme="majorBidi"/>
          <w:szCs w:val="24"/>
        </w:rPr>
      </w:pPr>
      <w:r w:rsidRPr="00A62E9B">
        <w:rPr>
          <w:rFonts w:asciiTheme="majorBidi" w:hAnsiTheme="majorBidi" w:cstheme="majorBidi"/>
          <w:szCs w:val="24"/>
        </w:rPr>
        <w:t xml:space="preserve">To make permanent a temporary </w:t>
      </w:r>
      <w:r w:rsidR="00CE0256" w:rsidRPr="00A62E9B">
        <w:rPr>
          <w:rFonts w:asciiTheme="majorBidi" w:hAnsiTheme="majorBidi" w:cstheme="majorBidi"/>
          <w:szCs w:val="24"/>
        </w:rPr>
        <w:t>reli</w:t>
      </w:r>
      <w:r w:rsidR="00EC1C78" w:rsidRPr="00A62E9B">
        <w:rPr>
          <w:rFonts w:asciiTheme="majorBidi" w:hAnsiTheme="majorBidi" w:cstheme="majorBidi"/>
          <w:szCs w:val="24"/>
        </w:rPr>
        <w:t>e</w:t>
      </w:r>
      <w:r w:rsidR="00CE0256" w:rsidRPr="00A62E9B">
        <w:rPr>
          <w:rFonts w:asciiTheme="majorBidi" w:hAnsiTheme="majorBidi" w:cstheme="majorBidi"/>
          <w:szCs w:val="24"/>
        </w:rPr>
        <w:t>f</w:t>
      </w:r>
      <w:r w:rsidRPr="00A62E9B">
        <w:rPr>
          <w:rFonts w:asciiTheme="majorBidi" w:hAnsiTheme="majorBidi" w:cstheme="majorBidi"/>
          <w:szCs w:val="24"/>
        </w:rPr>
        <w:t xml:space="preserve">, according to which a banking corporation may approve a housing loan that is not for purchasing a property right (“all-purpose loan”) even if the LTV exceeds 70 percent, provided that the </w:t>
      </w:r>
      <w:r w:rsidR="00CE0256" w:rsidRPr="00A62E9B">
        <w:rPr>
          <w:rFonts w:asciiTheme="majorBidi" w:hAnsiTheme="majorBidi" w:cstheme="majorBidi"/>
          <w:szCs w:val="24"/>
        </w:rPr>
        <w:t xml:space="preserve">portion </w:t>
      </w:r>
      <w:r w:rsidRPr="00A62E9B">
        <w:rPr>
          <w:rFonts w:asciiTheme="majorBidi" w:hAnsiTheme="majorBidi" w:cstheme="majorBidi"/>
          <w:szCs w:val="24"/>
        </w:rPr>
        <w:t>of the loan that exceeds an LTV of 50 percent does not exceed NIS 200,000. T</w:t>
      </w:r>
      <w:r w:rsidR="00CE0256" w:rsidRPr="00A62E9B">
        <w:rPr>
          <w:rFonts w:asciiTheme="majorBidi" w:hAnsiTheme="majorBidi" w:cstheme="majorBidi"/>
          <w:szCs w:val="24"/>
        </w:rPr>
        <w:t xml:space="preserve">his relief </w:t>
      </w:r>
      <w:r w:rsidRPr="00A62E9B">
        <w:rPr>
          <w:rFonts w:asciiTheme="majorBidi" w:hAnsiTheme="majorBidi" w:cstheme="majorBidi"/>
          <w:szCs w:val="24"/>
        </w:rPr>
        <w:t xml:space="preserve">was originally granted within the framework of Temporary Directive no. 251 on “Adjustments to Proper Conduct of </w:t>
      </w:r>
      <w:bookmarkStart w:id="0" w:name="_GoBack"/>
      <w:bookmarkEnd w:id="0"/>
      <w:r w:rsidRPr="00A62E9B">
        <w:rPr>
          <w:rFonts w:asciiTheme="majorBidi" w:hAnsiTheme="majorBidi" w:cstheme="majorBidi"/>
          <w:szCs w:val="24"/>
        </w:rPr>
        <w:t xml:space="preserve">Banking Business Directives in order to deal with the Swords of Iron </w:t>
      </w:r>
      <w:r w:rsidR="00CE0256" w:rsidRPr="00A62E9B">
        <w:rPr>
          <w:rFonts w:asciiTheme="majorBidi" w:hAnsiTheme="majorBidi" w:cstheme="majorBidi"/>
          <w:szCs w:val="24"/>
        </w:rPr>
        <w:t>W</w:t>
      </w:r>
      <w:r w:rsidRPr="00A62E9B">
        <w:rPr>
          <w:rFonts w:asciiTheme="majorBidi" w:hAnsiTheme="majorBidi" w:cstheme="majorBidi"/>
          <w:szCs w:val="24"/>
        </w:rPr>
        <w:t>ar</w:t>
      </w:r>
      <w:r w:rsidR="00CE0256" w:rsidRPr="00A62E9B">
        <w:rPr>
          <w:rFonts w:asciiTheme="majorBidi" w:hAnsiTheme="majorBidi" w:cstheme="majorBidi"/>
          <w:szCs w:val="24"/>
        </w:rPr>
        <w:t>”</w:t>
      </w:r>
      <w:r w:rsidRPr="00A62E9B">
        <w:rPr>
          <w:rFonts w:asciiTheme="majorBidi" w:hAnsiTheme="majorBidi" w:cstheme="majorBidi"/>
          <w:szCs w:val="24"/>
        </w:rPr>
        <w:t>, from December 28, 2023.</w:t>
      </w:r>
    </w:p>
    <w:p w:rsidR="00B277A7" w:rsidRPr="00A62E9B" w:rsidRDefault="00B277A7" w:rsidP="008964B2">
      <w:pPr>
        <w:bidi w:val="0"/>
        <w:jc w:val="both"/>
        <w:rPr>
          <w:rFonts w:asciiTheme="majorBidi" w:hAnsiTheme="majorBidi" w:cstheme="majorBidi"/>
        </w:rPr>
      </w:pPr>
      <w:r w:rsidRPr="00A62E9B">
        <w:rPr>
          <w:rFonts w:asciiTheme="majorBidi" w:hAnsiTheme="majorBidi" w:cstheme="majorBidi"/>
        </w:rPr>
        <w:t xml:space="preserve">The Supervisor of Banks today published a temporary directive for public comment, which regulates these steps and is attached to this notice. </w:t>
      </w:r>
    </w:p>
    <w:p w:rsidR="00B277A7" w:rsidRPr="002203F4" w:rsidRDefault="00B277A7" w:rsidP="008964B2">
      <w:pPr>
        <w:bidi w:val="0"/>
        <w:jc w:val="both"/>
        <w:rPr>
          <w:rFonts w:asciiTheme="majorBidi" w:hAnsiTheme="majorBidi" w:cstheme="majorBidi"/>
        </w:rPr>
      </w:pPr>
      <w:r w:rsidRPr="00A62E9B">
        <w:rPr>
          <w:rFonts w:asciiTheme="majorBidi" w:hAnsiTheme="majorBidi" w:cstheme="majorBidi"/>
        </w:rPr>
        <w:t>The Bank of Israel will continue to closely follow and analyze housing market developments, and will take additional steps as necessary.</w:t>
      </w:r>
    </w:p>
    <w:p w:rsidR="000A7388" w:rsidRPr="002203F4" w:rsidRDefault="000A7388" w:rsidP="008964B2">
      <w:pPr>
        <w:bidi w:val="0"/>
        <w:jc w:val="both"/>
        <w:rPr>
          <w:rFonts w:asciiTheme="majorBidi" w:hAnsiTheme="majorBidi" w:cstheme="majorBidi"/>
          <w:sz w:val="20"/>
          <w:szCs w:val="20"/>
        </w:rPr>
      </w:pPr>
    </w:p>
    <w:sectPr w:rsidR="000A7388" w:rsidRPr="002203F4"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A62E9B">
      <w:rPr>
        <w:b/>
        <w:bCs/>
        <w:noProof/>
        <w:sz w:val="18"/>
        <w:szCs w:val="18"/>
      </w:rPr>
      <w:t>1</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A62E9B">
      <w:rPr>
        <w:b/>
        <w:bCs/>
        <w:noProof/>
        <w:sz w:val="18"/>
        <w:szCs w:val="18"/>
      </w:rPr>
      <w:t>1</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85B0727"/>
    <w:multiLevelType w:val="hybridMultilevel"/>
    <w:tmpl w:val="15804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77054E5C"/>
    <w:multiLevelType w:val="hybridMultilevel"/>
    <w:tmpl w:val="C58048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4"/>
  </w:num>
  <w:num w:numId="5">
    <w:abstractNumId w:val="3"/>
  </w:num>
  <w:num w:numId="6">
    <w:abstractNumId w:val="1"/>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18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4C89"/>
    <w:rsid w:val="00007FFE"/>
    <w:rsid w:val="0001385E"/>
    <w:rsid w:val="0001413F"/>
    <w:rsid w:val="00022DA8"/>
    <w:rsid w:val="00033569"/>
    <w:rsid w:val="00051247"/>
    <w:rsid w:val="000526A0"/>
    <w:rsid w:val="0005726E"/>
    <w:rsid w:val="00065D9C"/>
    <w:rsid w:val="000A520E"/>
    <w:rsid w:val="000A7388"/>
    <w:rsid w:val="000C710C"/>
    <w:rsid w:val="000D4E65"/>
    <w:rsid w:val="000F48F6"/>
    <w:rsid w:val="000F4BF2"/>
    <w:rsid w:val="001001A2"/>
    <w:rsid w:val="00101B55"/>
    <w:rsid w:val="00130245"/>
    <w:rsid w:val="001428C4"/>
    <w:rsid w:val="00143F3A"/>
    <w:rsid w:val="00151D84"/>
    <w:rsid w:val="001542B9"/>
    <w:rsid w:val="00160B25"/>
    <w:rsid w:val="00162F5E"/>
    <w:rsid w:val="00165CB6"/>
    <w:rsid w:val="00166B41"/>
    <w:rsid w:val="00175CDA"/>
    <w:rsid w:val="001815E1"/>
    <w:rsid w:val="00182CF0"/>
    <w:rsid w:val="00185975"/>
    <w:rsid w:val="001963C6"/>
    <w:rsid w:val="001A4816"/>
    <w:rsid w:val="001B4E73"/>
    <w:rsid w:val="001C1BC1"/>
    <w:rsid w:val="001C388F"/>
    <w:rsid w:val="001C71E8"/>
    <w:rsid w:val="001D381C"/>
    <w:rsid w:val="001F57DE"/>
    <w:rsid w:val="00202E77"/>
    <w:rsid w:val="002117DC"/>
    <w:rsid w:val="0021327F"/>
    <w:rsid w:val="002203F4"/>
    <w:rsid w:val="002235F5"/>
    <w:rsid w:val="002271A2"/>
    <w:rsid w:val="00237CE5"/>
    <w:rsid w:val="00247387"/>
    <w:rsid w:val="00252C62"/>
    <w:rsid w:val="00273AE1"/>
    <w:rsid w:val="00281C70"/>
    <w:rsid w:val="00283FB7"/>
    <w:rsid w:val="0029640A"/>
    <w:rsid w:val="00297100"/>
    <w:rsid w:val="002A0D2A"/>
    <w:rsid w:val="002B199E"/>
    <w:rsid w:val="002B48CC"/>
    <w:rsid w:val="002C6A25"/>
    <w:rsid w:val="002F4149"/>
    <w:rsid w:val="002F5F92"/>
    <w:rsid w:val="002F7EEF"/>
    <w:rsid w:val="0030279B"/>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16D8"/>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82E08"/>
    <w:rsid w:val="00492391"/>
    <w:rsid w:val="004A20A5"/>
    <w:rsid w:val="004D02F4"/>
    <w:rsid w:val="004D32A7"/>
    <w:rsid w:val="004D5D6F"/>
    <w:rsid w:val="004E25DD"/>
    <w:rsid w:val="004E4AEC"/>
    <w:rsid w:val="004F4341"/>
    <w:rsid w:val="0050183E"/>
    <w:rsid w:val="00513B3C"/>
    <w:rsid w:val="005165DB"/>
    <w:rsid w:val="005221FC"/>
    <w:rsid w:val="00523B40"/>
    <w:rsid w:val="005406F8"/>
    <w:rsid w:val="00540B03"/>
    <w:rsid w:val="005462D0"/>
    <w:rsid w:val="0055455A"/>
    <w:rsid w:val="00555C8A"/>
    <w:rsid w:val="005576E1"/>
    <w:rsid w:val="00566FAC"/>
    <w:rsid w:val="00567733"/>
    <w:rsid w:val="005713A8"/>
    <w:rsid w:val="00581833"/>
    <w:rsid w:val="00583DAD"/>
    <w:rsid w:val="0059277F"/>
    <w:rsid w:val="00592A99"/>
    <w:rsid w:val="00596FB4"/>
    <w:rsid w:val="00597EED"/>
    <w:rsid w:val="005A2991"/>
    <w:rsid w:val="005D0AF8"/>
    <w:rsid w:val="005D6DAF"/>
    <w:rsid w:val="005F3A83"/>
    <w:rsid w:val="005F3E47"/>
    <w:rsid w:val="0060215A"/>
    <w:rsid w:val="0061692C"/>
    <w:rsid w:val="006216F9"/>
    <w:rsid w:val="00621BB5"/>
    <w:rsid w:val="0062658F"/>
    <w:rsid w:val="00640EEA"/>
    <w:rsid w:val="0064482B"/>
    <w:rsid w:val="00652D53"/>
    <w:rsid w:val="00662FB1"/>
    <w:rsid w:val="006638B8"/>
    <w:rsid w:val="0067516F"/>
    <w:rsid w:val="006832D0"/>
    <w:rsid w:val="006A36CC"/>
    <w:rsid w:val="006A66C5"/>
    <w:rsid w:val="006B029C"/>
    <w:rsid w:val="006B4683"/>
    <w:rsid w:val="006B5BA9"/>
    <w:rsid w:val="006B679C"/>
    <w:rsid w:val="006C714C"/>
    <w:rsid w:val="006D3582"/>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220"/>
    <w:rsid w:val="007926C7"/>
    <w:rsid w:val="00793399"/>
    <w:rsid w:val="007A10BA"/>
    <w:rsid w:val="007A2030"/>
    <w:rsid w:val="007A589B"/>
    <w:rsid w:val="007A64CC"/>
    <w:rsid w:val="007B2769"/>
    <w:rsid w:val="007C6400"/>
    <w:rsid w:val="007D57EE"/>
    <w:rsid w:val="007E0C1F"/>
    <w:rsid w:val="007E1CB3"/>
    <w:rsid w:val="007F7993"/>
    <w:rsid w:val="0081026B"/>
    <w:rsid w:val="00830099"/>
    <w:rsid w:val="008403F1"/>
    <w:rsid w:val="00842057"/>
    <w:rsid w:val="00842BAF"/>
    <w:rsid w:val="00857317"/>
    <w:rsid w:val="0086005B"/>
    <w:rsid w:val="00864C55"/>
    <w:rsid w:val="0086637C"/>
    <w:rsid w:val="00884167"/>
    <w:rsid w:val="008914B1"/>
    <w:rsid w:val="00892A46"/>
    <w:rsid w:val="008964B2"/>
    <w:rsid w:val="008A7212"/>
    <w:rsid w:val="008B2431"/>
    <w:rsid w:val="008B257A"/>
    <w:rsid w:val="008C082F"/>
    <w:rsid w:val="008C366C"/>
    <w:rsid w:val="008C6558"/>
    <w:rsid w:val="008D390B"/>
    <w:rsid w:val="008D6FB6"/>
    <w:rsid w:val="008E38F1"/>
    <w:rsid w:val="008E4D8E"/>
    <w:rsid w:val="008F17A3"/>
    <w:rsid w:val="008F1FCF"/>
    <w:rsid w:val="00900453"/>
    <w:rsid w:val="00904100"/>
    <w:rsid w:val="0090462E"/>
    <w:rsid w:val="00905463"/>
    <w:rsid w:val="0091307F"/>
    <w:rsid w:val="00933EF4"/>
    <w:rsid w:val="0093574D"/>
    <w:rsid w:val="009508AD"/>
    <w:rsid w:val="00961BD6"/>
    <w:rsid w:val="0097278E"/>
    <w:rsid w:val="009744A0"/>
    <w:rsid w:val="00976781"/>
    <w:rsid w:val="00986270"/>
    <w:rsid w:val="009A256E"/>
    <w:rsid w:val="009B166B"/>
    <w:rsid w:val="009B66C8"/>
    <w:rsid w:val="009C21B3"/>
    <w:rsid w:val="009C2C42"/>
    <w:rsid w:val="009C43A2"/>
    <w:rsid w:val="009E3D4E"/>
    <w:rsid w:val="009E6A28"/>
    <w:rsid w:val="009F010F"/>
    <w:rsid w:val="009F3FB7"/>
    <w:rsid w:val="00A117D2"/>
    <w:rsid w:val="00A17420"/>
    <w:rsid w:val="00A239A7"/>
    <w:rsid w:val="00A3549C"/>
    <w:rsid w:val="00A374AC"/>
    <w:rsid w:val="00A37869"/>
    <w:rsid w:val="00A44A88"/>
    <w:rsid w:val="00A62E9B"/>
    <w:rsid w:val="00A65B34"/>
    <w:rsid w:val="00A72122"/>
    <w:rsid w:val="00A74752"/>
    <w:rsid w:val="00A749E1"/>
    <w:rsid w:val="00A81B6C"/>
    <w:rsid w:val="00A94775"/>
    <w:rsid w:val="00A962CF"/>
    <w:rsid w:val="00AB75B4"/>
    <w:rsid w:val="00AC74EC"/>
    <w:rsid w:val="00AD7CC8"/>
    <w:rsid w:val="00AE40E6"/>
    <w:rsid w:val="00AE6E25"/>
    <w:rsid w:val="00AF6B3A"/>
    <w:rsid w:val="00B054AD"/>
    <w:rsid w:val="00B108AE"/>
    <w:rsid w:val="00B13C9D"/>
    <w:rsid w:val="00B2426C"/>
    <w:rsid w:val="00B277A7"/>
    <w:rsid w:val="00B40E49"/>
    <w:rsid w:val="00B533D5"/>
    <w:rsid w:val="00B54F09"/>
    <w:rsid w:val="00B6008A"/>
    <w:rsid w:val="00B71972"/>
    <w:rsid w:val="00B84789"/>
    <w:rsid w:val="00B85769"/>
    <w:rsid w:val="00B87F00"/>
    <w:rsid w:val="00B9176B"/>
    <w:rsid w:val="00B96022"/>
    <w:rsid w:val="00BA7037"/>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4F11"/>
    <w:rsid w:val="00C7643D"/>
    <w:rsid w:val="00C76E10"/>
    <w:rsid w:val="00CB5D78"/>
    <w:rsid w:val="00CC58F8"/>
    <w:rsid w:val="00CD0A35"/>
    <w:rsid w:val="00CD5F91"/>
    <w:rsid w:val="00CD6927"/>
    <w:rsid w:val="00CE0256"/>
    <w:rsid w:val="00CE0A3E"/>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32BA"/>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5D34"/>
    <w:rsid w:val="00EB0782"/>
    <w:rsid w:val="00EB0DEC"/>
    <w:rsid w:val="00EB44F5"/>
    <w:rsid w:val="00EB669A"/>
    <w:rsid w:val="00EC126C"/>
    <w:rsid w:val="00EC13FB"/>
    <w:rsid w:val="00EC1C78"/>
    <w:rsid w:val="00EC48D4"/>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94A6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table" w:styleId="ae">
    <w:name w:val="Table Grid"/>
    <w:basedOn w:val="a1"/>
    <w:uiPriority w:val="59"/>
    <w:rsid w:val="009C43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גוף טקסט תו"/>
    <w:basedOn w:val="a0"/>
    <w:link w:val="af0"/>
    <w:rsid w:val="009C43A2"/>
    <w:rPr>
      <w:sz w:val="22"/>
      <w:szCs w:val="22"/>
    </w:rPr>
  </w:style>
  <w:style w:type="paragraph" w:styleId="af0">
    <w:name w:val="Body Text"/>
    <w:basedOn w:val="a"/>
    <w:link w:val="af"/>
    <w:qFormat/>
    <w:rsid w:val="009C43A2"/>
    <w:pPr>
      <w:widowControl w:val="0"/>
      <w:bidi w:val="0"/>
      <w:spacing w:after="160" w:line="276" w:lineRule="auto"/>
    </w:pPr>
    <w:rPr>
      <w:sz w:val="22"/>
      <w:szCs w:val="22"/>
    </w:rPr>
  </w:style>
  <w:style w:type="character" w:customStyle="1" w:styleId="BodyTextChar1">
    <w:name w:val="Body Text Char1"/>
    <w:basedOn w:val="a0"/>
    <w:semiHidden/>
    <w:rsid w:val="009C43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02BF1-7C31-457B-9C3E-9D196C811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2500</Characters>
  <Application>Microsoft Office Word</Application>
  <DocSecurity>4</DocSecurity>
  <Lines>20</Lines>
  <Paragraphs>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2970</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2025-12-17T10:34:00Z</dcterms:created>
  <dcterms:modified xsi:type="dcterms:W3CDTF">2025-12-17T10:34:00Z</dcterms:modified>
</cp:coreProperties>
</file>