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E3553D" w:rsidTr="0029736D">
        <w:tc>
          <w:tcPr>
            <w:tcW w:w="3343" w:type="dxa"/>
            <w:tcBorders>
              <w:top w:val="nil"/>
              <w:left w:val="nil"/>
              <w:bottom w:val="nil"/>
              <w:right w:val="nil"/>
            </w:tcBorders>
            <w:vAlign w:val="center"/>
          </w:tcPr>
          <w:p w:rsidR="009005BA" w:rsidRPr="00E3553D" w:rsidRDefault="009005BA" w:rsidP="0029736D">
            <w:pPr>
              <w:rPr>
                <w:rFonts w:ascii="Calibri" w:hAnsi="Calibri" w:cs="Calibri"/>
                <w:b/>
                <w:bCs/>
                <w:sz w:val="24"/>
                <w:szCs w:val="24"/>
                <w:rtl/>
              </w:rPr>
            </w:pPr>
            <w:r w:rsidRPr="00E3553D">
              <w:rPr>
                <w:rFonts w:ascii="Calibri" w:hAnsi="Calibri" w:cs="Calibri"/>
                <w:b/>
                <w:bCs/>
                <w:sz w:val="24"/>
                <w:szCs w:val="24"/>
                <w:rtl/>
              </w:rPr>
              <w:t>בנק ישראל</w:t>
            </w:r>
          </w:p>
          <w:p w:rsidR="009005BA" w:rsidRPr="00E3553D" w:rsidRDefault="009005BA" w:rsidP="0029736D">
            <w:pPr>
              <w:rPr>
                <w:rFonts w:ascii="Calibri" w:hAnsi="Calibri" w:cs="Calibri"/>
                <w:b/>
                <w:bCs/>
                <w:sz w:val="28"/>
                <w:szCs w:val="28"/>
              </w:rPr>
            </w:pPr>
            <w:r w:rsidRPr="00E3553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E3553D" w:rsidRDefault="009005BA" w:rsidP="0029736D">
            <w:pPr>
              <w:jc w:val="center"/>
              <w:rPr>
                <w:rFonts w:ascii="Calibri" w:hAnsi="Calibri" w:cs="Calibri"/>
              </w:rPr>
            </w:pPr>
            <w:r w:rsidRPr="00E3553D">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3553D" w:rsidRDefault="009005BA" w:rsidP="009005BA">
            <w:pPr>
              <w:jc w:val="right"/>
              <w:rPr>
                <w:rFonts w:ascii="Calibri" w:hAnsi="Calibri" w:cs="Calibri"/>
                <w:rtl/>
              </w:rPr>
            </w:pPr>
            <w:r w:rsidRPr="00E3553D">
              <w:rPr>
                <w:rFonts w:ascii="Calibri" w:hAnsi="Calibri" w:cs="Calibri"/>
                <w:highlight w:val="green"/>
                <w:rtl/>
              </w:rPr>
              <w:t>‏</w:t>
            </w:r>
            <w:r w:rsidRPr="00E3553D">
              <w:rPr>
                <w:rFonts w:ascii="Calibri" w:hAnsi="Calibri" w:cs="Calibri"/>
                <w:rtl/>
              </w:rPr>
              <w:t xml:space="preserve">ירושלים, </w:t>
            </w: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 \h</w:instrText>
            </w:r>
            <w:r w:rsidRPr="00E3553D">
              <w:rPr>
                <w:rFonts w:ascii="Calibri" w:hAnsi="Calibri" w:cs="Calibri"/>
                <w:rtl/>
              </w:rPr>
              <w:instrText xml:space="preserve"> </w:instrText>
            </w:r>
            <w:r w:rsidRPr="00E3553D">
              <w:rPr>
                <w:rFonts w:ascii="Calibri" w:hAnsi="Calibri" w:cs="Calibri"/>
                <w:rtl/>
              </w:rPr>
              <w:fldChar w:fldCharType="separate"/>
            </w:r>
            <w:r w:rsidR="00727A12">
              <w:rPr>
                <w:rFonts w:ascii="Calibri" w:hAnsi="Calibri" w:cs="Calibri"/>
                <w:noProof/>
                <w:rtl/>
              </w:rPr>
              <w:t>‏ל' ניסן, תשפ"ה</w:t>
            </w:r>
            <w:r w:rsidRPr="00E3553D">
              <w:rPr>
                <w:rFonts w:ascii="Calibri" w:hAnsi="Calibri" w:cs="Calibri"/>
                <w:rtl/>
              </w:rPr>
              <w:fldChar w:fldCharType="end"/>
            </w:r>
          </w:p>
          <w:p w:rsidR="009005BA" w:rsidRPr="00E3553D" w:rsidRDefault="009005BA" w:rsidP="009005BA">
            <w:pPr>
              <w:jc w:val="right"/>
              <w:rPr>
                <w:rFonts w:ascii="Calibri" w:hAnsi="Calibri" w:cs="Calibri"/>
                <w:highlight w:val="green"/>
              </w:rPr>
            </w:pP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w:instrText>
            </w:r>
            <w:r w:rsidRPr="00E3553D">
              <w:rPr>
                <w:rFonts w:ascii="Calibri" w:hAnsi="Calibri" w:cs="Calibri"/>
                <w:rtl/>
              </w:rPr>
              <w:instrText xml:space="preserve">" </w:instrText>
            </w:r>
            <w:r w:rsidRPr="00E3553D">
              <w:rPr>
                <w:rFonts w:ascii="Calibri" w:hAnsi="Calibri" w:cs="Calibri"/>
                <w:rtl/>
              </w:rPr>
              <w:fldChar w:fldCharType="separate"/>
            </w:r>
            <w:r w:rsidR="00727A12">
              <w:rPr>
                <w:rFonts w:ascii="Calibri" w:hAnsi="Calibri" w:cs="Calibri"/>
                <w:noProof/>
                <w:rtl/>
              </w:rPr>
              <w:t>‏28 אפריל, 2025</w:t>
            </w:r>
            <w:r w:rsidRPr="00E3553D">
              <w:rPr>
                <w:rFonts w:ascii="Calibri" w:hAnsi="Calibri" w:cs="Calibri"/>
                <w:rtl/>
              </w:rPr>
              <w:fldChar w:fldCharType="end"/>
            </w:r>
          </w:p>
        </w:tc>
      </w:tr>
    </w:tbl>
    <w:p w:rsidR="009005BA" w:rsidRPr="00E3553D" w:rsidRDefault="009005BA" w:rsidP="007B0741">
      <w:pPr>
        <w:tabs>
          <w:tab w:val="left" w:pos="2315"/>
        </w:tabs>
        <w:rPr>
          <w:rFonts w:ascii="Calibri" w:hAnsi="Calibri" w:cs="Calibri"/>
          <w:sz w:val="24"/>
          <w:szCs w:val="24"/>
          <w:rtl/>
        </w:rPr>
      </w:pPr>
    </w:p>
    <w:p w:rsidR="00727A12" w:rsidRDefault="008E761A" w:rsidP="00727A12">
      <w:pPr>
        <w:rPr>
          <w:rFonts w:cs="Calibri"/>
          <w:b/>
          <w:bCs/>
          <w:sz w:val="28"/>
          <w:szCs w:val="28"/>
          <w:rtl/>
        </w:rPr>
      </w:pPr>
      <w:r w:rsidRPr="00E3553D">
        <w:rPr>
          <w:rFonts w:ascii="Calibri" w:hAnsi="Calibri" w:cs="Calibri"/>
          <w:sz w:val="24"/>
          <w:szCs w:val="24"/>
          <w:rtl/>
        </w:rPr>
        <w:t>הודעה לעיתונות:</w:t>
      </w:r>
      <w:r w:rsidR="00727A12" w:rsidRPr="005E1DF5">
        <w:rPr>
          <w:rFonts w:cstheme="minorHAnsi" w:hint="cs"/>
          <w:b/>
          <w:bCs/>
          <w:sz w:val="28"/>
          <w:szCs w:val="28"/>
          <w:rtl/>
        </w:rPr>
        <w:t xml:space="preserve"> </w:t>
      </w:r>
    </w:p>
    <w:p w:rsidR="00727A12" w:rsidRPr="005E1DF5" w:rsidRDefault="00727A12" w:rsidP="00727A12">
      <w:pPr>
        <w:jc w:val="center"/>
        <w:rPr>
          <w:rFonts w:cstheme="minorHAnsi"/>
          <w:b/>
          <w:bCs/>
          <w:sz w:val="28"/>
          <w:szCs w:val="28"/>
          <w:rtl/>
        </w:rPr>
      </w:pPr>
      <w:bookmarkStart w:id="0" w:name="_GoBack"/>
      <w:r w:rsidRPr="00434490">
        <w:rPr>
          <w:rFonts w:cs="Calibri"/>
          <w:b/>
          <w:bCs/>
          <w:sz w:val="28"/>
          <w:szCs w:val="28"/>
          <w:rtl/>
        </w:rPr>
        <w:t>שישה גופים נוספים עלו לאוויר והחלו לפעול במערכות הליבה של התחום הפיננסי בישראל</w:t>
      </w:r>
    </w:p>
    <w:bookmarkEnd w:id="0"/>
    <w:p w:rsidR="00727A12" w:rsidRDefault="00727A12" w:rsidP="00727A12">
      <w:pPr>
        <w:spacing w:line="360" w:lineRule="auto"/>
        <w:jc w:val="both"/>
        <w:rPr>
          <w:rFonts w:cstheme="minorHAnsi"/>
          <w:sz w:val="24"/>
          <w:szCs w:val="24"/>
          <w:rtl/>
        </w:rPr>
      </w:pPr>
      <w:r w:rsidRPr="001B7A9B">
        <w:rPr>
          <w:rFonts w:cstheme="minorHAnsi"/>
          <w:sz w:val="24"/>
          <w:szCs w:val="24"/>
          <w:rtl/>
        </w:rPr>
        <w:t>מחלקת מערכות תשלומים וסליקה בתפקידה כמפקחת על מערכות התשלומים</w:t>
      </w:r>
      <w:r>
        <w:rPr>
          <w:rFonts w:cstheme="minorHAnsi" w:hint="cs"/>
          <w:sz w:val="24"/>
          <w:szCs w:val="24"/>
          <w:rtl/>
        </w:rPr>
        <w:t xml:space="preserve"> מודיעה על השלמת תהליך הגישה למערכות התשלומים של שישה גופים חוץ-בנקאיים נוספים. קבלת גישה למערכות התשלומים מאפשרת לשחקנים החוץ-בנקאיים החדשים לייעל את אופן העברת התשלומים ולחלקם אף מאפשרת להציע שירותים ופתרונות תשלום חדשים.</w:t>
      </w:r>
    </w:p>
    <w:p w:rsidR="00727A12" w:rsidRDefault="00727A12" w:rsidP="00727A12">
      <w:pPr>
        <w:spacing w:line="360" w:lineRule="auto"/>
        <w:jc w:val="both"/>
        <w:rPr>
          <w:rFonts w:cstheme="minorHAnsi"/>
          <w:sz w:val="24"/>
          <w:szCs w:val="24"/>
          <w:rtl/>
        </w:rPr>
      </w:pPr>
      <w:r>
        <w:rPr>
          <w:rFonts w:cstheme="minorHAnsi" w:hint="cs"/>
          <w:sz w:val="24"/>
          <w:szCs w:val="24"/>
          <w:rtl/>
        </w:rPr>
        <w:t>כחלק ממדיניות ארוכת-טווח, הפיקוח על מערכות תשלומים בבנק ישראל נקט בשנים האחרונות בפעולות רבות לעידוד התחרות בשוק התשלומים בישראל תוך שמירה על יציבותן ויעילותן של מערכות התשלומים</w:t>
      </w:r>
      <w:r>
        <w:rPr>
          <w:rStyle w:val="af2"/>
          <w:rFonts w:cstheme="minorHAnsi"/>
          <w:sz w:val="24"/>
          <w:szCs w:val="24"/>
          <w:rtl/>
        </w:rPr>
        <w:footnoteReference w:id="1"/>
      </w:r>
      <w:r>
        <w:rPr>
          <w:rFonts w:cstheme="minorHAnsi" w:hint="cs"/>
          <w:sz w:val="24"/>
          <w:szCs w:val="24"/>
          <w:rtl/>
        </w:rPr>
        <w:t xml:space="preserve">. </w:t>
      </w:r>
    </w:p>
    <w:p w:rsidR="00727A12" w:rsidRDefault="00727A12" w:rsidP="00727A12">
      <w:pPr>
        <w:spacing w:line="360" w:lineRule="auto"/>
        <w:jc w:val="both"/>
        <w:rPr>
          <w:rFonts w:cstheme="minorHAnsi"/>
          <w:sz w:val="24"/>
          <w:szCs w:val="24"/>
          <w:rtl/>
        </w:rPr>
      </w:pPr>
      <w:r>
        <w:rPr>
          <w:rFonts w:cstheme="minorHAnsi" w:hint="cs"/>
          <w:sz w:val="24"/>
          <w:szCs w:val="24"/>
          <w:rtl/>
        </w:rPr>
        <w:t xml:space="preserve">בעקבות הצעדים שקודמו, החברות </w:t>
      </w:r>
      <w:proofErr w:type="spellStart"/>
      <w:r>
        <w:rPr>
          <w:rFonts w:cstheme="minorHAnsi" w:hint="cs"/>
          <w:sz w:val="24"/>
          <w:szCs w:val="24"/>
          <w:rtl/>
        </w:rPr>
        <w:t>אטמס</w:t>
      </w:r>
      <w:proofErr w:type="spellEnd"/>
      <w:r>
        <w:rPr>
          <w:rFonts w:cstheme="minorHAnsi" w:hint="cs"/>
          <w:sz w:val="24"/>
          <w:szCs w:val="24"/>
          <w:rtl/>
        </w:rPr>
        <w:t xml:space="preserve"> מטריקס בע"מ</w:t>
      </w:r>
      <w:r>
        <w:rPr>
          <w:rFonts w:cstheme="minorHAnsi" w:hint="cs"/>
          <w:sz w:val="24"/>
          <w:szCs w:val="24"/>
        </w:rPr>
        <w:t xml:space="preserve"> </w:t>
      </w:r>
      <w:r>
        <w:rPr>
          <w:rFonts w:cstheme="minorHAnsi" w:hint="cs"/>
          <w:sz w:val="24"/>
          <w:szCs w:val="24"/>
          <w:rtl/>
        </w:rPr>
        <w:t>(</w:t>
      </w:r>
      <w:r>
        <w:rPr>
          <w:rFonts w:cstheme="minorHAnsi"/>
          <w:sz w:val="24"/>
          <w:szCs w:val="24"/>
        </w:rPr>
        <w:t>ATMS Matrix</w:t>
      </w:r>
      <w:r>
        <w:rPr>
          <w:rFonts w:cstheme="minorHAnsi" w:hint="cs"/>
          <w:sz w:val="24"/>
          <w:szCs w:val="24"/>
          <w:rtl/>
        </w:rPr>
        <w:t>), נימה שפע בע"מ (</w:t>
      </w:r>
      <w:proofErr w:type="spellStart"/>
      <w:r>
        <w:rPr>
          <w:rFonts w:cstheme="minorHAnsi"/>
          <w:sz w:val="24"/>
          <w:szCs w:val="24"/>
        </w:rPr>
        <w:t>Neema</w:t>
      </w:r>
      <w:proofErr w:type="spellEnd"/>
      <w:r>
        <w:rPr>
          <w:rFonts w:cstheme="minorHAnsi" w:hint="cs"/>
          <w:sz w:val="24"/>
          <w:szCs w:val="24"/>
          <w:rtl/>
        </w:rPr>
        <w:t xml:space="preserve">), </w:t>
      </w:r>
      <w:proofErr w:type="spellStart"/>
      <w:r>
        <w:rPr>
          <w:rFonts w:cstheme="minorHAnsi" w:hint="cs"/>
          <w:sz w:val="24"/>
          <w:szCs w:val="24"/>
          <w:rtl/>
        </w:rPr>
        <w:t>רי</w:t>
      </w:r>
      <w:proofErr w:type="spellEnd"/>
      <w:r>
        <w:rPr>
          <w:rFonts w:cstheme="minorHAnsi" w:hint="cs"/>
          <w:sz w:val="24"/>
          <w:szCs w:val="24"/>
          <w:rtl/>
        </w:rPr>
        <w:t xml:space="preserve"> </w:t>
      </w:r>
      <w:proofErr w:type="spellStart"/>
      <w:r>
        <w:rPr>
          <w:rFonts w:cstheme="minorHAnsi" w:hint="cs"/>
          <w:sz w:val="24"/>
          <w:szCs w:val="24"/>
          <w:rtl/>
        </w:rPr>
        <w:t>ווייר</w:t>
      </w:r>
      <w:proofErr w:type="spellEnd"/>
      <w:r>
        <w:rPr>
          <w:rFonts w:cstheme="minorHAnsi" w:hint="cs"/>
          <w:sz w:val="24"/>
          <w:szCs w:val="24"/>
          <w:rtl/>
        </w:rPr>
        <w:t xml:space="preserve"> </w:t>
      </w:r>
      <w:proofErr w:type="spellStart"/>
      <w:r>
        <w:rPr>
          <w:rFonts w:cstheme="minorHAnsi" w:hint="cs"/>
          <w:sz w:val="24"/>
          <w:szCs w:val="24"/>
          <w:rtl/>
        </w:rPr>
        <w:t>א.ס.ג</w:t>
      </w:r>
      <w:proofErr w:type="spellEnd"/>
      <w:r>
        <w:rPr>
          <w:rFonts w:cstheme="minorHAnsi" w:hint="cs"/>
          <w:sz w:val="24"/>
          <w:szCs w:val="24"/>
          <w:rtl/>
        </w:rPr>
        <w:t>. בע"מ (</w:t>
      </w:r>
      <w:proofErr w:type="spellStart"/>
      <w:r>
        <w:rPr>
          <w:rFonts w:cstheme="minorHAnsi"/>
          <w:sz w:val="24"/>
          <w:szCs w:val="24"/>
        </w:rPr>
        <w:t>Remitly</w:t>
      </w:r>
      <w:proofErr w:type="spellEnd"/>
      <w:r>
        <w:rPr>
          <w:rFonts w:cstheme="minorHAnsi" w:hint="cs"/>
          <w:sz w:val="24"/>
          <w:szCs w:val="24"/>
          <w:rtl/>
        </w:rPr>
        <w:t xml:space="preserve">),  </w:t>
      </w:r>
      <w:r w:rsidRPr="00964431">
        <w:rPr>
          <w:rFonts w:cs="Calibri"/>
          <w:sz w:val="24"/>
          <w:szCs w:val="24"/>
          <w:rtl/>
        </w:rPr>
        <w:t>ג'י אם טי טק</w:t>
      </w:r>
      <w:r>
        <w:rPr>
          <w:rFonts w:cs="Calibri" w:hint="cs"/>
          <w:sz w:val="24"/>
          <w:szCs w:val="24"/>
          <w:rtl/>
        </w:rPr>
        <w:t xml:space="preserve"> </w:t>
      </w:r>
      <w:proofErr w:type="spellStart"/>
      <w:r>
        <w:rPr>
          <w:rFonts w:cs="Calibri" w:hint="cs"/>
          <w:sz w:val="24"/>
          <w:szCs w:val="24"/>
          <w:rtl/>
        </w:rPr>
        <w:t>אינוביישן</w:t>
      </w:r>
      <w:proofErr w:type="spellEnd"/>
      <w:r>
        <w:rPr>
          <w:rFonts w:cs="Calibri" w:hint="cs"/>
          <w:sz w:val="24"/>
          <w:szCs w:val="24"/>
          <w:rtl/>
        </w:rPr>
        <w:t xml:space="preserve"> בע"מ (</w:t>
      </w:r>
      <w:r>
        <w:rPr>
          <w:rFonts w:cs="Calibri" w:hint="cs"/>
          <w:sz w:val="24"/>
          <w:szCs w:val="24"/>
        </w:rPr>
        <w:t>GMT</w:t>
      </w:r>
      <w:r>
        <w:rPr>
          <w:rFonts w:cs="Calibri" w:hint="cs"/>
          <w:sz w:val="24"/>
          <w:szCs w:val="24"/>
          <w:rtl/>
        </w:rPr>
        <w:t xml:space="preserve">), חברת 019 שירותי תשלום בע"מ </w:t>
      </w:r>
      <w:r>
        <w:rPr>
          <w:rFonts w:cstheme="minorHAnsi" w:hint="cs"/>
          <w:sz w:val="24"/>
          <w:szCs w:val="24"/>
          <w:rtl/>
        </w:rPr>
        <w:t>וחברת ישראכרט בע"מ השלימו בשנה האחרונה את חיבורן למערכות התשלומים הקמעונאיות שמופעלות על ידי חברות אשר מפוקחות על-ידי בנק ישראל.</w:t>
      </w:r>
    </w:p>
    <w:p w:rsidR="00727A12" w:rsidRDefault="00727A12" w:rsidP="00727A12">
      <w:pPr>
        <w:spacing w:line="360" w:lineRule="auto"/>
        <w:jc w:val="both"/>
        <w:rPr>
          <w:rFonts w:cstheme="minorHAnsi"/>
          <w:sz w:val="24"/>
          <w:szCs w:val="24"/>
          <w:rtl/>
        </w:rPr>
      </w:pPr>
      <w:r>
        <w:rPr>
          <w:rFonts w:cstheme="minorHAnsi" w:hint="cs"/>
          <w:sz w:val="24"/>
          <w:szCs w:val="24"/>
          <w:rtl/>
        </w:rPr>
        <w:t>להלן המערכות אליהן התחברו החברות:</w:t>
      </w:r>
    </w:p>
    <w:p w:rsidR="00727A12" w:rsidRDefault="00727A12" w:rsidP="00727A12">
      <w:pPr>
        <w:spacing w:line="360" w:lineRule="auto"/>
        <w:jc w:val="both"/>
        <w:rPr>
          <w:rFonts w:cstheme="minorHAnsi"/>
          <w:sz w:val="24"/>
          <w:szCs w:val="24"/>
          <w:rtl/>
        </w:rPr>
      </w:pPr>
      <w:proofErr w:type="spellStart"/>
      <w:r>
        <w:rPr>
          <w:rFonts w:cstheme="minorHAnsi" w:hint="cs"/>
          <w:sz w:val="24"/>
          <w:szCs w:val="24"/>
          <w:rtl/>
        </w:rPr>
        <w:t>א.ט.מ.ס</w:t>
      </w:r>
      <w:proofErr w:type="spellEnd"/>
      <w:r>
        <w:rPr>
          <w:rFonts w:cstheme="minorHAnsi" w:hint="cs"/>
          <w:sz w:val="24"/>
          <w:szCs w:val="24"/>
          <w:rtl/>
        </w:rPr>
        <w:t xml:space="preserve"> מטריקס בע"מ </w:t>
      </w:r>
      <w:r>
        <w:rPr>
          <w:rFonts w:cstheme="minorHAnsi"/>
          <w:sz w:val="24"/>
          <w:szCs w:val="24"/>
          <w:rtl/>
        </w:rPr>
        <w:t>–</w:t>
      </w:r>
      <w:r>
        <w:rPr>
          <w:rFonts w:cstheme="minorHAnsi" w:hint="cs"/>
          <w:sz w:val="24"/>
          <w:szCs w:val="24"/>
          <w:rtl/>
        </w:rPr>
        <w:t xml:space="preserve"> מערכת </w:t>
      </w:r>
      <w:r>
        <w:rPr>
          <w:rFonts w:cstheme="minorHAnsi" w:hint="cs"/>
          <w:sz w:val="24"/>
          <w:szCs w:val="24"/>
        </w:rPr>
        <w:t>ATM</w:t>
      </w:r>
      <w:r>
        <w:rPr>
          <w:rFonts w:cstheme="minorHAnsi" w:hint="cs"/>
          <w:sz w:val="24"/>
          <w:szCs w:val="24"/>
          <w:rtl/>
        </w:rPr>
        <w:t xml:space="preserve"> שמופעלת על-ידי חברת שב"א</w:t>
      </w:r>
    </w:p>
    <w:p w:rsidR="00727A12" w:rsidRDefault="00727A12" w:rsidP="00727A12">
      <w:pPr>
        <w:spacing w:line="360" w:lineRule="auto"/>
        <w:jc w:val="both"/>
        <w:rPr>
          <w:rFonts w:cstheme="minorHAnsi"/>
          <w:sz w:val="24"/>
          <w:szCs w:val="24"/>
          <w:rtl/>
        </w:rPr>
      </w:pPr>
      <w:r>
        <w:rPr>
          <w:rFonts w:cstheme="minorHAnsi" w:hint="cs"/>
          <w:sz w:val="24"/>
          <w:szCs w:val="24"/>
          <w:rtl/>
        </w:rPr>
        <w:t>נימה שפע בע"מ</w:t>
      </w:r>
      <w:r>
        <w:rPr>
          <w:rFonts w:cstheme="minorHAnsi"/>
          <w:sz w:val="24"/>
          <w:szCs w:val="24"/>
          <w:rtl/>
        </w:rPr>
        <w:t>–</w:t>
      </w:r>
      <w:r>
        <w:rPr>
          <w:rFonts w:cstheme="minorHAnsi" w:hint="cs"/>
          <w:sz w:val="24"/>
          <w:szCs w:val="24"/>
          <w:rtl/>
        </w:rPr>
        <w:t xml:space="preserve"> מערכת חיובים, זיכויים והעברות תשלומים לרבות התשלום המידי שמופעלת על-ידי חברת </w:t>
      </w:r>
      <w:proofErr w:type="spellStart"/>
      <w:r>
        <w:rPr>
          <w:rFonts w:cstheme="minorHAnsi" w:hint="cs"/>
          <w:sz w:val="24"/>
          <w:szCs w:val="24"/>
          <w:rtl/>
        </w:rPr>
        <w:t>מס"ב</w:t>
      </w:r>
      <w:proofErr w:type="spellEnd"/>
    </w:p>
    <w:p w:rsidR="00727A12" w:rsidRDefault="00727A12" w:rsidP="00727A12">
      <w:pPr>
        <w:spacing w:line="360" w:lineRule="auto"/>
        <w:jc w:val="both"/>
        <w:rPr>
          <w:rFonts w:cstheme="minorHAnsi"/>
          <w:sz w:val="24"/>
          <w:szCs w:val="24"/>
          <w:rtl/>
        </w:rPr>
      </w:pPr>
      <w:proofErr w:type="spellStart"/>
      <w:r>
        <w:rPr>
          <w:rFonts w:cstheme="minorHAnsi" w:hint="cs"/>
          <w:sz w:val="24"/>
          <w:szCs w:val="24"/>
          <w:rtl/>
        </w:rPr>
        <w:t>רי</w:t>
      </w:r>
      <w:proofErr w:type="spellEnd"/>
      <w:r>
        <w:rPr>
          <w:rFonts w:cstheme="minorHAnsi" w:hint="cs"/>
          <w:sz w:val="24"/>
          <w:szCs w:val="24"/>
          <w:rtl/>
        </w:rPr>
        <w:t xml:space="preserve"> </w:t>
      </w:r>
      <w:proofErr w:type="spellStart"/>
      <w:r>
        <w:rPr>
          <w:rFonts w:cstheme="minorHAnsi" w:hint="cs"/>
          <w:sz w:val="24"/>
          <w:szCs w:val="24"/>
          <w:rtl/>
        </w:rPr>
        <w:t>ווייר</w:t>
      </w:r>
      <w:proofErr w:type="spellEnd"/>
      <w:r>
        <w:rPr>
          <w:rFonts w:cstheme="minorHAnsi" w:hint="cs"/>
          <w:sz w:val="24"/>
          <w:szCs w:val="24"/>
          <w:rtl/>
        </w:rPr>
        <w:t xml:space="preserve"> </w:t>
      </w:r>
      <w:proofErr w:type="spellStart"/>
      <w:r>
        <w:rPr>
          <w:rFonts w:cstheme="minorHAnsi" w:hint="cs"/>
          <w:sz w:val="24"/>
          <w:szCs w:val="24"/>
          <w:rtl/>
        </w:rPr>
        <w:t>א.ס.ג</w:t>
      </w:r>
      <w:proofErr w:type="spellEnd"/>
      <w:r>
        <w:rPr>
          <w:rFonts w:cstheme="minorHAnsi" w:hint="cs"/>
          <w:sz w:val="24"/>
          <w:szCs w:val="24"/>
          <w:rtl/>
        </w:rPr>
        <w:t xml:space="preserve"> מחקר ופיתוח בע"מ (</w:t>
      </w:r>
      <w:proofErr w:type="spellStart"/>
      <w:r>
        <w:rPr>
          <w:rFonts w:cstheme="minorHAnsi" w:hint="cs"/>
          <w:sz w:val="24"/>
          <w:szCs w:val="24"/>
        </w:rPr>
        <w:t>R</w:t>
      </w:r>
      <w:r>
        <w:rPr>
          <w:rFonts w:cstheme="minorHAnsi"/>
          <w:sz w:val="24"/>
          <w:szCs w:val="24"/>
        </w:rPr>
        <w:t>emitly</w:t>
      </w:r>
      <w:proofErr w:type="spellEnd"/>
      <w:r>
        <w:rPr>
          <w:rFonts w:cstheme="minorHAnsi" w:hint="cs"/>
          <w:sz w:val="24"/>
          <w:szCs w:val="24"/>
          <w:rtl/>
        </w:rPr>
        <w:t>)</w:t>
      </w:r>
      <w:r>
        <w:rPr>
          <w:rFonts w:cstheme="minorHAnsi"/>
          <w:sz w:val="24"/>
          <w:szCs w:val="24"/>
          <w:rtl/>
        </w:rPr>
        <w:t>–</w:t>
      </w:r>
      <w:r>
        <w:rPr>
          <w:rFonts w:cstheme="minorHAnsi" w:hint="cs"/>
          <w:sz w:val="24"/>
          <w:szCs w:val="24"/>
          <w:rtl/>
        </w:rPr>
        <w:t xml:space="preserve"> מערכת חיובים, זיכויים והעברות תשלומים שמופעלת על-ידי חברת </w:t>
      </w:r>
      <w:proofErr w:type="spellStart"/>
      <w:r>
        <w:rPr>
          <w:rFonts w:cstheme="minorHAnsi" w:hint="cs"/>
          <w:sz w:val="24"/>
          <w:szCs w:val="24"/>
          <w:rtl/>
        </w:rPr>
        <w:t>מס"ב</w:t>
      </w:r>
      <w:proofErr w:type="spellEnd"/>
    </w:p>
    <w:p w:rsidR="00727A12" w:rsidRDefault="00727A12" w:rsidP="00727A12">
      <w:pPr>
        <w:spacing w:line="360" w:lineRule="auto"/>
        <w:jc w:val="both"/>
        <w:rPr>
          <w:rFonts w:cstheme="minorHAnsi"/>
          <w:sz w:val="24"/>
          <w:szCs w:val="24"/>
          <w:rtl/>
        </w:rPr>
      </w:pPr>
      <w:r>
        <w:rPr>
          <w:rFonts w:cstheme="minorHAnsi"/>
          <w:sz w:val="24"/>
          <w:szCs w:val="24"/>
        </w:rPr>
        <w:t xml:space="preserve"> </w:t>
      </w:r>
      <w:r>
        <w:rPr>
          <w:rFonts w:cstheme="minorHAnsi" w:hint="cs"/>
          <w:sz w:val="24"/>
          <w:szCs w:val="24"/>
          <w:rtl/>
        </w:rPr>
        <w:t xml:space="preserve">ג'י אם טי טק </w:t>
      </w:r>
      <w:proofErr w:type="spellStart"/>
      <w:r>
        <w:rPr>
          <w:rFonts w:cstheme="minorHAnsi" w:hint="cs"/>
          <w:sz w:val="24"/>
          <w:szCs w:val="24"/>
          <w:rtl/>
        </w:rPr>
        <w:t>אינוביישן</w:t>
      </w:r>
      <w:proofErr w:type="spellEnd"/>
      <w:r>
        <w:rPr>
          <w:rFonts w:cstheme="minorHAnsi" w:hint="cs"/>
          <w:sz w:val="24"/>
          <w:szCs w:val="24"/>
          <w:rtl/>
        </w:rPr>
        <w:t xml:space="preserve"> בע"מ-</w:t>
      </w:r>
      <w:r>
        <w:rPr>
          <w:rFonts w:cstheme="minorHAnsi" w:hint="cs"/>
          <w:sz w:val="24"/>
          <w:szCs w:val="24"/>
        </w:rPr>
        <w:t>GMT</w:t>
      </w:r>
      <w:r>
        <w:rPr>
          <w:rFonts w:cstheme="minorHAnsi" w:hint="cs"/>
          <w:sz w:val="24"/>
          <w:szCs w:val="24"/>
          <w:rtl/>
        </w:rPr>
        <w:t xml:space="preserve">- מערכת חיובים, זיכויים והעברות תשלומים לרבות התשלום המידי שמופעלת על-ידי חברת </w:t>
      </w:r>
      <w:proofErr w:type="spellStart"/>
      <w:r>
        <w:rPr>
          <w:rFonts w:cstheme="minorHAnsi" w:hint="cs"/>
          <w:sz w:val="24"/>
          <w:szCs w:val="24"/>
          <w:rtl/>
        </w:rPr>
        <w:t>מס"ב</w:t>
      </w:r>
      <w:proofErr w:type="spellEnd"/>
    </w:p>
    <w:p w:rsidR="00727A12" w:rsidRDefault="00727A12" w:rsidP="00727A12">
      <w:pPr>
        <w:spacing w:line="360" w:lineRule="auto"/>
        <w:jc w:val="both"/>
        <w:rPr>
          <w:rFonts w:cstheme="minorHAnsi"/>
          <w:sz w:val="24"/>
          <w:szCs w:val="24"/>
          <w:rtl/>
        </w:rPr>
      </w:pPr>
      <w:r>
        <w:rPr>
          <w:rFonts w:cstheme="minorHAnsi" w:hint="cs"/>
          <w:sz w:val="24"/>
          <w:szCs w:val="24"/>
          <w:rtl/>
        </w:rPr>
        <w:lastRenderedPageBreak/>
        <w:t xml:space="preserve">019 שירותי תשלום בע"מ- מערכת חיובים, זיכויים והעברות תשלומים לרבות התשלום המידי שמופעלת על-ידי חברת </w:t>
      </w:r>
      <w:proofErr w:type="spellStart"/>
      <w:r>
        <w:rPr>
          <w:rFonts w:cstheme="minorHAnsi" w:hint="cs"/>
          <w:sz w:val="24"/>
          <w:szCs w:val="24"/>
          <w:rtl/>
        </w:rPr>
        <w:t>מס"ב</w:t>
      </w:r>
      <w:proofErr w:type="spellEnd"/>
      <w:r>
        <w:rPr>
          <w:rFonts w:cstheme="minorHAnsi" w:hint="cs"/>
          <w:sz w:val="24"/>
          <w:szCs w:val="24"/>
          <w:rtl/>
        </w:rPr>
        <w:t>.</w:t>
      </w:r>
    </w:p>
    <w:p w:rsidR="00727A12" w:rsidRDefault="00727A12" w:rsidP="00727A12">
      <w:pPr>
        <w:spacing w:line="360" w:lineRule="auto"/>
        <w:jc w:val="both"/>
        <w:rPr>
          <w:rFonts w:cstheme="minorHAnsi"/>
          <w:sz w:val="24"/>
          <w:szCs w:val="24"/>
          <w:rtl/>
        </w:rPr>
      </w:pPr>
      <w:r>
        <w:rPr>
          <w:rFonts w:cstheme="minorHAnsi" w:hint="cs"/>
          <w:sz w:val="24"/>
          <w:szCs w:val="24"/>
          <w:rtl/>
        </w:rPr>
        <w:t xml:space="preserve">ישראכרט בע"מ- מערכת חיובים, זיכויים והעברות תשלומים שמופעלת על-ידי חברת </w:t>
      </w:r>
      <w:proofErr w:type="spellStart"/>
      <w:r>
        <w:rPr>
          <w:rFonts w:cstheme="minorHAnsi" w:hint="cs"/>
          <w:sz w:val="24"/>
          <w:szCs w:val="24"/>
          <w:rtl/>
        </w:rPr>
        <w:t>מס"ב</w:t>
      </w:r>
      <w:proofErr w:type="spellEnd"/>
      <w:r>
        <w:rPr>
          <w:rStyle w:val="af2"/>
          <w:rFonts w:cstheme="minorHAnsi"/>
          <w:sz w:val="24"/>
          <w:szCs w:val="24"/>
          <w:rtl/>
        </w:rPr>
        <w:footnoteReference w:id="2"/>
      </w:r>
      <w:r>
        <w:rPr>
          <w:rFonts w:cstheme="minorHAnsi" w:hint="cs"/>
          <w:sz w:val="24"/>
          <w:szCs w:val="24"/>
          <w:rtl/>
        </w:rPr>
        <w:t>.</w:t>
      </w:r>
    </w:p>
    <w:p w:rsidR="00727A12" w:rsidRDefault="00727A12" w:rsidP="00727A12">
      <w:pPr>
        <w:spacing w:line="360" w:lineRule="auto"/>
        <w:jc w:val="both"/>
        <w:rPr>
          <w:rFonts w:cstheme="minorHAnsi"/>
          <w:sz w:val="24"/>
          <w:szCs w:val="24"/>
          <w:rtl/>
        </w:rPr>
      </w:pPr>
      <w:r>
        <w:rPr>
          <w:rFonts w:cstheme="minorHAnsi" w:hint="cs"/>
          <w:sz w:val="24"/>
          <w:szCs w:val="24"/>
          <w:rtl/>
        </w:rPr>
        <w:t>בנק ישראל  רואה בהשלמת תהליך ההתחברות של ששת הגופים צעד חשוב ומשמעותי לקידום התחרות בשוק התשלומים בישראל.</w:t>
      </w:r>
    </w:p>
    <w:p w:rsidR="00727A12" w:rsidRPr="00F9050F" w:rsidRDefault="00727A12" w:rsidP="00727A12">
      <w:pPr>
        <w:spacing w:line="360" w:lineRule="auto"/>
        <w:jc w:val="both"/>
        <w:rPr>
          <w:rFonts w:cstheme="minorHAnsi"/>
          <w:sz w:val="24"/>
          <w:szCs w:val="24"/>
        </w:rPr>
      </w:pPr>
      <w:r w:rsidRPr="00727A12">
        <w:rPr>
          <w:rFonts w:cstheme="minorHAnsi" w:hint="cs"/>
          <w:b/>
          <w:bCs/>
          <w:sz w:val="24"/>
          <w:szCs w:val="24"/>
          <w:rtl/>
        </w:rPr>
        <w:t>עודד סלומי, מנהל מחלקת מערכות תשלומים וסליקה:</w:t>
      </w:r>
      <w:r w:rsidRPr="00727A12">
        <w:rPr>
          <w:rFonts w:cstheme="minorHAnsi" w:hint="cs"/>
          <w:sz w:val="24"/>
          <w:szCs w:val="24"/>
          <w:rtl/>
        </w:rPr>
        <w:t xml:space="preserve"> </w:t>
      </w:r>
      <w:r>
        <w:rPr>
          <w:rFonts w:cstheme="minorHAnsi" w:hint="cs"/>
          <w:sz w:val="24"/>
          <w:szCs w:val="24"/>
          <w:rtl/>
        </w:rPr>
        <w:t>"</w:t>
      </w:r>
      <w:r w:rsidRPr="005248A6">
        <w:rPr>
          <w:rFonts w:cstheme="minorHAnsi"/>
          <w:sz w:val="24"/>
          <w:szCs w:val="24"/>
          <w:rtl/>
        </w:rPr>
        <w:t>צירוף שחקנים מגוונים למערכות התשלומים הינו צעד בעל חשיבות גבוהה, בהיות</w:t>
      </w:r>
      <w:r>
        <w:rPr>
          <w:rFonts w:cstheme="minorHAnsi" w:hint="cs"/>
          <w:sz w:val="24"/>
          <w:szCs w:val="24"/>
          <w:rtl/>
        </w:rPr>
        <w:t>ם</w:t>
      </w:r>
      <w:r w:rsidRPr="005248A6">
        <w:rPr>
          <w:rFonts w:cstheme="minorHAnsi"/>
          <w:sz w:val="24"/>
          <w:szCs w:val="24"/>
          <w:rtl/>
        </w:rPr>
        <w:t xml:space="preserve"> גופים בעלי פוטנציאל פיתוח של פתרונות תשלומים מתקדמים וחדשניים, להגברת התחרות בשוק הפיננסי, וייעול תהליכים ושירותים עסקיים לטובת ציבור הצרכנים ובתי העסק</w:t>
      </w:r>
      <w:r w:rsidRPr="005248A6">
        <w:rPr>
          <w:rFonts w:cstheme="minorHAnsi"/>
          <w:sz w:val="24"/>
          <w:szCs w:val="24"/>
        </w:rPr>
        <w:t>".</w:t>
      </w:r>
    </w:p>
    <w:p w:rsidR="00D66255" w:rsidRPr="00727A12" w:rsidRDefault="00D66255" w:rsidP="009005BA">
      <w:pPr>
        <w:tabs>
          <w:tab w:val="left" w:pos="2315"/>
        </w:tabs>
        <w:rPr>
          <w:rFonts w:ascii="Calibri" w:hAnsi="Calibri" w:cs="Calibri"/>
          <w:sz w:val="24"/>
          <w:szCs w:val="24"/>
          <w:rtl/>
        </w:rPr>
      </w:pPr>
    </w:p>
    <w:sectPr w:rsidR="00D66255" w:rsidRPr="00727A12"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4E34C2">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004E34C2" w:rsidRPr="004E34C2">
                              <w:rPr>
                                <w:rStyle w:val="Hyperlink"/>
                                <w:sz w:val="12"/>
                                <w:szCs w:val="12"/>
                              </w:rPr>
                              <w:t>https://www.boi.org.il/bank-of-israel/boi-podcast</w:t>
                            </w:r>
                            <w:r w:rsidR="004E34C2" w:rsidRPr="004E34C2">
                              <w:rPr>
                                <w:rStyle w:val="Hyperlink"/>
                                <w:rFonts w:ascii="Arial" w:hAnsi="Arial" w:cs="Arial"/>
                                <w:sz w:val="12"/>
                                <w:szCs w:val="12"/>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4E34C2">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004E34C2" w:rsidRPr="004E34C2">
                        <w:rPr>
                          <w:rStyle w:val="Hyperlink"/>
                          <w:sz w:val="12"/>
                          <w:szCs w:val="12"/>
                        </w:rPr>
                        <w:t>https://www.boi.org.il/bank-of-israel/boi-podcast</w:t>
                      </w:r>
                      <w:r w:rsidR="004E34C2" w:rsidRPr="004E34C2">
                        <w:rPr>
                          <w:rStyle w:val="Hyperlink"/>
                          <w:rFonts w:ascii="Arial" w:hAnsi="Arial" w:cs="Arial"/>
                          <w:sz w:val="12"/>
                          <w:szCs w:val="12"/>
                          <w:rtl/>
                        </w:rPr>
                        <w:t>/</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727A12" w:rsidRPr="00727A12" w:rsidRDefault="00727A12" w:rsidP="00727A12">
      <w:pPr>
        <w:pStyle w:val="2"/>
        <w:shd w:val="clear" w:color="auto" w:fill="FFFFFF"/>
        <w:spacing w:before="0"/>
        <w:jc w:val="both"/>
        <w:rPr>
          <w:rFonts w:ascii="Calibri" w:hAnsi="Calibri" w:cs="Calibri"/>
          <w:color w:val="auto"/>
          <w:rtl/>
        </w:rPr>
      </w:pPr>
      <w:r w:rsidRPr="00727A12">
        <w:rPr>
          <w:rStyle w:val="af2"/>
          <w:rFonts w:ascii="Calibri" w:hAnsi="Calibri" w:cs="Calibri"/>
          <w:color w:val="auto"/>
        </w:rPr>
        <w:footnoteRef/>
      </w:r>
      <w:r w:rsidRPr="00727A12">
        <w:rPr>
          <w:rFonts w:ascii="Calibri" w:hAnsi="Calibri" w:cs="Calibri"/>
          <w:color w:val="auto"/>
          <w:sz w:val="22"/>
          <w:szCs w:val="22"/>
          <w:rtl/>
        </w:rPr>
        <w:t xml:space="preserve"> </w:t>
      </w:r>
      <w:hyperlink r:id="rId1" w:history="1">
        <w:r w:rsidRPr="00727A12">
          <w:rPr>
            <w:rStyle w:val="Hyperlink"/>
            <w:rFonts w:ascii="Calibri" w:eastAsiaTheme="minorHAnsi" w:hAnsi="Calibri" w:cs="Calibri"/>
            <w:sz w:val="20"/>
            <w:szCs w:val="20"/>
            <w:rtl/>
          </w:rPr>
          <w:t xml:space="preserve">הודעה לעיתונות מיום 19.08.2024 </w:t>
        </w:r>
        <w:r w:rsidRPr="00727A12">
          <w:rPr>
            <w:rStyle w:val="Hyperlink"/>
            <w:rFonts w:ascii="Calibri" w:hAnsi="Calibri" w:cs="Calibri"/>
            <w:sz w:val="22"/>
            <w:szCs w:val="22"/>
            <w:rtl/>
          </w:rPr>
          <w:t xml:space="preserve">- </w:t>
        </w:r>
        <w:r w:rsidRPr="00727A12">
          <w:rPr>
            <w:rStyle w:val="Hyperlink"/>
            <w:rFonts w:ascii="Calibri" w:eastAsiaTheme="minorHAnsi" w:hAnsi="Calibri" w:cs="Calibri"/>
            <w:sz w:val="20"/>
            <w:szCs w:val="20"/>
            <w:rtl/>
          </w:rPr>
          <w:t>פתיחת שוק התשלומים לגופים חוץ-בנקאיים : שלושה גופים החלו לפעול לראשונה באופן ישיר בהעברת תשלומים בתשתיות השוק הפיננסי</w:t>
        </w:r>
      </w:hyperlink>
      <w:r w:rsidRPr="00727A12">
        <w:rPr>
          <w:rFonts w:ascii="Calibri" w:hAnsi="Calibri" w:cs="Calibri"/>
          <w:color w:val="auto"/>
          <w:rtl/>
        </w:rPr>
        <w:t>.</w:t>
      </w:r>
    </w:p>
  </w:footnote>
  <w:footnote w:id="2">
    <w:p w:rsidR="00727A12" w:rsidRDefault="00727A12" w:rsidP="00727A12">
      <w:pPr>
        <w:pStyle w:val="af0"/>
        <w:rPr>
          <w:rtl/>
        </w:rPr>
      </w:pPr>
      <w:r>
        <w:rPr>
          <w:rStyle w:val="af2"/>
        </w:rPr>
        <w:footnoteRef/>
      </w:r>
      <w:r>
        <w:rPr>
          <w:rtl/>
        </w:rPr>
        <w:t xml:space="preserve"> </w:t>
      </w:r>
      <w:r>
        <w:rPr>
          <w:rFonts w:hint="cs"/>
          <w:rtl/>
        </w:rPr>
        <w:t>החברה הייתה מחוברת למערכת כרטיסי חיוב אשר מופעלת על-ידי חברת שבא, ובחרה לממש את השינויים שהוביל בנק ישראל לאפשר לה להתחבר למערכת תשלומים נוספת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2"/>
  </w:num>
  <w:num w:numId="8">
    <w:abstractNumId w:val="16"/>
  </w:num>
  <w:num w:numId="9">
    <w:abstractNumId w:val="19"/>
  </w:num>
  <w:num w:numId="10">
    <w:abstractNumId w:val="13"/>
  </w:num>
  <w:num w:numId="11">
    <w:abstractNumId w:val="11"/>
  </w:num>
  <w:num w:numId="12">
    <w:abstractNumId w:val="14"/>
  </w:num>
  <w:num w:numId="13">
    <w:abstractNumId w:val="10"/>
  </w:num>
  <w:num w:numId="14">
    <w:abstractNumId w:val="3"/>
  </w:num>
  <w:num w:numId="15">
    <w:abstractNumId w:val="15"/>
  </w:num>
  <w:num w:numId="16">
    <w:abstractNumId w:val="1"/>
  </w:num>
  <w:num w:numId="17">
    <w:abstractNumId w:val="22"/>
  </w:num>
  <w:num w:numId="18">
    <w:abstractNumId w:val="20"/>
  </w:num>
  <w:num w:numId="19">
    <w:abstractNumId w:val="18"/>
  </w:num>
  <w:num w:numId="20">
    <w:abstractNumId w:val="17"/>
  </w:num>
  <w:num w:numId="21">
    <w:abstractNumId w:val="0"/>
  </w:num>
  <w:num w:numId="22">
    <w:abstractNumId w:val="8"/>
  </w:num>
  <w:num w:numId="2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ocumentProtection w:edit="trackedChange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3A44"/>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4C2"/>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27A12"/>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3221"/>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B6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rsid w:val="006E5D28"/>
    <w:rPr>
      <w:sz w:val="20"/>
      <w:szCs w:val="20"/>
    </w:rPr>
  </w:style>
  <w:style w:type="character" w:styleId="af2">
    <w:name w:val="footnote reference"/>
    <w:basedOn w:val="a0"/>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www.boi.org.il/bank-of-israel/boi-podcast/"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www.boi.org.il/bank-of-israel/boi-podcast/" TargetMode="External"/><Relationship Id="rId14" Type="http://schemas.openxmlformats.org/officeDocument/2006/relationships/hyperlink" Target="https://www.boi.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oi.org.il/publications/pressreleases/19-8-2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BE381-BB57-4153-89A7-402DCE0F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1650</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2025-04-28T09:06:00Z</dcterms:created>
  <dcterms:modified xsi:type="dcterms:W3CDTF">2025-04-28T09:06:00Z</dcterms:modified>
</cp:coreProperties>
</file>