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8847F2" w:rsidTr="0029736D">
        <w:tc>
          <w:tcPr>
            <w:tcW w:w="3343" w:type="dxa"/>
            <w:tcBorders>
              <w:top w:val="nil"/>
              <w:left w:val="nil"/>
              <w:bottom w:val="nil"/>
              <w:right w:val="nil"/>
            </w:tcBorders>
            <w:vAlign w:val="center"/>
          </w:tcPr>
          <w:p w:rsidR="009005BA" w:rsidRPr="008847F2" w:rsidRDefault="009005BA" w:rsidP="0029736D">
            <w:pPr>
              <w:rPr>
                <w:rFonts w:ascii="Calibri" w:hAnsi="Calibri" w:cs="Calibri"/>
                <w:b/>
                <w:bCs/>
                <w:rtl/>
              </w:rPr>
            </w:pPr>
            <w:r w:rsidRPr="008847F2">
              <w:rPr>
                <w:rFonts w:ascii="Calibri" w:hAnsi="Calibri" w:cs="Calibri"/>
                <w:b/>
                <w:bCs/>
                <w:rtl/>
              </w:rPr>
              <w:t>בנק ישראל</w:t>
            </w:r>
          </w:p>
          <w:p w:rsidR="009005BA" w:rsidRPr="008847F2" w:rsidRDefault="009005BA" w:rsidP="0029736D">
            <w:pPr>
              <w:rPr>
                <w:rFonts w:ascii="Calibri" w:hAnsi="Calibri" w:cs="Calibri"/>
                <w:b/>
                <w:bCs/>
              </w:rPr>
            </w:pPr>
            <w:r w:rsidRPr="008847F2">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8847F2" w:rsidRDefault="009005BA" w:rsidP="0029736D">
            <w:pPr>
              <w:jc w:val="center"/>
              <w:rPr>
                <w:rFonts w:ascii="Calibri" w:hAnsi="Calibri" w:cs="Calibri"/>
              </w:rPr>
            </w:pPr>
            <w:r w:rsidRPr="008847F2">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8847F2" w:rsidRDefault="009005BA" w:rsidP="009005BA">
            <w:pPr>
              <w:jc w:val="right"/>
              <w:rPr>
                <w:rFonts w:ascii="Calibri" w:hAnsi="Calibri" w:cs="Calibri"/>
                <w:rtl/>
              </w:rPr>
            </w:pPr>
            <w:r w:rsidRPr="008847F2">
              <w:rPr>
                <w:rFonts w:ascii="Calibri" w:hAnsi="Calibri" w:cs="Calibri"/>
                <w:highlight w:val="green"/>
                <w:rtl/>
              </w:rPr>
              <w:t>‏</w:t>
            </w:r>
            <w:r w:rsidRPr="008847F2">
              <w:rPr>
                <w:rFonts w:ascii="Calibri" w:hAnsi="Calibri" w:cs="Calibri"/>
                <w:rtl/>
              </w:rPr>
              <w:t xml:space="preserve">ירושלים, </w:t>
            </w:r>
            <w:r w:rsidRPr="008847F2">
              <w:rPr>
                <w:rFonts w:ascii="Calibri" w:hAnsi="Calibri" w:cs="Calibri"/>
                <w:rtl/>
              </w:rPr>
              <w:fldChar w:fldCharType="begin"/>
            </w:r>
            <w:r w:rsidRPr="008847F2">
              <w:rPr>
                <w:rFonts w:ascii="Calibri" w:hAnsi="Calibri" w:cs="Calibri"/>
                <w:rtl/>
              </w:rPr>
              <w:instrText xml:space="preserve"> </w:instrText>
            </w:r>
            <w:r w:rsidRPr="008847F2">
              <w:rPr>
                <w:rFonts w:ascii="Calibri" w:hAnsi="Calibri" w:cs="Calibri"/>
              </w:rPr>
              <w:instrText>DATE</w:instrText>
            </w:r>
            <w:r w:rsidRPr="008847F2">
              <w:rPr>
                <w:rFonts w:ascii="Calibri" w:hAnsi="Calibri" w:cs="Calibri"/>
                <w:rtl/>
              </w:rPr>
              <w:instrText xml:space="preserve"> \@ "</w:instrText>
            </w:r>
            <w:r w:rsidRPr="008847F2">
              <w:rPr>
                <w:rFonts w:ascii="Calibri" w:hAnsi="Calibri" w:cs="Calibri"/>
              </w:rPr>
              <w:instrText>d MMMM, yyyy" \h</w:instrText>
            </w:r>
            <w:r w:rsidRPr="008847F2">
              <w:rPr>
                <w:rFonts w:ascii="Calibri" w:hAnsi="Calibri" w:cs="Calibri"/>
                <w:rtl/>
              </w:rPr>
              <w:instrText xml:space="preserve"> </w:instrText>
            </w:r>
            <w:r w:rsidRPr="008847F2">
              <w:rPr>
                <w:rFonts w:ascii="Calibri" w:hAnsi="Calibri" w:cs="Calibri"/>
                <w:rtl/>
              </w:rPr>
              <w:fldChar w:fldCharType="separate"/>
            </w:r>
            <w:r w:rsidR="008847F2" w:rsidRPr="008847F2">
              <w:rPr>
                <w:rFonts w:ascii="Calibri" w:hAnsi="Calibri" w:cs="Calibri"/>
                <w:noProof/>
                <w:rtl/>
              </w:rPr>
              <w:t>‏כ"ט סיון, תשפ"ה</w:t>
            </w:r>
            <w:r w:rsidRPr="008847F2">
              <w:rPr>
                <w:rFonts w:ascii="Calibri" w:hAnsi="Calibri" w:cs="Calibri"/>
                <w:rtl/>
              </w:rPr>
              <w:fldChar w:fldCharType="end"/>
            </w:r>
          </w:p>
          <w:p w:rsidR="009005BA" w:rsidRPr="008847F2" w:rsidRDefault="009005BA" w:rsidP="009005BA">
            <w:pPr>
              <w:jc w:val="right"/>
              <w:rPr>
                <w:rFonts w:ascii="Calibri" w:hAnsi="Calibri" w:cs="Calibri"/>
                <w:highlight w:val="green"/>
              </w:rPr>
            </w:pPr>
            <w:r w:rsidRPr="008847F2">
              <w:rPr>
                <w:rFonts w:ascii="Calibri" w:hAnsi="Calibri" w:cs="Calibri"/>
                <w:rtl/>
              </w:rPr>
              <w:fldChar w:fldCharType="begin"/>
            </w:r>
            <w:r w:rsidRPr="008847F2">
              <w:rPr>
                <w:rFonts w:ascii="Calibri" w:hAnsi="Calibri" w:cs="Calibri"/>
                <w:rtl/>
              </w:rPr>
              <w:instrText xml:space="preserve"> </w:instrText>
            </w:r>
            <w:r w:rsidRPr="008847F2">
              <w:rPr>
                <w:rFonts w:ascii="Calibri" w:hAnsi="Calibri" w:cs="Calibri"/>
              </w:rPr>
              <w:instrText>DATE</w:instrText>
            </w:r>
            <w:r w:rsidRPr="008847F2">
              <w:rPr>
                <w:rFonts w:ascii="Calibri" w:hAnsi="Calibri" w:cs="Calibri"/>
                <w:rtl/>
              </w:rPr>
              <w:instrText xml:space="preserve"> \@ "</w:instrText>
            </w:r>
            <w:r w:rsidRPr="008847F2">
              <w:rPr>
                <w:rFonts w:ascii="Calibri" w:hAnsi="Calibri" w:cs="Calibri"/>
              </w:rPr>
              <w:instrText>d MMMM, yyyy</w:instrText>
            </w:r>
            <w:r w:rsidRPr="008847F2">
              <w:rPr>
                <w:rFonts w:ascii="Calibri" w:hAnsi="Calibri" w:cs="Calibri"/>
                <w:rtl/>
              </w:rPr>
              <w:instrText xml:space="preserve">" </w:instrText>
            </w:r>
            <w:r w:rsidRPr="008847F2">
              <w:rPr>
                <w:rFonts w:ascii="Calibri" w:hAnsi="Calibri" w:cs="Calibri"/>
                <w:rtl/>
              </w:rPr>
              <w:fldChar w:fldCharType="separate"/>
            </w:r>
            <w:r w:rsidR="008847F2" w:rsidRPr="008847F2">
              <w:rPr>
                <w:rFonts w:ascii="Calibri" w:hAnsi="Calibri" w:cs="Calibri"/>
                <w:noProof/>
                <w:rtl/>
              </w:rPr>
              <w:t>‏25 יוני, 2025</w:t>
            </w:r>
            <w:r w:rsidRPr="008847F2">
              <w:rPr>
                <w:rFonts w:ascii="Calibri" w:hAnsi="Calibri" w:cs="Calibri"/>
                <w:rtl/>
              </w:rPr>
              <w:fldChar w:fldCharType="end"/>
            </w:r>
          </w:p>
        </w:tc>
      </w:tr>
    </w:tbl>
    <w:p w:rsidR="009005BA" w:rsidRPr="008847F2" w:rsidRDefault="009005BA" w:rsidP="007B0741">
      <w:pPr>
        <w:tabs>
          <w:tab w:val="left" w:pos="2315"/>
        </w:tabs>
        <w:rPr>
          <w:rFonts w:ascii="Calibri" w:hAnsi="Calibri" w:cs="Calibri"/>
          <w:rtl/>
        </w:rPr>
      </w:pPr>
    </w:p>
    <w:p w:rsidR="00D66255" w:rsidRPr="008847F2" w:rsidRDefault="008E761A" w:rsidP="009005BA">
      <w:pPr>
        <w:tabs>
          <w:tab w:val="left" w:pos="2315"/>
        </w:tabs>
        <w:rPr>
          <w:rFonts w:ascii="Calibri" w:hAnsi="Calibri" w:cs="Calibri"/>
          <w:rtl/>
        </w:rPr>
      </w:pPr>
      <w:r w:rsidRPr="008847F2">
        <w:rPr>
          <w:rFonts w:ascii="Calibri" w:hAnsi="Calibri" w:cs="Calibri"/>
          <w:rtl/>
        </w:rPr>
        <w:t>הודעה לעיתונות:</w:t>
      </w:r>
    </w:p>
    <w:p w:rsidR="008847F2" w:rsidRPr="008847F2" w:rsidRDefault="008847F2" w:rsidP="008847F2">
      <w:pPr>
        <w:pStyle w:val="NormalWeb"/>
        <w:bidi/>
        <w:spacing w:before="0" w:beforeAutospacing="0" w:after="120" w:afterAutospacing="0" w:line="360" w:lineRule="auto"/>
        <w:jc w:val="center"/>
        <w:rPr>
          <w:rFonts w:ascii="Calibri" w:hAnsi="Calibri" w:cs="Calibri"/>
          <w:b/>
          <w:bCs/>
          <w:sz w:val="28"/>
          <w:szCs w:val="28"/>
          <w:rtl/>
        </w:rPr>
      </w:pPr>
      <w:r w:rsidRPr="008847F2">
        <w:rPr>
          <w:rFonts w:ascii="Calibri" w:hAnsi="Calibri" w:cs="Calibri"/>
          <w:b/>
          <w:bCs/>
          <w:sz w:val="28"/>
          <w:szCs w:val="28"/>
          <w:rtl/>
        </w:rPr>
        <w:t xml:space="preserve">מחקר חדש בבנק ישראל: </w:t>
      </w:r>
      <w:bookmarkStart w:id="0" w:name="_GoBack"/>
      <w:r w:rsidRPr="008847F2">
        <w:rPr>
          <w:rFonts w:ascii="Calibri" w:hAnsi="Calibri" w:cs="Calibri"/>
          <w:b/>
          <w:bCs/>
          <w:sz w:val="28"/>
          <w:szCs w:val="28"/>
          <w:rtl/>
        </w:rPr>
        <w:t xml:space="preserve">ניתוח ההשפעה של </w:t>
      </w:r>
      <w:proofErr w:type="spellStart"/>
      <w:r w:rsidRPr="008847F2">
        <w:rPr>
          <w:rFonts w:ascii="Calibri" w:hAnsi="Calibri" w:cs="Calibri"/>
          <w:b/>
          <w:bCs/>
          <w:sz w:val="28"/>
          <w:szCs w:val="28"/>
          <w:rtl/>
        </w:rPr>
        <w:t>תוכנית</w:t>
      </w:r>
      <w:proofErr w:type="spellEnd"/>
      <w:r w:rsidRPr="008847F2">
        <w:rPr>
          <w:rFonts w:ascii="Calibri" w:hAnsi="Calibri" w:cs="Calibri"/>
          <w:b/>
          <w:bCs/>
          <w:sz w:val="28"/>
          <w:szCs w:val="28"/>
          <w:rtl/>
        </w:rPr>
        <w:t xml:space="preserve"> רכישת אג"ח תאגידיות: תובנות מהניסיון הישראלי</w:t>
      </w:r>
    </w:p>
    <w:bookmarkEnd w:id="0"/>
    <w:p w:rsidR="008847F2" w:rsidRPr="008847F2" w:rsidRDefault="008847F2" w:rsidP="008847F2">
      <w:pPr>
        <w:pStyle w:val="NormalWeb"/>
        <w:numPr>
          <w:ilvl w:val="0"/>
          <w:numId w:val="36"/>
        </w:numPr>
        <w:bidi/>
        <w:spacing w:before="0" w:beforeAutospacing="0" w:after="120" w:afterAutospacing="0" w:line="360" w:lineRule="auto"/>
        <w:jc w:val="both"/>
        <w:rPr>
          <w:rFonts w:ascii="Calibri" w:hAnsi="Calibri" w:cs="Calibri"/>
        </w:rPr>
      </w:pPr>
      <w:r w:rsidRPr="008847F2">
        <w:rPr>
          <w:rFonts w:ascii="Calibri" w:hAnsi="Calibri" w:cs="Calibri"/>
          <w:rtl/>
        </w:rPr>
        <w:t xml:space="preserve">מחקר זה בוחן את ההשפעה של </w:t>
      </w:r>
      <w:proofErr w:type="spellStart"/>
      <w:r w:rsidRPr="008847F2">
        <w:rPr>
          <w:rFonts w:ascii="Calibri" w:hAnsi="Calibri" w:cs="Calibri"/>
          <w:rtl/>
        </w:rPr>
        <w:t>תוכנית</w:t>
      </w:r>
      <w:proofErr w:type="spellEnd"/>
      <w:r w:rsidRPr="008847F2">
        <w:rPr>
          <w:rFonts w:ascii="Calibri" w:hAnsi="Calibri" w:cs="Calibri"/>
          <w:rtl/>
        </w:rPr>
        <w:t xml:space="preserve"> רכישת אגרות החוב התאגידיות (אג"ח </w:t>
      </w:r>
      <w:proofErr w:type="spellStart"/>
      <w:r w:rsidRPr="008847F2">
        <w:rPr>
          <w:rFonts w:ascii="Calibri" w:hAnsi="Calibri" w:cs="Calibri"/>
          <w:rtl/>
        </w:rPr>
        <w:t>קונצרניות</w:t>
      </w:r>
      <w:proofErr w:type="spellEnd"/>
      <w:r w:rsidRPr="008847F2">
        <w:rPr>
          <w:rFonts w:ascii="Calibri" w:hAnsi="Calibri" w:cs="Calibri"/>
          <w:rtl/>
        </w:rPr>
        <w:t>) של בנק ישראל, שהחלה ביולי 2020 במהלך מגפת הקורונה, ומוצא כי ההכרזה על התוכנית הובילה לירידות משמעותיות במרווחי האשראי עבור כלל אגרות חוב.</w:t>
      </w:r>
    </w:p>
    <w:p w:rsidR="008847F2" w:rsidRPr="008847F2" w:rsidRDefault="008847F2" w:rsidP="008847F2">
      <w:pPr>
        <w:pStyle w:val="NormalWeb"/>
        <w:numPr>
          <w:ilvl w:val="0"/>
          <w:numId w:val="36"/>
        </w:numPr>
        <w:bidi/>
        <w:spacing w:before="0" w:beforeAutospacing="0" w:after="120" w:afterAutospacing="0" w:line="360" w:lineRule="auto"/>
        <w:jc w:val="both"/>
        <w:rPr>
          <w:rFonts w:ascii="Calibri" w:hAnsi="Calibri" w:cs="Calibri"/>
        </w:rPr>
      </w:pPr>
      <w:r w:rsidRPr="008847F2">
        <w:rPr>
          <w:rFonts w:ascii="Calibri" w:hAnsi="Calibri" w:cs="Calibri"/>
          <w:rtl/>
        </w:rPr>
        <w:t xml:space="preserve">התוכנית החזירה לפעילות את השוק הראשוני להנפקות של איגרות חוב שאינן בדירוג השקעה. </w:t>
      </w:r>
    </w:p>
    <w:p w:rsidR="008847F2" w:rsidRPr="008847F2" w:rsidRDefault="008847F2" w:rsidP="008847F2">
      <w:pPr>
        <w:pStyle w:val="NormalWeb"/>
        <w:numPr>
          <w:ilvl w:val="0"/>
          <w:numId w:val="36"/>
        </w:numPr>
        <w:bidi/>
        <w:spacing w:before="0" w:beforeAutospacing="0" w:after="120" w:afterAutospacing="0" w:line="360" w:lineRule="auto"/>
        <w:jc w:val="both"/>
        <w:rPr>
          <w:rFonts w:ascii="Calibri" w:hAnsi="Calibri" w:cs="Calibri"/>
        </w:rPr>
      </w:pPr>
      <w:r w:rsidRPr="008847F2">
        <w:rPr>
          <w:rFonts w:ascii="Calibri" w:hAnsi="Calibri" w:cs="Calibri"/>
          <w:rtl/>
        </w:rPr>
        <w:t xml:space="preserve">לבסוף, הכללת אגרות חוב שהונפקו על ידי בנקים מסחריים כזכאיות לרכישה במסגרת התוכנית, מאפיין ייחודי של התוכנית בישראל, הגדילה את היצע האשראי של הבנקים המסחריים. </w:t>
      </w:r>
    </w:p>
    <w:p w:rsidR="008847F2" w:rsidRPr="008847F2" w:rsidRDefault="008847F2" w:rsidP="008847F2">
      <w:pPr>
        <w:pStyle w:val="NormalWeb"/>
        <w:bidi/>
        <w:spacing w:before="0" w:beforeAutospacing="0" w:after="120" w:afterAutospacing="0" w:line="360" w:lineRule="auto"/>
        <w:jc w:val="both"/>
        <w:rPr>
          <w:rFonts w:ascii="Calibri" w:hAnsi="Calibri" w:cs="Calibri"/>
          <w:rtl/>
        </w:rPr>
      </w:pPr>
      <w:r w:rsidRPr="008847F2">
        <w:rPr>
          <w:rFonts w:ascii="Calibri" w:hAnsi="Calibri" w:cs="Calibri"/>
          <w:rtl/>
        </w:rPr>
        <w:t xml:space="preserve">כאשר מגפת הקורונה פרצה במרץ 2020, השווקים הפיננסיים העולמיים חוו טלטלה קשה. בישראל, מחירי אגרות החוב התאגידיות צנחו ומרווחי האשראי (ההפרש בין תשואה על אג"ח תאגידית לתשואה על אג"ח ממשלתית עם טווח דומה לפדיון) התרחבו באופן דרמטי, במיוחד עבור חברות בדירוגים הבינוניים והנמוכים (קבוצת דירוג </w:t>
      </w:r>
      <w:r w:rsidRPr="008847F2">
        <w:rPr>
          <w:rFonts w:ascii="Calibri" w:hAnsi="Calibri" w:cs="Calibri"/>
        </w:rPr>
        <w:t>A</w:t>
      </w:r>
      <w:r w:rsidRPr="008847F2">
        <w:rPr>
          <w:rFonts w:ascii="Calibri" w:hAnsi="Calibri" w:cs="Calibri"/>
          <w:rtl/>
        </w:rPr>
        <w:t xml:space="preserve"> ו-</w:t>
      </w:r>
      <w:r w:rsidRPr="008847F2">
        <w:rPr>
          <w:rFonts w:ascii="Calibri" w:hAnsi="Calibri" w:cs="Calibri"/>
        </w:rPr>
        <w:t>BBB</w:t>
      </w:r>
      <w:r w:rsidRPr="008847F2">
        <w:rPr>
          <w:rFonts w:ascii="Calibri" w:hAnsi="Calibri" w:cs="Calibri"/>
          <w:rtl/>
        </w:rPr>
        <w:t>, איור 1). עסקים עמדו אז בפני החשש להיות מנותקים ממימון חיוני דווקא בתקופה בה אי-הוודאות הכלכלית הייתה בשיאה. בתגובה למצב זה הפעיל בנק ישראל מגוון כלים שנועדו להבטיח את המשך הפעילות התקינה של השווקים הפיננסיים המקומיים, בהם רכישות אג"ח ממשלתיות, עסקאות ריפו בהן שימשו אג"ח ממשלתיות כבטוחה ועוד.</w:t>
      </w:r>
      <w:r w:rsidRPr="008847F2">
        <w:rPr>
          <w:rStyle w:val="af2"/>
          <w:rFonts w:ascii="Calibri" w:hAnsi="Calibri" w:cs="Calibri"/>
          <w:rtl/>
        </w:rPr>
        <w:footnoteReference w:id="1"/>
      </w:r>
      <w:r w:rsidRPr="008847F2">
        <w:rPr>
          <w:rFonts w:ascii="Calibri" w:hAnsi="Calibri" w:cs="Calibri"/>
          <w:rtl/>
        </w:rPr>
        <w:t xml:space="preserve"> כפי שניתן לראות באיור 1, צעדים אלו אמנם תרמו רבות להרגעת השווקים, אולם נותרה אי ודאות רבה שבאה לידי ביטוי, בין היתר, במרווחים שהיו גבוהים בהרבה מאשר ערב המגיפה וצמצום ניכר של אפשרויות הגיוס באג"ח של חברות בדירוגים הנמוכים.</w:t>
      </w:r>
    </w:p>
    <w:p w:rsidR="008847F2" w:rsidRPr="008847F2" w:rsidRDefault="008847F2" w:rsidP="008847F2">
      <w:pPr>
        <w:pStyle w:val="NormalWeb"/>
        <w:bidi/>
        <w:spacing w:before="0" w:beforeAutospacing="0" w:after="120" w:afterAutospacing="0" w:line="360" w:lineRule="auto"/>
        <w:jc w:val="both"/>
        <w:rPr>
          <w:rFonts w:ascii="Calibri" w:hAnsi="Calibri" w:cs="Calibri"/>
          <w:rtl/>
        </w:rPr>
      </w:pPr>
      <w:r w:rsidRPr="008847F2">
        <w:rPr>
          <w:rFonts w:ascii="Calibri" w:hAnsi="Calibri" w:cs="Calibri"/>
          <w:rtl/>
        </w:rPr>
        <w:t xml:space="preserve">בתגובה לתנאים מאתגרים אלה, ובדומה לבנקים מרכזיים אחרים בעולם, הכריז בנק ישראל ב-6 ביולי 2020 על </w:t>
      </w:r>
      <w:proofErr w:type="spellStart"/>
      <w:r w:rsidRPr="008847F2">
        <w:rPr>
          <w:rFonts w:ascii="Calibri" w:hAnsi="Calibri" w:cs="Calibri"/>
          <w:rtl/>
        </w:rPr>
        <w:t>תוכנית</w:t>
      </w:r>
      <w:proofErr w:type="spellEnd"/>
      <w:r w:rsidRPr="008847F2">
        <w:rPr>
          <w:rFonts w:ascii="Calibri" w:hAnsi="Calibri" w:cs="Calibri"/>
          <w:rtl/>
        </w:rPr>
        <w:t xml:space="preserve"> לרכישת אגרות חוב תאגידיות בהיקף של עד 15 מיליארד ש"ח. במסגרת התוכנית היו זכאיות להירכש אגרות חוב בריבית קבועה שהונפקו על ידי חברות ישראליות עם דירוג אשראי של</w:t>
      </w:r>
      <w:r w:rsidRPr="008847F2">
        <w:rPr>
          <w:rFonts w:ascii="Calibri" w:hAnsi="Calibri" w:cs="Calibri"/>
        </w:rPr>
        <w:t xml:space="preserve"> A- </w:t>
      </w:r>
      <w:r w:rsidRPr="008847F2">
        <w:rPr>
          <w:rFonts w:ascii="Calibri" w:hAnsi="Calibri" w:cs="Calibri"/>
          <w:rtl/>
        </w:rPr>
        <w:t>ומעלה, עם טווח לפדיון של מעל חצי שנה. בשונה מתוכניות דומות שיושמו על ידי בנקים מרכזיים אחרים, התוכנית של בנק ישראל כללה גם אגרות חוב שהונפקו על ידי בנקים מסחריים</w:t>
      </w:r>
      <w:r w:rsidRPr="008847F2">
        <w:rPr>
          <w:rFonts w:ascii="Calibri" w:hAnsi="Calibri" w:cs="Calibri"/>
        </w:rPr>
        <w:t>.</w:t>
      </w:r>
    </w:p>
    <w:p w:rsidR="008847F2" w:rsidRPr="008847F2" w:rsidRDefault="008847F2" w:rsidP="008847F2">
      <w:pPr>
        <w:pStyle w:val="NormalWeb"/>
        <w:bidi/>
        <w:spacing w:before="0" w:beforeAutospacing="0" w:after="120" w:afterAutospacing="0" w:line="360" w:lineRule="auto"/>
        <w:jc w:val="both"/>
        <w:rPr>
          <w:rFonts w:ascii="Calibri" w:hAnsi="Calibri" w:cs="Calibri"/>
        </w:rPr>
      </w:pPr>
      <w:r w:rsidRPr="008847F2">
        <w:rPr>
          <w:rFonts w:ascii="Calibri" w:hAnsi="Calibri" w:cs="Calibri"/>
          <w:rtl/>
        </w:rPr>
        <w:lastRenderedPageBreak/>
        <w:t xml:space="preserve">מחקר חדש שנכתב בבנק ישראל על ידי  ד"ר נועם מיכלסון, בוחן את ההשפעה של </w:t>
      </w:r>
      <w:proofErr w:type="spellStart"/>
      <w:r w:rsidRPr="008847F2">
        <w:rPr>
          <w:rFonts w:ascii="Calibri" w:hAnsi="Calibri" w:cs="Calibri"/>
          <w:rtl/>
        </w:rPr>
        <w:t>תוכנית</w:t>
      </w:r>
      <w:proofErr w:type="spellEnd"/>
      <w:r w:rsidRPr="008847F2">
        <w:rPr>
          <w:rFonts w:ascii="Calibri" w:hAnsi="Calibri" w:cs="Calibri"/>
          <w:rtl/>
        </w:rPr>
        <w:t xml:space="preserve"> רכישת אגרות החוב התאגידיות (אג"ח </w:t>
      </w:r>
      <w:proofErr w:type="spellStart"/>
      <w:r w:rsidRPr="008847F2">
        <w:rPr>
          <w:rFonts w:ascii="Calibri" w:hAnsi="Calibri" w:cs="Calibri"/>
          <w:rtl/>
        </w:rPr>
        <w:t>קונצרניות</w:t>
      </w:r>
      <w:proofErr w:type="spellEnd"/>
      <w:r w:rsidRPr="008847F2">
        <w:rPr>
          <w:rFonts w:ascii="Calibri" w:hAnsi="Calibri" w:cs="Calibri"/>
          <w:rtl/>
        </w:rPr>
        <w:t xml:space="preserve">). המחקר מוצא כי לתוכנית הייתה השפעה </w:t>
      </w:r>
      <w:proofErr w:type="spellStart"/>
      <w:r w:rsidRPr="008847F2">
        <w:rPr>
          <w:rFonts w:ascii="Calibri" w:hAnsi="Calibri" w:cs="Calibri"/>
          <w:rtl/>
        </w:rPr>
        <w:t>מיידית</w:t>
      </w:r>
      <w:proofErr w:type="spellEnd"/>
      <w:r w:rsidRPr="008847F2">
        <w:rPr>
          <w:rFonts w:ascii="Calibri" w:hAnsi="Calibri" w:cs="Calibri"/>
          <w:rtl/>
        </w:rPr>
        <w:t xml:space="preserve"> וחזקה המלמדת כי</w:t>
      </w:r>
      <w:r w:rsidRPr="008847F2" w:rsidDel="00D447B3">
        <w:rPr>
          <w:rFonts w:ascii="Calibri" w:hAnsi="Calibri" w:cs="Calibri"/>
          <w:rtl/>
        </w:rPr>
        <w:t xml:space="preserve"> </w:t>
      </w:r>
      <w:r w:rsidRPr="008847F2">
        <w:rPr>
          <w:rFonts w:ascii="Calibri" w:hAnsi="Calibri" w:cs="Calibri"/>
          <w:rtl/>
        </w:rPr>
        <w:t xml:space="preserve">התערבויות של בנקים מרכזיים בשוק </w:t>
      </w:r>
      <w:proofErr w:type="spellStart"/>
      <w:r w:rsidRPr="008847F2">
        <w:rPr>
          <w:rFonts w:ascii="Calibri" w:hAnsi="Calibri" w:cs="Calibri"/>
          <w:rtl/>
        </w:rPr>
        <w:t>האג"ח</w:t>
      </w:r>
      <w:proofErr w:type="spellEnd"/>
      <w:r w:rsidRPr="008847F2">
        <w:rPr>
          <w:rFonts w:ascii="Calibri" w:hAnsi="Calibri" w:cs="Calibri"/>
          <w:rtl/>
        </w:rPr>
        <w:t xml:space="preserve"> התאגידיות יכולות לתמוך ביעילות בשווקים הפיננסיים ובהיצע האשראי בתקופות של לחץ כלכלי חמור</w:t>
      </w:r>
      <w:r w:rsidRPr="008847F2">
        <w:rPr>
          <w:rFonts w:ascii="Calibri" w:hAnsi="Calibri" w:cs="Calibri"/>
        </w:rPr>
        <w:t>.</w:t>
      </w:r>
    </w:p>
    <w:p w:rsidR="008847F2" w:rsidRPr="008847F2" w:rsidRDefault="008847F2" w:rsidP="008847F2">
      <w:pPr>
        <w:pStyle w:val="NormalWeb"/>
        <w:bidi/>
        <w:spacing w:before="0" w:beforeAutospacing="0" w:after="0" w:afterAutospacing="0"/>
        <w:jc w:val="center"/>
        <w:rPr>
          <w:rFonts w:ascii="Calibri" w:hAnsi="Calibri" w:cs="Calibri"/>
          <w:b/>
          <w:bCs/>
          <w:rtl/>
        </w:rPr>
      </w:pPr>
    </w:p>
    <w:p w:rsidR="008847F2" w:rsidRPr="008847F2" w:rsidRDefault="008847F2" w:rsidP="008847F2">
      <w:pPr>
        <w:pStyle w:val="NormalWeb"/>
        <w:bidi/>
        <w:spacing w:before="0" w:beforeAutospacing="0" w:after="0" w:afterAutospacing="0"/>
        <w:jc w:val="center"/>
        <w:rPr>
          <w:rFonts w:ascii="Calibri" w:hAnsi="Calibri" w:cs="Calibri"/>
          <w:b/>
          <w:bCs/>
          <w:rtl/>
        </w:rPr>
      </w:pPr>
    </w:p>
    <w:p w:rsidR="008847F2" w:rsidRPr="008847F2" w:rsidRDefault="008847F2" w:rsidP="008847F2">
      <w:pPr>
        <w:pStyle w:val="NormalWeb"/>
        <w:bidi/>
        <w:spacing w:before="0" w:beforeAutospacing="0" w:after="0" w:afterAutospacing="0"/>
        <w:jc w:val="center"/>
        <w:rPr>
          <w:rFonts w:ascii="Calibri" w:hAnsi="Calibri" w:cs="Calibri"/>
          <w:b/>
          <w:bCs/>
          <w:rtl/>
        </w:rPr>
      </w:pPr>
    </w:p>
    <w:p w:rsidR="008847F2" w:rsidRPr="008847F2" w:rsidRDefault="008847F2" w:rsidP="008847F2">
      <w:pPr>
        <w:pStyle w:val="NormalWeb"/>
        <w:bidi/>
        <w:spacing w:before="0" w:beforeAutospacing="0" w:after="0" w:afterAutospacing="0"/>
        <w:jc w:val="center"/>
        <w:rPr>
          <w:rFonts w:ascii="Calibri" w:hAnsi="Calibri" w:cs="Calibri"/>
          <w:b/>
          <w:bCs/>
          <w:rtl/>
        </w:rPr>
      </w:pPr>
    </w:p>
    <w:p w:rsidR="008847F2" w:rsidRPr="008847F2" w:rsidRDefault="008847F2" w:rsidP="008847F2">
      <w:pPr>
        <w:pStyle w:val="NormalWeb"/>
        <w:bidi/>
        <w:spacing w:before="0" w:beforeAutospacing="0" w:after="0" w:afterAutospacing="0"/>
        <w:jc w:val="center"/>
        <w:rPr>
          <w:rFonts w:ascii="Calibri" w:hAnsi="Calibri" w:cs="Calibri"/>
          <w:b/>
          <w:bCs/>
          <w:rtl/>
        </w:rPr>
      </w:pPr>
    </w:p>
    <w:p w:rsidR="008847F2" w:rsidRPr="008847F2" w:rsidRDefault="008847F2" w:rsidP="008847F2">
      <w:pPr>
        <w:pStyle w:val="NormalWeb"/>
        <w:bidi/>
        <w:spacing w:before="0" w:beforeAutospacing="0" w:after="0" w:afterAutospacing="0"/>
        <w:jc w:val="center"/>
        <w:rPr>
          <w:rFonts w:ascii="Calibri" w:hAnsi="Calibri" w:cs="Calibri"/>
          <w:b/>
          <w:bCs/>
          <w:rtl/>
        </w:rPr>
      </w:pPr>
      <w:r w:rsidRPr="008847F2">
        <w:rPr>
          <w:rFonts w:ascii="Calibri" w:hAnsi="Calibri" w:cs="Calibri"/>
          <w:b/>
          <w:bCs/>
          <w:rtl/>
        </w:rPr>
        <w:t>איור 1: מרווח האשראי הממוצע של אג"ח תאגידיות לפי קבוצות דירוג</w:t>
      </w:r>
    </w:p>
    <w:p w:rsidR="008847F2" w:rsidRPr="008847F2" w:rsidRDefault="008847F2" w:rsidP="008847F2">
      <w:pPr>
        <w:pStyle w:val="NormalWeb"/>
        <w:bidi/>
        <w:spacing w:before="0" w:beforeAutospacing="0" w:after="0" w:afterAutospacing="0"/>
        <w:jc w:val="center"/>
        <w:rPr>
          <w:rFonts w:ascii="Calibri" w:hAnsi="Calibri" w:cs="Calibri"/>
          <w:b/>
          <w:bCs/>
          <w:rtl/>
        </w:rPr>
      </w:pPr>
      <w:r w:rsidRPr="008847F2">
        <w:rPr>
          <w:rFonts w:ascii="Calibri" w:hAnsi="Calibri" w:cs="Calibri"/>
          <w:b/>
          <w:bCs/>
          <w:rtl/>
        </w:rPr>
        <w:t>(ינואר 2020 – דצמבר 2020, אחוזים)</w:t>
      </w:r>
    </w:p>
    <w:p w:rsidR="008847F2" w:rsidRPr="008847F2" w:rsidRDefault="008847F2" w:rsidP="008847F2">
      <w:pPr>
        <w:pStyle w:val="NormalWeb"/>
        <w:bidi/>
        <w:spacing w:before="0" w:beforeAutospacing="0" w:after="120" w:afterAutospacing="0" w:line="360" w:lineRule="auto"/>
        <w:jc w:val="center"/>
        <w:rPr>
          <w:rFonts w:ascii="Calibri" w:hAnsi="Calibri" w:cs="Calibri"/>
        </w:rPr>
      </w:pPr>
      <w:r w:rsidRPr="008847F2">
        <w:rPr>
          <w:rFonts w:ascii="Calibri" w:hAnsi="Calibri" w:cs="Calibri"/>
          <w:noProof/>
        </w:rPr>
        <mc:AlternateContent>
          <mc:Choice Requires="wps">
            <w:drawing>
              <wp:anchor distT="0" distB="0" distL="114300" distR="114300" simplePos="0" relativeHeight="251661312" behindDoc="0" locked="0" layoutInCell="1" allowOverlap="1" wp14:anchorId="6CD87AE2" wp14:editId="47EF0F1C">
                <wp:simplePos x="0" y="0"/>
                <wp:positionH relativeFrom="column">
                  <wp:posOffset>1190625</wp:posOffset>
                </wp:positionH>
                <wp:positionV relativeFrom="paragraph">
                  <wp:posOffset>149859</wp:posOffset>
                </wp:positionV>
                <wp:extent cx="0" cy="2276475"/>
                <wp:effectExtent l="0" t="0" r="19050" b="28575"/>
                <wp:wrapNone/>
                <wp:docPr id="2" name="מחבר ישר 2"/>
                <wp:cNvGraphicFramePr/>
                <a:graphic xmlns:a="http://schemas.openxmlformats.org/drawingml/2006/main">
                  <a:graphicData uri="http://schemas.microsoft.com/office/word/2010/wordprocessingShape">
                    <wps:wsp>
                      <wps:cNvCnPr/>
                      <wps:spPr>
                        <a:xfrm>
                          <a:off x="0" y="0"/>
                          <a:ext cx="0" cy="22764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29EFFD" id="מחבר ישר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5pt,11.8pt" to="93.75pt,1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" strokecolor="black [3040]" strokeweight="1.5pt"/>
            </w:pict>
          </mc:Fallback>
        </mc:AlternateContent>
      </w:r>
      <w:r w:rsidRPr="008847F2">
        <w:rPr>
          <w:rFonts w:ascii="Calibri" w:hAnsi="Calibri" w:cs="Calibri"/>
          <w:noProof/>
        </w:rPr>
        <w:drawing>
          <wp:inline distT="0" distB="0" distL="0" distR="0" wp14:anchorId="39238B4D" wp14:editId="23A3D28E">
            <wp:extent cx="5274310" cy="3371850"/>
            <wp:effectExtent l="0" t="0" r="2540" b="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47F2" w:rsidRPr="008847F2" w:rsidRDefault="008847F2" w:rsidP="008847F2">
      <w:pPr>
        <w:pStyle w:val="NormalWeb"/>
        <w:bidi/>
        <w:spacing w:before="0" w:beforeAutospacing="0" w:after="120" w:afterAutospacing="0" w:line="360" w:lineRule="auto"/>
        <w:jc w:val="both"/>
        <w:rPr>
          <w:rFonts w:ascii="Calibri" w:hAnsi="Calibri" w:cs="Calibri"/>
          <w:b/>
          <w:bCs/>
          <w:rtl/>
        </w:rPr>
      </w:pPr>
      <w:r w:rsidRPr="008847F2">
        <w:rPr>
          <w:rFonts w:ascii="Calibri" w:hAnsi="Calibri" w:cs="Calibri"/>
          <w:b/>
          <w:bCs/>
          <w:rtl/>
        </w:rPr>
        <w:t xml:space="preserve">עיקרי הממצאים: </w:t>
      </w:r>
    </w:p>
    <w:p w:rsidR="008847F2" w:rsidRPr="008847F2" w:rsidRDefault="008847F2" w:rsidP="008847F2">
      <w:pPr>
        <w:pStyle w:val="NormalWeb"/>
        <w:bidi/>
        <w:spacing w:before="0" w:beforeAutospacing="0" w:after="120" w:afterAutospacing="0" w:line="360" w:lineRule="auto"/>
        <w:jc w:val="both"/>
        <w:rPr>
          <w:rFonts w:ascii="Calibri" w:hAnsi="Calibri" w:cs="Calibri"/>
          <w:rtl/>
        </w:rPr>
      </w:pPr>
      <w:r w:rsidRPr="008847F2">
        <w:rPr>
          <w:rFonts w:ascii="Calibri" w:hAnsi="Calibri" w:cs="Calibri"/>
          <w:rtl/>
        </w:rPr>
        <w:t xml:space="preserve">המחקר מראה כי עצם ההכרזה על התערבות הבנק הובילה להפחתה ניכרת של כחצי נקודת אחוז בממוצע במרווחי האשראי של כלל אגרות החוב התאגידיות, הן אלו הזכאיות להירכש במסגרת התוכנית והן אלו שלא. מרווח האשראי של אגרות חוב בדירוג בינוני (המדורגות בקבוצת הדירוג </w:t>
      </w:r>
      <w:r w:rsidRPr="008847F2">
        <w:rPr>
          <w:rFonts w:ascii="Calibri" w:hAnsi="Calibri" w:cs="Calibri"/>
        </w:rPr>
        <w:t>A</w:t>
      </w:r>
      <w:r w:rsidRPr="008847F2">
        <w:rPr>
          <w:rFonts w:ascii="Calibri" w:hAnsi="Calibri" w:cs="Calibri"/>
          <w:rtl/>
        </w:rPr>
        <w:t xml:space="preserve">) הצטמצם </w:t>
      </w:r>
      <w:proofErr w:type="spellStart"/>
      <w:r w:rsidRPr="008847F2">
        <w:rPr>
          <w:rFonts w:ascii="Calibri" w:hAnsi="Calibri" w:cs="Calibri"/>
          <w:rtl/>
        </w:rPr>
        <w:t>בכשני</w:t>
      </w:r>
      <w:proofErr w:type="spellEnd"/>
      <w:r w:rsidRPr="008847F2">
        <w:rPr>
          <w:rFonts w:ascii="Calibri" w:hAnsi="Calibri" w:cs="Calibri"/>
          <w:rtl/>
        </w:rPr>
        <w:t xml:space="preserve"> שליש נקודת אחוז נוספת. תגובת שוק חזקה זו לעצם ההכרזה מדגישה את ההשפעה הניכרת שעשויה להיות להצהרת כוונות על מדיניות כלכלית מצד בנקים מרכזיים.</w:t>
      </w:r>
    </w:p>
    <w:p w:rsidR="008847F2" w:rsidRPr="008847F2" w:rsidRDefault="008847F2" w:rsidP="008847F2">
      <w:pPr>
        <w:pStyle w:val="NormalWeb"/>
        <w:bidi/>
        <w:spacing w:before="0" w:beforeAutospacing="0" w:after="120" w:afterAutospacing="0" w:line="360" w:lineRule="auto"/>
        <w:jc w:val="both"/>
        <w:rPr>
          <w:rFonts w:ascii="Calibri" w:hAnsi="Calibri" w:cs="Calibri"/>
        </w:rPr>
      </w:pPr>
      <w:r w:rsidRPr="008847F2">
        <w:rPr>
          <w:rFonts w:ascii="Calibri" w:hAnsi="Calibri" w:cs="Calibri"/>
          <w:rtl/>
        </w:rPr>
        <w:t xml:space="preserve">בנוסף, המחקר מוצא כי הרכישות בפועל של אגרות החוב הניבו אפקטים צנועים יותר מההכרזה עצמה, אך הן עדיין מילאו תפקיד חשוב. בכל יום שבו נרכשה אג"ח, מרווח האשראי של אותה אג"ח ירד ב-4 עד 6 נקודות בסיס נוספות </w:t>
      </w:r>
      <w:r w:rsidRPr="008847F2">
        <w:rPr>
          <w:rFonts w:ascii="Calibri" w:hAnsi="Calibri" w:cs="Calibri"/>
          <w:rtl/>
        </w:rPr>
        <w:lastRenderedPageBreak/>
        <w:t xml:space="preserve">ביום הרכישה, והאפקט נשמר גם כעבור כמה ימים. בעקבות הצלחת התוכנית התאפשרו גם הנפקות אג"ח חדשות, במיוחד של חברות שאינן בדירוג השקעה, שהתקשו מאוד </w:t>
      </w:r>
      <w:proofErr w:type="spellStart"/>
      <w:r w:rsidRPr="008847F2">
        <w:rPr>
          <w:rFonts w:ascii="Calibri" w:hAnsi="Calibri" w:cs="Calibri"/>
          <w:rtl/>
        </w:rPr>
        <w:t>לגסיי</w:t>
      </w:r>
      <w:proofErr w:type="spellEnd"/>
      <w:r w:rsidRPr="008847F2">
        <w:rPr>
          <w:rFonts w:ascii="Calibri" w:hAnsi="Calibri" w:cs="Calibri"/>
          <w:rtl/>
        </w:rPr>
        <w:t xml:space="preserve"> בשוק ההון מאז תחילת המגפה</w:t>
      </w:r>
      <w:r w:rsidRPr="008847F2">
        <w:rPr>
          <w:rFonts w:ascii="Calibri" w:hAnsi="Calibri" w:cs="Calibri"/>
        </w:rPr>
        <w:t>.</w:t>
      </w:r>
    </w:p>
    <w:p w:rsidR="008847F2" w:rsidRPr="008847F2" w:rsidRDefault="008847F2" w:rsidP="008847F2">
      <w:pPr>
        <w:pStyle w:val="NormalWeb"/>
        <w:bidi/>
        <w:spacing w:before="0" w:beforeAutospacing="0" w:after="120" w:afterAutospacing="0" w:line="360" w:lineRule="auto"/>
        <w:jc w:val="both"/>
        <w:rPr>
          <w:rFonts w:ascii="Calibri" w:hAnsi="Calibri" w:cs="Calibri"/>
        </w:rPr>
      </w:pPr>
      <w:r w:rsidRPr="008847F2">
        <w:rPr>
          <w:rFonts w:ascii="Calibri" w:hAnsi="Calibri" w:cs="Calibri"/>
          <w:rtl/>
        </w:rPr>
        <w:t xml:space="preserve">ממצא נוסף של המחקר נוגע לרכישת אגרות חוב שהונפקו על ידי בנקים מסחריים. נמצא כי ההיבט הייחודי הזה של התוכנית הוביל לעלייה מוחשית בהיצע האשראי למגזר העסקי. כלומר, ככל ששיעור </w:t>
      </w:r>
      <w:proofErr w:type="spellStart"/>
      <w:r w:rsidRPr="008847F2">
        <w:rPr>
          <w:rFonts w:ascii="Calibri" w:hAnsi="Calibri" w:cs="Calibri"/>
          <w:rtl/>
        </w:rPr>
        <w:t>האג"ח</w:t>
      </w:r>
      <w:proofErr w:type="spellEnd"/>
      <w:r w:rsidRPr="008847F2">
        <w:rPr>
          <w:rFonts w:ascii="Calibri" w:hAnsi="Calibri" w:cs="Calibri"/>
          <w:rtl/>
        </w:rPr>
        <w:t xml:space="preserve"> שנרכשו על ידי בנק ישראל מסך </w:t>
      </w:r>
      <w:proofErr w:type="spellStart"/>
      <w:r w:rsidRPr="008847F2">
        <w:rPr>
          <w:rFonts w:ascii="Calibri" w:hAnsi="Calibri" w:cs="Calibri"/>
          <w:rtl/>
        </w:rPr>
        <w:t>האג"ח</w:t>
      </w:r>
      <w:proofErr w:type="spellEnd"/>
      <w:r w:rsidRPr="008847F2">
        <w:rPr>
          <w:rFonts w:ascii="Calibri" w:hAnsi="Calibri" w:cs="Calibri"/>
          <w:rtl/>
        </w:rPr>
        <w:t xml:space="preserve"> המונפק על ידי בנק מסוים היה גדול יותר, כך גדל היצע האשראי שהקצה אותו בנק לעסקים הלווים ממנו. כהסבר לתופעה זו, המחקר מציע את האפשרות לפיה רכישות הבנק המרכזי מגדילות את היקף </w:t>
      </w:r>
      <w:proofErr w:type="spellStart"/>
      <w:r w:rsidRPr="008847F2">
        <w:rPr>
          <w:rFonts w:ascii="Calibri" w:hAnsi="Calibri" w:cs="Calibri"/>
          <w:rtl/>
        </w:rPr>
        <w:t>האג"ח</w:t>
      </w:r>
      <w:proofErr w:type="spellEnd"/>
      <w:r w:rsidRPr="008847F2">
        <w:rPr>
          <w:rFonts w:ascii="Calibri" w:hAnsi="Calibri" w:cs="Calibri"/>
          <w:rtl/>
        </w:rPr>
        <w:t xml:space="preserve"> המוחזקות על ידי "ידיים יציבות" – קרי, משקיעים שאינם נוטים לסחור באופן תדיר בנכס המוחזק – מה שמפחית את אי-הוודאות לגבי תנאי המימון של הבנקים ומעודד מתן אשראי רב יותר</w:t>
      </w:r>
      <w:r w:rsidRPr="008847F2">
        <w:rPr>
          <w:rFonts w:ascii="Calibri" w:hAnsi="Calibri" w:cs="Calibri"/>
        </w:rPr>
        <w:t>.</w:t>
      </w:r>
      <w:r w:rsidRPr="008847F2">
        <w:rPr>
          <w:rFonts w:ascii="Calibri" w:hAnsi="Calibri" w:cs="Calibri"/>
          <w:rtl/>
        </w:rPr>
        <w:t xml:space="preserve"> העדות שמספק המחקר היא שההשפעה של רכישות </w:t>
      </w:r>
      <w:proofErr w:type="spellStart"/>
      <w:r w:rsidRPr="008847F2">
        <w:rPr>
          <w:rFonts w:ascii="Calibri" w:hAnsi="Calibri" w:cs="Calibri"/>
          <w:rtl/>
        </w:rPr>
        <w:t>האג"ח</w:t>
      </w:r>
      <w:proofErr w:type="spellEnd"/>
      <w:r w:rsidRPr="008847F2">
        <w:rPr>
          <w:rFonts w:ascii="Calibri" w:hAnsi="Calibri" w:cs="Calibri"/>
          <w:rtl/>
        </w:rPr>
        <w:t xml:space="preserve"> הייתה יותר חזקה ככל ששיעור ה"ידיים הלא-יציבות" המחזיקות באג"ח של בנק מסוים ערב הפעלת התוכנית היה גבוה יותר. בכך שבנק ישראל רכש את אותן אג"ח, ולפי תנאי התוכנית התחייב להחזיק אותן עד לפדיון, אי הודאות לגבי תנאי המימון ירדה, מה </w:t>
      </w:r>
      <w:proofErr w:type="spellStart"/>
      <w:r w:rsidRPr="008847F2">
        <w:rPr>
          <w:rFonts w:ascii="Calibri" w:hAnsi="Calibri" w:cs="Calibri"/>
          <w:rtl/>
        </w:rPr>
        <w:t>שאיפשר</w:t>
      </w:r>
      <w:proofErr w:type="spellEnd"/>
      <w:r w:rsidRPr="008847F2">
        <w:rPr>
          <w:rFonts w:ascii="Calibri" w:hAnsi="Calibri" w:cs="Calibri"/>
          <w:rtl/>
        </w:rPr>
        <w:t xml:space="preserve"> לבנקים להגדיל את היצע האשראי ולתרום לפעילות.</w:t>
      </w:r>
    </w:p>
    <w:p w:rsidR="008847F2" w:rsidRPr="008847F2" w:rsidRDefault="008847F2" w:rsidP="008847F2">
      <w:pPr>
        <w:pStyle w:val="NormalWeb"/>
        <w:bidi/>
        <w:spacing w:before="0" w:beforeAutospacing="0" w:after="120" w:afterAutospacing="0" w:line="360" w:lineRule="auto"/>
        <w:jc w:val="both"/>
        <w:rPr>
          <w:rFonts w:ascii="Calibri" w:hAnsi="Calibri" w:cs="Calibri"/>
        </w:rPr>
      </w:pPr>
      <w:r w:rsidRPr="008847F2">
        <w:rPr>
          <w:rFonts w:ascii="Calibri" w:hAnsi="Calibri" w:cs="Calibri"/>
          <w:rtl/>
        </w:rPr>
        <w:t>לסיכום, המחקר מספק ראיות משכנעות שתוכניות רכישת אגרות חוב מתוכננות היטב יכולות לייצב שווקים ביעילות ולתמוך בהיצע אשראי בתקופות של שיבושים כלכליים חמורים</w:t>
      </w:r>
      <w:r w:rsidRPr="008847F2">
        <w:rPr>
          <w:rFonts w:ascii="Calibri" w:hAnsi="Calibri" w:cs="Calibri"/>
        </w:rPr>
        <w:t>.</w:t>
      </w:r>
    </w:p>
    <w:p w:rsidR="00570C50" w:rsidRPr="008847F2" w:rsidRDefault="00E43A58" w:rsidP="00E43A58">
      <w:pPr>
        <w:pStyle w:val="a5"/>
        <w:spacing w:before="480" w:line="360" w:lineRule="auto"/>
        <w:ind w:left="0"/>
        <w:rPr>
          <w:rFonts w:ascii="Calibri" w:hAnsi="Calibri" w:cs="Calibri"/>
          <w:sz w:val="24"/>
          <w:szCs w:val="24"/>
          <w:rtl/>
        </w:rPr>
      </w:pPr>
      <w:r w:rsidRPr="008847F2">
        <w:rPr>
          <w:rFonts w:ascii="Calibri" w:hAnsi="Calibri" w:cs="Calibri"/>
          <w:sz w:val="24"/>
          <w:szCs w:val="24"/>
          <w:rtl/>
        </w:rPr>
        <w:t xml:space="preserve"> </w:t>
      </w:r>
    </w:p>
    <w:sectPr w:rsidR="00570C50" w:rsidRPr="008847F2"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8847F2" w:rsidRPr="008847F2" w:rsidRDefault="008847F2" w:rsidP="008847F2">
      <w:pPr>
        <w:pStyle w:val="af0"/>
        <w:jc w:val="both"/>
        <w:rPr>
          <w:rFonts w:ascii="Calibri" w:hAnsi="Calibri" w:cs="Calibri"/>
          <w:rtl/>
        </w:rPr>
      </w:pPr>
      <w:r w:rsidRPr="008847F2">
        <w:rPr>
          <w:rStyle w:val="af2"/>
          <w:rFonts w:ascii="Calibri" w:hAnsi="Calibri" w:cs="Calibri"/>
        </w:rPr>
        <w:footnoteRef/>
      </w:r>
      <w:r w:rsidRPr="008847F2">
        <w:rPr>
          <w:rFonts w:ascii="Calibri" w:hAnsi="Calibri" w:cs="Calibri"/>
          <w:rtl/>
        </w:rPr>
        <w:t xml:space="preserve"> סקירה מלאה של הצעדים שנקט בנק ישראל בתגובה למשבר הקורונה ניתן למצוא בדוח בנק ישראל לשנת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6411A"/>
    <w:multiLevelType w:val="hybridMultilevel"/>
    <w:tmpl w:val="F7C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53F2"/>
    <w:multiLevelType w:val="hybridMultilevel"/>
    <w:tmpl w:val="12EE86AA"/>
    <w:lvl w:ilvl="0" w:tplc="C098428A">
      <w:start w:val="1"/>
      <w:numFmt w:val="bullet"/>
      <w:lvlText w:val=""/>
      <w:lvlJc w:val="left"/>
      <w:pPr>
        <w:ind w:left="78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E60E9F"/>
    <w:multiLevelType w:val="hybridMultilevel"/>
    <w:tmpl w:val="33606C72"/>
    <w:lvl w:ilvl="0" w:tplc="C4C8AB0E">
      <w:start w:val="1"/>
      <w:numFmt w:val="decimal"/>
      <w:lvlText w:val="%1."/>
      <w:lvlJc w:val="left"/>
      <w:pPr>
        <w:tabs>
          <w:tab w:val="num" w:pos="720"/>
        </w:tabs>
        <w:ind w:left="720" w:hanging="360"/>
      </w:pPr>
    </w:lvl>
    <w:lvl w:ilvl="1" w:tplc="C30C1A26">
      <w:start w:val="1"/>
      <w:numFmt w:val="hebrew2"/>
      <w:lvlText w:val="%2-"/>
      <w:lvlJc w:val="left"/>
      <w:pPr>
        <w:tabs>
          <w:tab w:val="num" w:pos="1440"/>
        </w:tabs>
        <w:ind w:left="1440" w:hanging="360"/>
      </w:pPr>
    </w:lvl>
    <w:lvl w:ilvl="2" w:tplc="81EA5B78" w:tentative="1">
      <w:start w:val="1"/>
      <w:numFmt w:val="decimal"/>
      <w:lvlText w:val="%3."/>
      <w:lvlJc w:val="left"/>
      <w:pPr>
        <w:tabs>
          <w:tab w:val="num" w:pos="2160"/>
        </w:tabs>
        <w:ind w:left="2160" w:hanging="360"/>
      </w:pPr>
    </w:lvl>
    <w:lvl w:ilvl="3" w:tplc="60F4CBE4" w:tentative="1">
      <w:start w:val="1"/>
      <w:numFmt w:val="decimal"/>
      <w:lvlText w:val="%4."/>
      <w:lvlJc w:val="left"/>
      <w:pPr>
        <w:tabs>
          <w:tab w:val="num" w:pos="2880"/>
        </w:tabs>
        <w:ind w:left="2880" w:hanging="360"/>
      </w:pPr>
    </w:lvl>
    <w:lvl w:ilvl="4" w:tplc="A7840580" w:tentative="1">
      <w:start w:val="1"/>
      <w:numFmt w:val="decimal"/>
      <w:lvlText w:val="%5."/>
      <w:lvlJc w:val="left"/>
      <w:pPr>
        <w:tabs>
          <w:tab w:val="num" w:pos="3600"/>
        </w:tabs>
        <w:ind w:left="3600" w:hanging="360"/>
      </w:pPr>
    </w:lvl>
    <w:lvl w:ilvl="5" w:tplc="49828028" w:tentative="1">
      <w:start w:val="1"/>
      <w:numFmt w:val="decimal"/>
      <w:lvlText w:val="%6."/>
      <w:lvlJc w:val="left"/>
      <w:pPr>
        <w:tabs>
          <w:tab w:val="num" w:pos="4320"/>
        </w:tabs>
        <w:ind w:left="4320" w:hanging="360"/>
      </w:pPr>
    </w:lvl>
    <w:lvl w:ilvl="6" w:tplc="13D63AC2" w:tentative="1">
      <w:start w:val="1"/>
      <w:numFmt w:val="decimal"/>
      <w:lvlText w:val="%7."/>
      <w:lvlJc w:val="left"/>
      <w:pPr>
        <w:tabs>
          <w:tab w:val="num" w:pos="5040"/>
        </w:tabs>
        <w:ind w:left="5040" w:hanging="360"/>
      </w:pPr>
    </w:lvl>
    <w:lvl w:ilvl="7" w:tplc="9D00938A" w:tentative="1">
      <w:start w:val="1"/>
      <w:numFmt w:val="decimal"/>
      <w:lvlText w:val="%8."/>
      <w:lvlJc w:val="left"/>
      <w:pPr>
        <w:tabs>
          <w:tab w:val="num" w:pos="5760"/>
        </w:tabs>
        <w:ind w:left="5760" w:hanging="360"/>
      </w:pPr>
    </w:lvl>
    <w:lvl w:ilvl="8" w:tplc="C23AC158" w:tentative="1">
      <w:start w:val="1"/>
      <w:numFmt w:val="decimal"/>
      <w:lvlText w:val="%9."/>
      <w:lvlJc w:val="left"/>
      <w:pPr>
        <w:tabs>
          <w:tab w:val="num" w:pos="6480"/>
        </w:tabs>
        <w:ind w:left="6480" w:hanging="360"/>
      </w:pPr>
    </w:lvl>
  </w:abstractNum>
  <w:abstractNum w:abstractNumId="16" w15:restartNumberingAfterBreak="0">
    <w:nsid w:val="3E034AED"/>
    <w:multiLevelType w:val="hybridMultilevel"/>
    <w:tmpl w:val="440A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54FB8"/>
    <w:multiLevelType w:val="hybridMultilevel"/>
    <w:tmpl w:val="197A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D5319A"/>
    <w:multiLevelType w:val="hybridMultilevel"/>
    <w:tmpl w:val="919C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15:restartNumberingAfterBreak="0">
    <w:nsid w:val="6E7007A1"/>
    <w:multiLevelType w:val="hybridMultilevel"/>
    <w:tmpl w:val="773A65F2"/>
    <w:lvl w:ilvl="0" w:tplc="AAE6A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7"/>
  </w:num>
  <w:num w:numId="4">
    <w:abstractNumId w:val="9"/>
  </w:num>
  <w:num w:numId="5">
    <w:abstractNumId w:val="8"/>
  </w:num>
  <w:num w:numId="6">
    <w:abstractNumId w:val="4"/>
  </w:num>
  <w:num w:numId="7">
    <w:abstractNumId w:val="20"/>
  </w:num>
  <w:num w:numId="8">
    <w:abstractNumId w:val="26"/>
  </w:num>
  <w:num w:numId="9">
    <w:abstractNumId w:val="29"/>
  </w:num>
  <w:num w:numId="10">
    <w:abstractNumId w:val="23"/>
  </w:num>
  <w:num w:numId="11">
    <w:abstractNumId w:val="17"/>
  </w:num>
  <w:num w:numId="12">
    <w:abstractNumId w:val="24"/>
  </w:num>
  <w:num w:numId="13">
    <w:abstractNumId w:val="14"/>
  </w:num>
  <w:num w:numId="14">
    <w:abstractNumId w:val="5"/>
  </w:num>
  <w:num w:numId="15">
    <w:abstractNumId w:val="25"/>
  </w:num>
  <w:num w:numId="16">
    <w:abstractNumId w:val="2"/>
  </w:num>
  <w:num w:numId="17">
    <w:abstractNumId w:val="34"/>
  </w:num>
  <w:num w:numId="18">
    <w:abstractNumId w:val="30"/>
  </w:num>
  <w:num w:numId="19">
    <w:abstractNumId w:val="28"/>
  </w:num>
  <w:num w:numId="20">
    <w:abstractNumId w:val="27"/>
  </w:num>
  <w:num w:numId="21">
    <w:abstractNumId w:val="0"/>
  </w:num>
  <w:num w:numId="22">
    <w:abstractNumId w:val="10"/>
  </w:num>
  <w:num w:numId="23">
    <w:abstractNumId w:val="31"/>
  </w:num>
  <w:num w:numId="24">
    <w:abstractNumId w:val="12"/>
  </w:num>
  <w:num w:numId="25">
    <w:abstractNumId w:val="15"/>
  </w:num>
  <w:num w:numId="26">
    <w:abstractNumId w:val="32"/>
  </w:num>
  <w:num w:numId="27">
    <w:abstractNumId w:val="22"/>
  </w:num>
  <w:num w:numId="28">
    <w:abstractNumId w:val="13"/>
  </w:num>
  <w:num w:numId="29">
    <w:abstractNumId w:val="18"/>
  </w:num>
  <w:num w:numId="30">
    <w:abstractNumId w:val="3"/>
  </w:num>
  <w:num w:numId="31">
    <w:abstractNumId w:val="22"/>
    <w:lvlOverride w:ilvl="0">
      <w:startOverride w:val="4"/>
    </w:lvlOverride>
  </w:num>
  <w:num w:numId="32">
    <w:abstractNumId w:val="16"/>
  </w:num>
  <w:num w:numId="33">
    <w:abstractNumId w:val="1"/>
  </w:num>
  <w:num w:numId="34">
    <w:abstractNumId w:val="33"/>
  </w:num>
  <w:num w:numId="35">
    <w:abstractNumId w:val="21"/>
  </w:num>
  <w:num w:numId="3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47F2"/>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3A58"/>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0BAD"/>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22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0">
    <w:name w:val="heading 1"/>
    <w:basedOn w:val="a"/>
    <w:link w:val="11"/>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1">
    <w:name w:val="כותרת 1 תו"/>
    <w:basedOn w:val="a0"/>
    <w:link w:val="10"/>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0"/>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0"/>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 w:type="paragraph" w:customStyle="1" w:styleId="aff1">
    <w:name w:val="כותרת ראשית"/>
    <w:basedOn w:val="af6"/>
    <w:link w:val="aff2"/>
    <w:qFormat/>
    <w:rsid w:val="00F20BAD"/>
    <w:pPr>
      <w:keepNext w:val="0"/>
      <w:keepLines w:val="0"/>
      <w:spacing w:before="240" w:after="60"/>
    </w:pPr>
    <w:rPr>
      <w:rFonts w:asciiTheme="majorHAnsi" w:eastAsiaTheme="majorEastAsia" w:hAnsiTheme="majorHAnsi" w:cs="David"/>
      <w:kern w:val="28"/>
      <w:sz w:val="28"/>
      <w:szCs w:val="28"/>
      <w:u w:val="single"/>
      <w:lang w:eastAsia="he-IL"/>
    </w:rPr>
  </w:style>
  <w:style w:type="paragraph" w:customStyle="1" w:styleId="aff3">
    <w:name w:val="כותרת לוח"/>
    <w:basedOn w:val="af6"/>
    <w:link w:val="aff4"/>
    <w:qFormat/>
    <w:rsid w:val="00F20BAD"/>
    <w:pPr>
      <w:keepNext w:val="0"/>
      <w:keepLines w:val="0"/>
      <w:spacing w:before="240" w:after="60"/>
    </w:pPr>
    <w:rPr>
      <w:rFonts w:asciiTheme="majorHAnsi" w:eastAsiaTheme="majorEastAsia" w:hAnsiTheme="majorHAnsi" w:cs="David"/>
      <w:kern w:val="28"/>
      <w:u w:val="single"/>
      <w:lang w:eastAsia="he-IL"/>
    </w:rPr>
  </w:style>
  <w:style w:type="character" w:customStyle="1" w:styleId="aff2">
    <w:name w:val="כותרת ראשית תו"/>
    <w:basedOn w:val="af7"/>
    <w:link w:val="aff1"/>
    <w:rsid w:val="00F20BAD"/>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F20BAD"/>
    <w:pPr>
      <w:keepNext/>
      <w:numPr>
        <w:numId w:val="27"/>
      </w:numPr>
      <w:bidi/>
      <w:spacing w:before="0" w:beforeAutospacing="0" w:after="0" w:afterAutospacing="0" w:line="360" w:lineRule="auto"/>
    </w:pPr>
    <w:rPr>
      <w:rFonts w:ascii="Arial" w:hAnsi="Arial" w:cs="David"/>
      <w:sz w:val="24"/>
      <w:szCs w:val="24"/>
      <w:u w:val="single"/>
      <w:lang w:eastAsia="he-IL"/>
    </w:rPr>
  </w:style>
  <w:style w:type="character" w:customStyle="1" w:styleId="aff4">
    <w:name w:val="כותרת לוח תו"/>
    <w:basedOn w:val="af7"/>
    <w:link w:val="aff3"/>
    <w:rsid w:val="00F20BAD"/>
    <w:rPr>
      <w:rFonts w:asciiTheme="majorHAnsi" w:eastAsiaTheme="majorEastAsia" w:hAnsiTheme="majorHAnsi" w:cs="David"/>
      <w:b/>
      <w:bCs/>
      <w:kern w:val="28"/>
      <w:sz w:val="24"/>
      <w:szCs w:val="24"/>
      <w:u w:val="single"/>
      <w:lang w:eastAsia="he-IL"/>
    </w:rPr>
  </w:style>
  <w:style w:type="paragraph" w:customStyle="1" w:styleId="21">
    <w:name w:val="כותרת משנה 2"/>
    <w:basedOn w:val="a"/>
    <w:link w:val="22"/>
    <w:qFormat/>
    <w:rsid w:val="00F20BAD"/>
    <w:pPr>
      <w:spacing w:after="0" w:line="360" w:lineRule="auto"/>
      <w:ind w:right="426"/>
      <w:jc w:val="both"/>
    </w:pPr>
    <w:rPr>
      <w:rFonts w:ascii="Times New Roman" w:eastAsia="Times New Roman" w:hAnsi="Times New Roman" w:cs="David"/>
      <w:sz w:val="24"/>
      <w:szCs w:val="24"/>
      <w:lang w:eastAsia="he-IL"/>
    </w:rPr>
  </w:style>
  <w:style w:type="character" w:customStyle="1" w:styleId="12">
    <w:name w:val="כותרת משנה 1 תו"/>
    <w:basedOn w:val="11"/>
    <w:link w:val="1"/>
    <w:rsid w:val="00F20BAD"/>
    <w:rPr>
      <w:rFonts w:ascii="Arial" w:eastAsia="Times New Roman" w:hAnsi="Arial" w:cs="David"/>
      <w:b/>
      <w:bCs/>
      <w:kern w:val="36"/>
      <w:sz w:val="24"/>
      <w:szCs w:val="24"/>
      <w:u w:val="single"/>
      <w:lang w:eastAsia="he-IL"/>
    </w:rPr>
  </w:style>
  <w:style w:type="character" w:customStyle="1" w:styleId="22">
    <w:name w:val="כותרת משנה 2 תו"/>
    <w:basedOn w:val="a0"/>
    <w:link w:val="21"/>
    <w:rsid w:val="00F20BAD"/>
    <w:rPr>
      <w:rFonts w:ascii="Times New Roman" w:eastAsia="Times New Roman" w:hAnsi="Times New Roman" w:cs="David"/>
      <w:sz w:val="24"/>
      <w:szCs w:val="24"/>
      <w:lang w:eastAsia="he-IL"/>
    </w:rPr>
  </w:style>
  <w:style w:type="paragraph" w:styleId="aff5">
    <w:name w:val="caption"/>
    <w:basedOn w:val="a"/>
    <w:next w:val="a"/>
    <w:unhideWhenUsed/>
    <w:qFormat/>
    <w:rsid w:val="00F20BAD"/>
    <w:pPr>
      <w:spacing w:line="240" w:lineRule="auto"/>
    </w:pPr>
    <w:rPr>
      <w:rFonts w:ascii="Times New Roman" w:eastAsia="Times New Roman" w:hAnsi="Times New Roman" w:cs="Times New Roman"/>
      <w:i/>
      <w:iCs/>
      <w:color w:val="1F497D" w:themeColor="text2"/>
      <w:sz w:val="18"/>
      <w:szCs w:val="18"/>
      <w:lang w:eastAsia="he-IL"/>
    </w:rPr>
  </w:style>
  <w:style w:type="paragraph" w:styleId="aff6">
    <w:name w:val="endnote text"/>
    <w:basedOn w:val="a"/>
    <w:link w:val="aff7"/>
    <w:semiHidden/>
    <w:unhideWhenUsed/>
    <w:rsid w:val="00F20BAD"/>
    <w:pPr>
      <w:spacing w:after="0" w:line="240" w:lineRule="auto"/>
    </w:pPr>
    <w:rPr>
      <w:rFonts w:ascii="Times New Roman" w:eastAsia="Times New Roman" w:hAnsi="Times New Roman" w:cs="Times New Roman"/>
      <w:sz w:val="20"/>
      <w:szCs w:val="20"/>
      <w:lang w:eastAsia="he-IL"/>
    </w:rPr>
  </w:style>
  <w:style w:type="character" w:customStyle="1" w:styleId="aff7">
    <w:name w:val="טקסט הערת סיום תו"/>
    <w:basedOn w:val="a0"/>
    <w:link w:val="aff6"/>
    <w:semiHidden/>
    <w:rsid w:val="00F20BAD"/>
    <w:rPr>
      <w:rFonts w:ascii="Times New Roman" w:eastAsia="Times New Roman" w:hAnsi="Times New Roman" w:cs="Times New Roman"/>
      <w:sz w:val="20"/>
      <w:szCs w:val="20"/>
      <w:lang w:eastAsia="he-IL"/>
    </w:rPr>
  </w:style>
  <w:style w:type="character" w:styleId="aff8">
    <w:name w:val="endnote reference"/>
    <w:basedOn w:val="a0"/>
    <w:semiHidden/>
    <w:unhideWhenUsed/>
    <w:rsid w:val="00F20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srnas\drive-h\users\z32q\Financial%20Stability\Bonds%20Purchases\stata%20outpu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'bond market main developments'!$B$1</c:f>
              <c:strCache>
                <c:ptCount val="1"/>
                <c:pt idx="0">
                  <c:v>All</c:v>
                </c:pt>
              </c:strCache>
            </c:strRef>
          </c:tx>
          <c:spPr>
            <a:ln w="28575" cap="rnd">
              <a:solidFill>
                <a:sysClr val="windowText" lastClr="000000"/>
              </a:solidFill>
              <a:prstDash val="sysDash"/>
              <a:round/>
            </a:ln>
            <a:effectLst/>
          </c:spPr>
          <c:marker>
            <c:symbol val="none"/>
          </c:marker>
          <c:cat>
            <c:numRef>
              <c:f>'bond market main developments'!$I$57:$I$107</c:f>
              <c:numCache>
                <c:formatCode>m/d/yyyy</c:formatCode>
                <c:ptCount val="51"/>
                <c:pt idx="0">
                  <c:v>43837</c:v>
                </c:pt>
                <c:pt idx="1">
                  <c:v>43844</c:v>
                </c:pt>
                <c:pt idx="2">
                  <c:v>43851</c:v>
                </c:pt>
                <c:pt idx="3">
                  <c:v>43858</c:v>
                </c:pt>
                <c:pt idx="4">
                  <c:v>43865</c:v>
                </c:pt>
                <c:pt idx="5">
                  <c:v>43872</c:v>
                </c:pt>
                <c:pt idx="6">
                  <c:v>43879</c:v>
                </c:pt>
                <c:pt idx="7">
                  <c:v>43886</c:v>
                </c:pt>
                <c:pt idx="8">
                  <c:v>43893</c:v>
                </c:pt>
                <c:pt idx="9">
                  <c:v>43900</c:v>
                </c:pt>
                <c:pt idx="10">
                  <c:v>43907</c:v>
                </c:pt>
                <c:pt idx="11">
                  <c:v>43914</c:v>
                </c:pt>
                <c:pt idx="12">
                  <c:v>43921</c:v>
                </c:pt>
                <c:pt idx="13">
                  <c:v>43928</c:v>
                </c:pt>
                <c:pt idx="14">
                  <c:v>43935</c:v>
                </c:pt>
                <c:pt idx="15">
                  <c:v>43942</c:v>
                </c:pt>
                <c:pt idx="16">
                  <c:v>43949</c:v>
                </c:pt>
                <c:pt idx="17">
                  <c:v>43956</c:v>
                </c:pt>
                <c:pt idx="18">
                  <c:v>43963</c:v>
                </c:pt>
                <c:pt idx="19">
                  <c:v>43970</c:v>
                </c:pt>
                <c:pt idx="20">
                  <c:v>43977</c:v>
                </c:pt>
                <c:pt idx="21">
                  <c:v>43984</c:v>
                </c:pt>
                <c:pt idx="22">
                  <c:v>43991</c:v>
                </c:pt>
                <c:pt idx="23">
                  <c:v>43998</c:v>
                </c:pt>
                <c:pt idx="24">
                  <c:v>44005</c:v>
                </c:pt>
                <c:pt idx="25">
                  <c:v>44012</c:v>
                </c:pt>
                <c:pt idx="26">
                  <c:v>44019</c:v>
                </c:pt>
                <c:pt idx="27">
                  <c:v>44026</c:v>
                </c:pt>
                <c:pt idx="28">
                  <c:v>44033</c:v>
                </c:pt>
                <c:pt idx="29">
                  <c:v>44040</c:v>
                </c:pt>
                <c:pt idx="30">
                  <c:v>44047</c:v>
                </c:pt>
                <c:pt idx="31">
                  <c:v>44054</c:v>
                </c:pt>
                <c:pt idx="32">
                  <c:v>44061</c:v>
                </c:pt>
                <c:pt idx="33">
                  <c:v>44068</c:v>
                </c:pt>
                <c:pt idx="34">
                  <c:v>44075</c:v>
                </c:pt>
                <c:pt idx="35">
                  <c:v>44082</c:v>
                </c:pt>
                <c:pt idx="36">
                  <c:v>44089</c:v>
                </c:pt>
                <c:pt idx="37">
                  <c:v>44096</c:v>
                </c:pt>
                <c:pt idx="38">
                  <c:v>44103</c:v>
                </c:pt>
                <c:pt idx="39">
                  <c:v>44110</c:v>
                </c:pt>
                <c:pt idx="40">
                  <c:v>44117</c:v>
                </c:pt>
                <c:pt idx="41">
                  <c:v>44124</c:v>
                </c:pt>
                <c:pt idx="42">
                  <c:v>44131</c:v>
                </c:pt>
                <c:pt idx="43">
                  <c:v>44138</c:v>
                </c:pt>
                <c:pt idx="44">
                  <c:v>44145</c:v>
                </c:pt>
                <c:pt idx="45">
                  <c:v>44152</c:v>
                </c:pt>
                <c:pt idx="46">
                  <c:v>44159</c:v>
                </c:pt>
                <c:pt idx="47">
                  <c:v>44166</c:v>
                </c:pt>
                <c:pt idx="48">
                  <c:v>44173</c:v>
                </c:pt>
                <c:pt idx="49">
                  <c:v>44180</c:v>
                </c:pt>
                <c:pt idx="50">
                  <c:v>44187</c:v>
                </c:pt>
              </c:numCache>
            </c:numRef>
          </c:cat>
          <c:val>
            <c:numRef>
              <c:f>'bond market main developments'!$B$57:$B$107</c:f>
              <c:numCache>
                <c:formatCode>General</c:formatCode>
                <c:ptCount val="51"/>
                <c:pt idx="0">
                  <c:v>1.667014</c:v>
                </c:pt>
                <c:pt idx="1">
                  <c:v>1.642744</c:v>
                </c:pt>
                <c:pt idx="2">
                  <c:v>1.6667289999999999</c:v>
                </c:pt>
                <c:pt idx="3">
                  <c:v>1.8225530000000001</c:v>
                </c:pt>
                <c:pt idx="4">
                  <c:v>1.7727299999999999</c:v>
                </c:pt>
                <c:pt idx="5">
                  <c:v>1.68557</c:v>
                </c:pt>
                <c:pt idx="6">
                  <c:v>1.710574</c:v>
                </c:pt>
                <c:pt idx="7">
                  <c:v>1.923586</c:v>
                </c:pt>
                <c:pt idx="8">
                  <c:v>3.0825450000000001</c:v>
                </c:pt>
                <c:pt idx="9">
                  <c:v>5.3936919999999997</c:v>
                </c:pt>
                <c:pt idx="10">
                  <c:v>5.6763979999999998</c:v>
                </c:pt>
                <c:pt idx="11">
                  <c:v>4.6517369999999998</c:v>
                </c:pt>
                <c:pt idx="12">
                  <c:v>4.317971</c:v>
                </c:pt>
                <c:pt idx="13">
                  <c:v>3.7348129999999999</c:v>
                </c:pt>
                <c:pt idx="14">
                  <c:v>3.5511949999999999</c:v>
                </c:pt>
                <c:pt idx="15">
                  <c:v>3.460906</c:v>
                </c:pt>
                <c:pt idx="16">
                  <c:v>3.1214050000000002</c:v>
                </c:pt>
                <c:pt idx="17">
                  <c:v>3.0901179999999999</c:v>
                </c:pt>
                <c:pt idx="18">
                  <c:v>3.1475719999999998</c:v>
                </c:pt>
                <c:pt idx="19">
                  <c:v>3.1579449999999998</c:v>
                </c:pt>
                <c:pt idx="20">
                  <c:v>3.2648839999999999</c:v>
                </c:pt>
                <c:pt idx="21">
                  <c:v>3.2980420000000001</c:v>
                </c:pt>
                <c:pt idx="22">
                  <c:v>3.3563830000000001</c:v>
                </c:pt>
                <c:pt idx="23">
                  <c:v>3.2997709999999998</c:v>
                </c:pt>
                <c:pt idx="24">
                  <c:v>3.6085639999999999</c:v>
                </c:pt>
                <c:pt idx="25">
                  <c:v>3.313542</c:v>
                </c:pt>
                <c:pt idx="26">
                  <c:v>3.0955159999999999</c:v>
                </c:pt>
                <c:pt idx="27">
                  <c:v>3.2166960000000002</c:v>
                </c:pt>
                <c:pt idx="28">
                  <c:v>3.0601090000000002</c:v>
                </c:pt>
                <c:pt idx="29">
                  <c:v>2.9481670000000002</c:v>
                </c:pt>
                <c:pt idx="30">
                  <c:v>2.746111</c:v>
                </c:pt>
                <c:pt idx="31">
                  <c:v>2.6097160000000001</c:v>
                </c:pt>
                <c:pt idx="32">
                  <c:v>2.5186549999999999</c:v>
                </c:pt>
                <c:pt idx="33">
                  <c:v>2.4800559999999998</c:v>
                </c:pt>
                <c:pt idx="34">
                  <c:v>2.6092949999999999</c:v>
                </c:pt>
                <c:pt idx="35">
                  <c:v>2.6958869999999999</c:v>
                </c:pt>
                <c:pt idx="36">
                  <c:v>2.6099000000000001</c:v>
                </c:pt>
                <c:pt idx="37">
                  <c:v>2.5967760000000002</c:v>
                </c:pt>
                <c:pt idx="38">
                  <c:v>2.394844</c:v>
                </c:pt>
                <c:pt idx="39">
                  <c:v>2.3252060000000001</c:v>
                </c:pt>
                <c:pt idx="40">
                  <c:v>2.3069869999999999</c:v>
                </c:pt>
                <c:pt idx="41">
                  <c:v>2.3214169999999998</c:v>
                </c:pt>
                <c:pt idx="42">
                  <c:v>2.3842750000000001</c:v>
                </c:pt>
                <c:pt idx="43">
                  <c:v>2.2326169999999999</c:v>
                </c:pt>
                <c:pt idx="44">
                  <c:v>2.099904</c:v>
                </c:pt>
                <c:pt idx="45">
                  <c:v>1.978458</c:v>
                </c:pt>
                <c:pt idx="46">
                  <c:v>2.0522680000000002</c:v>
                </c:pt>
                <c:pt idx="47">
                  <c:v>2.15035</c:v>
                </c:pt>
                <c:pt idx="48">
                  <c:v>2.0799660000000002</c:v>
                </c:pt>
                <c:pt idx="49">
                  <c:v>2.0965980000000002</c:v>
                </c:pt>
                <c:pt idx="50">
                  <c:v>2.0822319999999999</c:v>
                </c:pt>
              </c:numCache>
            </c:numRef>
          </c:val>
          <c:smooth val="0"/>
          <c:extLst>
            <c:ext xmlns:c16="http://schemas.microsoft.com/office/drawing/2014/chart" uri="{C3380CC4-5D6E-409C-BE32-E72D297353CC}">
              <c16:uniqueId val="{00000000-643A-4C82-ADF6-445D7000315D}"/>
            </c:ext>
          </c:extLst>
        </c:ser>
        <c:ser>
          <c:idx val="2"/>
          <c:order val="1"/>
          <c:tx>
            <c:strRef>
              <c:f>'bond market main developments'!$E$1</c:f>
              <c:strCache>
                <c:ptCount val="1"/>
                <c:pt idx="0">
                  <c:v>AAA-AA</c:v>
                </c:pt>
              </c:strCache>
            </c:strRef>
          </c:tx>
          <c:spPr>
            <a:ln w="28575" cap="rnd">
              <a:solidFill>
                <a:schemeClr val="accent3"/>
              </a:solidFill>
              <a:round/>
            </a:ln>
            <a:effectLst/>
          </c:spPr>
          <c:marker>
            <c:symbol val="none"/>
          </c:marker>
          <c:cat>
            <c:numRef>
              <c:f>'bond market main developments'!$I$57:$I$107</c:f>
              <c:numCache>
                <c:formatCode>m/d/yyyy</c:formatCode>
                <c:ptCount val="51"/>
                <c:pt idx="0">
                  <c:v>43837</c:v>
                </c:pt>
                <c:pt idx="1">
                  <c:v>43844</c:v>
                </c:pt>
                <c:pt idx="2">
                  <c:v>43851</c:v>
                </c:pt>
                <c:pt idx="3">
                  <c:v>43858</c:v>
                </c:pt>
                <c:pt idx="4">
                  <c:v>43865</c:v>
                </c:pt>
                <c:pt idx="5">
                  <c:v>43872</c:v>
                </c:pt>
                <c:pt idx="6">
                  <c:v>43879</c:v>
                </c:pt>
                <c:pt idx="7">
                  <c:v>43886</c:v>
                </c:pt>
                <c:pt idx="8">
                  <c:v>43893</c:v>
                </c:pt>
                <c:pt idx="9">
                  <c:v>43900</c:v>
                </c:pt>
                <c:pt idx="10">
                  <c:v>43907</c:v>
                </c:pt>
                <c:pt idx="11">
                  <c:v>43914</c:v>
                </c:pt>
                <c:pt idx="12">
                  <c:v>43921</c:v>
                </c:pt>
                <c:pt idx="13">
                  <c:v>43928</c:v>
                </c:pt>
                <c:pt idx="14">
                  <c:v>43935</c:v>
                </c:pt>
                <c:pt idx="15">
                  <c:v>43942</c:v>
                </c:pt>
                <c:pt idx="16">
                  <c:v>43949</c:v>
                </c:pt>
                <c:pt idx="17">
                  <c:v>43956</c:v>
                </c:pt>
                <c:pt idx="18">
                  <c:v>43963</c:v>
                </c:pt>
                <c:pt idx="19">
                  <c:v>43970</c:v>
                </c:pt>
                <c:pt idx="20">
                  <c:v>43977</c:v>
                </c:pt>
                <c:pt idx="21">
                  <c:v>43984</c:v>
                </c:pt>
                <c:pt idx="22">
                  <c:v>43991</c:v>
                </c:pt>
                <c:pt idx="23">
                  <c:v>43998</c:v>
                </c:pt>
                <c:pt idx="24">
                  <c:v>44005</c:v>
                </c:pt>
                <c:pt idx="25">
                  <c:v>44012</c:v>
                </c:pt>
                <c:pt idx="26">
                  <c:v>44019</c:v>
                </c:pt>
                <c:pt idx="27">
                  <c:v>44026</c:v>
                </c:pt>
                <c:pt idx="28">
                  <c:v>44033</c:v>
                </c:pt>
                <c:pt idx="29">
                  <c:v>44040</c:v>
                </c:pt>
                <c:pt idx="30">
                  <c:v>44047</c:v>
                </c:pt>
                <c:pt idx="31">
                  <c:v>44054</c:v>
                </c:pt>
                <c:pt idx="32">
                  <c:v>44061</c:v>
                </c:pt>
                <c:pt idx="33">
                  <c:v>44068</c:v>
                </c:pt>
                <c:pt idx="34">
                  <c:v>44075</c:v>
                </c:pt>
                <c:pt idx="35">
                  <c:v>44082</c:v>
                </c:pt>
                <c:pt idx="36">
                  <c:v>44089</c:v>
                </c:pt>
                <c:pt idx="37">
                  <c:v>44096</c:v>
                </c:pt>
                <c:pt idx="38">
                  <c:v>44103</c:v>
                </c:pt>
                <c:pt idx="39">
                  <c:v>44110</c:v>
                </c:pt>
                <c:pt idx="40">
                  <c:v>44117</c:v>
                </c:pt>
                <c:pt idx="41">
                  <c:v>44124</c:v>
                </c:pt>
                <c:pt idx="42">
                  <c:v>44131</c:v>
                </c:pt>
                <c:pt idx="43">
                  <c:v>44138</c:v>
                </c:pt>
                <c:pt idx="44">
                  <c:v>44145</c:v>
                </c:pt>
                <c:pt idx="45">
                  <c:v>44152</c:v>
                </c:pt>
                <c:pt idx="46">
                  <c:v>44159</c:v>
                </c:pt>
                <c:pt idx="47">
                  <c:v>44166</c:v>
                </c:pt>
                <c:pt idx="48">
                  <c:v>44173</c:v>
                </c:pt>
                <c:pt idx="49">
                  <c:v>44180</c:v>
                </c:pt>
                <c:pt idx="50">
                  <c:v>44187</c:v>
                </c:pt>
              </c:numCache>
            </c:numRef>
          </c:cat>
          <c:val>
            <c:numRef>
              <c:f>'bond market main developments'!$E$57:$E$107</c:f>
              <c:numCache>
                <c:formatCode>General</c:formatCode>
                <c:ptCount val="51"/>
                <c:pt idx="0">
                  <c:v>0.96489769999999997</c:v>
                </c:pt>
                <c:pt idx="1">
                  <c:v>0.95781470000000002</c:v>
                </c:pt>
                <c:pt idx="2">
                  <c:v>0.963445</c:v>
                </c:pt>
                <c:pt idx="3">
                  <c:v>1.076435</c:v>
                </c:pt>
                <c:pt idx="4">
                  <c:v>1.062565</c:v>
                </c:pt>
                <c:pt idx="5">
                  <c:v>1.017182</c:v>
                </c:pt>
                <c:pt idx="6">
                  <c:v>1.0387090000000001</c:v>
                </c:pt>
                <c:pt idx="7">
                  <c:v>1.1783129999999999</c:v>
                </c:pt>
                <c:pt idx="8">
                  <c:v>1.7805070000000001</c:v>
                </c:pt>
                <c:pt idx="9">
                  <c:v>2.7335060000000002</c:v>
                </c:pt>
                <c:pt idx="10">
                  <c:v>2.5465779999999998</c:v>
                </c:pt>
                <c:pt idx="11">
                  <c:v>2.0065520000000001</c:v>
                </c:pt>
                <c:pt idx="12">
                  <c:v>1.940394</c:v>
                </c:pt>
                <c:pt idx="13">
                  <c:v>1.6044480000000001</c:v>
                </c:pt>
                <c:pt idx="14">
                  <c:v>1.643324</c:v>
                </c:pt>
                <c:pt idx="15">
                  <c:v>1.600403</c:v>
                </c:pt>
                <c:pt idx="16">
                  <c:v>1.4349909999999999</c:v>
                </c:pt>
                <c:pt idx="17">
                  <c:v>1.4008640000000001</c:v>
                </c:pt>
                <c:pt idx="18">
                  <c:v>1.4569810000000001</c:v>
                </c:pt>
                <c:pt idx="19">
                  <c:v>1.4521189999999999</c:v>
                </c:pt>
                <c:pt idx="20">
                  <c:v>1.5041519999999999</c:v>
                </c:pt>
                <c:pt idx="21">
                  <c:v>1.5336270000000001</c:v>
                </c:pt>
                <c:pt idx="22">
                  <c:v>1.58074</c:v>
                </c:pt>
                <c:pt idx="23">
                  <c:v>1.5913520000000001</c:v>
                </c:pt>
                <c:pt idx="24">
                  <c:v>1.761836</c:v>
                </c:pt>
                <c:pt idx="25">
                  <c:v>1.532535</c:v>
                </c:pt>
                <c:pt idx="26">
                  <c:v>1.4282809999999999</c:v>
                </c:pt>
                <c:pt idx="27">
                  <c:v>1.495889</c:v>
                </c:pt>
                <c:pt idx="28">
                  <c:v>1.4100060000000001</c:v>
                </c:pt>
                <c:pt idx="29">
                  <c:v>1.3886099999999999</c:v>
                </c:pt>
                <c:pt idx="30">
                  <c:v>1.326038</c:v>
                </c:pt>
                <c:pt idx="31">
                  <c:v>1.283021</c:v>
                </c:pt>
                <c:pt idx="32">
                  <c:v>1.276165</c:v>
                </c:pt>
                <c:pt idx="33">
                  <c:v>1.2449079999999999</c:v>
                </c:pt>
                <c:pt idx="34">
                  <c:v>1.3462860000000001</c:v>
                </c:pt>
                <c:pt idx="35">
                  <c:v>1.406963</c:v>
                </c:pt>
                <c:pt idx="36">
                  <c:v>1.3341959999999999</c:v>
                </c:pt>
                <c:pt idx="37">
                  <c:v>1.3232759999999999</c:v>
                </c:pt>
                <c:pt idx="38">
                  <c:v>1.256883</c:v>
                </c:pt>
                <c:pt idx="39">
                  <c:v>1.2439469999999999</c:v>
                </c:pt>
                <c:pt idx="40">
                  <c:v>1.229336</c:v>
                </c:pt>
                <c:pt idx="41">
                  <c:v>1.2716050000000001</c:v>
                </c:pt>
                <c:pt idx="42">
                  <c:v>1.3007899999999999</c:v>
                </c:pt>
                <c:pt idx="43">
                  <c:v>1.2371859999999999</c:v>
                </c:pt>
                <c:pt idx="44">
                  <c:v>1.1941250000000001</c:v>
                </c:pt>
                <c:pt idx="45">
                  <c:v>1.12886</c:v>
                </c:pt>
                <c:pt idx="46">
                  <c:v>1.1681459999999999</c:v>
                </c:pt>
                <c:pt idx="47">
                  <c:v>1.203025</c:v>
                </c:pt>
                <c:pt idx="48">
                  <c:v>1.178701</c:v>
                </c:pt>
                <c:pt idx="49">
                  <c:v>1.2199279999999999</c:v>
                </c:pt>
                <c:pt idx="50">
                  <c:v>1.1984399999999999</c:v>
                </c:pt>
              </c:numCache>
            </c:numRef>
          </c:val>
          <c:smooth val="0"/>
          <c:extLst>
            <c:ext xmlns:c16="http://schemas.microsoft.com/office/drawing/2014/chart" uri="{C3380CC4-5D6E-409C-BE32-E72D297353CC}">
              <c16:uniqueId val="{00000001-643A-4C82-ADF6-445D7000315D}"/>
            </c:ext>
          </c:extLst>
        </c:ser>
        <c:ser>
          <c:idx val="3"/>
          <c:order val="2"/>
          <c:tx>
            <c:strRef>
              <c:f>'bond market main developments'!$H$1</c:f>
              <c:strCache>
                <c:ptCount val="1"/>
                <c:pt idx="0">
                  <c:v>A</c:v>
                </c:pt>
              </c:strCache>
            </c:strRef>
          </c:tx>
          <c:spPr>
            <a:ln w="28575" cap="rnd">
              <a:solidFill>
                <a:schemeClr val="accent4"/>
              </a:solidFill>
              <a:round/>
            </a:ln>
            <a:effectLst/>
          </c:spPr>
          <c:marker>
            <c:symbol val="none"/>
          </c:marker>
          <c:cat>
            <c:numRef>
              <c:f>'bond market main developments'!$I$57:$I$107</c:f>
              <c:numCache>
                <c:formatCode>m/d/yyyy</c:formatCode>
                <c:ptCount val="51"/>
                <c:pt idx="0">
                  <c:v>43837</c:v>
                </c:pt>
                <c:pt idx="1">
                  <c:v>43844</c:v>
                </c:pt>
                <c:pt idx="2">
                  <c:v>43851</c:v>
                </c:pt>
                <c:pt idx="3">
                  <c:v>43858</c:v>
                </c:pt>
                <c:pt idx="4">
                  <c:v>43865</c:v>
                </c:pt>
                <c:pt idx="5">
                  <c:v>43872</c:v>
                </c:pt>
                <c:pt idx="6">
                  <c:v>43879</c:v>
                </c:pt>
                <c:pt idx="7">
                  <c:v>43886</c:v>
                </c:pt>
                <c:pt idx="8">
                  <c:v>43893</c:v>
                </c:pt>
                <c:pt idx="9">
                  <c:v>43900</c:v>
                </c:pt>
                <c:pt idx="10">
                  <c:v>43907</c:v>
                </c:pt>
                <c:pt idx="11">
                  <c:v>43914</c:v>
                </c:pt>
                <c:pt idx="12">
                  <c:v>43921</c:v>
                </c:pt>
                <c:pt idx="13">
                  <c:v>43928</c:v>
                </c:pt>
                <c:pt idx="14">
                  <c:v>43935</c:v>
                </c:pt>
                <c:pt idx="15">
                  <c:v>43942</c:v>
                </c:pt>
                <c:pt idx="16">
                  <c:v>43949</c:v>
                </c:pt>
                <c:pt idx="17">
                  <c:v>43956</c:v>
                </c:pt>
                <c:pt idx="18">
                  <c:v>43963</c:v>
                </c:pt>
                <c:pt idx="19">
                  <c:v>43970</c:v>
                </c:pt>
                <c:pt idx="20">
                  <c:v>43977</c:v>
                </c:pt>
                <c:pt idx="21">
                  <c:v>43984</c:v>
                </c:pt>
                <c:pt idx="22">
                  <c:v>43991</c:v>
                </c:pt>
                <c:pt idx="23">
                  <c:v>43998</c:v>
                </c:pt>
                <c:pt idx="24">
                  <c:v>44005</c:v>
                </c:pt>
                <c:pt idx="25">
                  <c:v>44012</c:v>
                </c:pt>
                <c:pt idx="26">
                  <c:v>44019</c:v>
                </c:pt>
                <c:pt idx="27">
                  <c:v>44026</c:v>
                </c:pt>
                <c:pt idx="28">
                  <c:v>44033</c:v>
                </c:pt>
                <c:pt idx="29">
                  <c:v>44040</c:v>
                </c:pt>
                <c:pt idx="30">
                  <c:v>44047</c:v>
                </c:pt>
                <c:pt idx="31">
                  <c:v>44054</c:v>
                </c:pt>
                <c:pt idx="32">
                  <c:v>44061</c:v>
                </c:pt>
                <c:pt idx="33">
                  <c:v>44068</c:v>
                </c:pt>
                <c:pt idx="34">
                  <c:v>44075</c:v>
                </c:pt>
                <c:pt idx="35">
                  <c:v>44082</c:v>
                </c:pt>
                <c:pt idx="36">
                  <c:v>44089</c:v>
                </c:pt>
                <c:pt idx="37">
                  <c:v>44096</c:v>
                </c:pt>
                <c:pt idx="38">
                  <c:v>44103</c:v>
                </c:pt>
                <c:pt idx="39">
                  <c:v>44110</c:v>
                </c:pt>
                <c:pt idx="40">
                  <c:v>44117</c:v>
                </c:pt>
                <c:pt idx="41">
                  <c:v>44124</c:v>
                </c:pt>
                <c:pt idx="42">
                  <c:v>44131</c:v>
                </c:pt>
                <c:pt idx="43">
                  <c:v>44138</c:v>
                </c:pt>
                <c:pt idx="44">
                  <c:v>44145</c:v>
                </c:pt>
                <c:pt idx="45">
                  <c:v>44152</c:v>
                </c:pt>
                <c:pt idx="46">
                  <c:v>44159</c:v>
                </c:pt>
                <c:pt idx="47">
                  <c:v>44166</c:v>
                </c:pt>
                <c:pt idx="48">
                  <c:v>44173</c:v>
                </c:pt>
                <c:pt idx="49">
                  <c:v>44180</c:v>
                </c:pt>
                <c:pt idx="50">
                  <c:v>44187</c:v>
                </c:pt>
              </c:numCache>
            </c:numRef>
          </c:cat>
          <c:val>
            <c:numRef>
              <c:f>'bond market main developments'!$H$57:$H$107</c:f>
              <c:numCache>
                <c:formatCode>General</c:formatCode>
                <c:ptCount val="51"/>
                <c:pt idx="0">
                  <c:v>2.4532500000000002</c:v>
                </c:pt>
                <c:pt idx="1">
                  <c:v>2.3926859999999999</c:v>
                </c:pt>
                <c:pt idx="2">
                  <c:v>2.4989590000000002</c:v>
                </c:pt>
                <c:pt idx="3">
                  <c:v>2.7745310000000001</c:v>
                </c:pt>
                <c:pt idx="4">
                  <c:v>2.676275</c:v>
                </c:pt>
                <c:pt idx="5">
                  <c:v>2.546824</c:v>
                </c:pt>
                <c:pt idx="6">
                  <c:v>2.5851799999999998</c:v>
                </c:pt>
                <c:pt idx="7">
                  <c:v>2.9467629999999998</c:v>
                </c:pt>
                <c:pt idx="8">
                  <c:v>5.3744189999999996</c:v>
                </c:pt>
                <c:pt idx="9">
                  <c:v>11.085369999999999</c:v>
                </c:pt>
                <c:pt idx="10">
                  <c:v>11.92849</c:v>
                </c:pt>
                <c:pt idx="11">
                  <c:v>8.922682</c:v>
                </c:pt>
                <c:pt idx="12">
                  <c:v>6.4322939999999997</c:v>
                </c:pt>
                <c:pt idx="13">
                  <c:v>5.5773469999999996</c:v>
                </c:pt>
                <c:pt idx="14">
                  <c:v>5.4673910000000001</c:v>
                </c:pt>
                <c:pt idx="15">
                  <c:v>5.3754140000000001</c:v>
                </c:pt>
                <c:pt idx="16">
                  <c:v>4.7096600000000004</c:v>
                </c:pt>
                <c:pt idx="17">
                  <c:v>4.4576989999999999</c:v>
                </c:pt>
                <c:pt idx="18">
                  <c:v>4.6337830000000002</c:v>
                </c:pt>
                <c:pt idx="19">
                  <c:v>4.7423909999999996</c:v>
                </c:pt>
                <c:pt idx="20">
                  <c:v>4.9426740000000002</c:v>
                </c:pt>
                <c:pt idx="21">
                  <c:v>5.083577</c:v>
                </c:pt>
                <c:pt idx="22">
                  <c:v>5.3372609999999998</c:v>
                </c:pt>
                <c:pt idx="23">
                  <c:v>5.2511830000000002</c:v>
                </c:pt>
                <c:pt idx="24">
                  <c:v>5.5125289999999998</c:v>
                </c:pt>
                <c:pt idx="25">
                  <c:v>5.0427200000000001</c:v>
                </c:pt>
                <c:pt idx="26">
                  <c:v>4.4192559999999999</c:v>
                </c:pt>
                <c:pt idx="27">
                  <c:v>4.6814340000000003</c:v>
                </c:pt>
                <c:pt idx="28">
                  <c:v>4.4555769999999999</c:v>
                </c:pt>
                <c:pt idx="29">
                  <c:v>4.2167820000000003</c:v>
                </c:pt>
                <c:pt idx="30">
                  <c:v>3.8480460000000001</c:v>
                </c:pt>
                <c:pt idx="31">
                  <c:v>3.5948090000000001</c:v>
                </c:pt>
                <c:pt idx="32">
                  <c:v>3.558459</c:v>
                </c:pt>
                <c:pt idx="33">
                  <c:v>3.5300940000000001</c:v>
                </c:pt>
                <c:pt idx="34">
                  <c:v>3.6112570000000002</c:v>
                </c:pt>
                <c:pt idx="35">
                  <c:v>3.5286780000000002</c:v>
                </c:pt>
                <c:pt idx="36">
                  <c:v>3.329596</c:v>
                </c:pt>
                <c:pt idx="37">
                  <c:v>3.3788230000000001</c:v>
                </c:pt>
                <c:pt idx="38">
                  <c:v>3.2165210000000002</c:v>
                </c:pt>
                <c:pt idx="39">
                  <c:v>3.114271</c:v>
                </c:pt>
                <c:pt idx="40">
                  <c:v>3.024699</c:v>
                </c:pt>
                <c:pt idx="41">
                  <c:v>2.971581</c:v>
                </c:pt>
                <c:pt idx="42">
                  <c:v>3.1122019999999999</c:v>
                </c:pt>
                <c:pt idx="43">
                  <c:v>2.837275</c:v>
                </c:pt>
                <c:pt idx="44">
                  <c:v>2.6183190000000001</c:v>
                </c:pt>
                <c:pt idx="45">
                  <c:v>2.4939260000000001</c:v>
                </c:pt>
                <c:pt idx="46">
                  <c:v>2.6323569999999998</c:v>
                </c:pt>
                <c:pt idx="47">
                  <c:v>2.7464390000000001</c:v>
                </c:pt>
                <c:pt idx="48">
                  <c:v>2.6073970000000002</c:v>
                </c:pt>
                <c:pt idx="49">
                  <c:v>2.6011199999999999</c:v>
                </c:pt>
                <c:pt idx="50">
                  <c:v>2.592482</c:v>
                </c:pt>
              </c:numCache>
            </c:numRef>
          </c:val>
          <c:smooth val="0"/>
          <c:extLst>
            <c:ext xmlns:c16="http://schemas.microsoft.com/office/drawing/2014/chart" uri="{C3380CC4-5D6E-409C-BE32-E72D297353CC}">
              <c16:uniqueId val="{00000002-643A-4C82-ADF6-445D7000315D}"/>
            </c:ext>
          </c:extLst>
        </c:ser>
        <c:ser>
          <c:idx val="4"/>
          <c:order val="3"/>
          <c:tx>
            <c:strRef>
              <c:f>'bond market main developments'!$K$1</c:f>
              <c:strCache>
                <c:ptCount val="1"/>
                <c:pt idx="0">
                  <c:v>BBB</c:v>
                </c:pt>
              </c:strCache>
            </c:strRef>
          </c:tx>
          <c:spPr>
            <a:ln w="28575" cap="rnd">
              <a:solidFill>
                <a:schemeClr val="accent5"/>
              </a:solidFill>
              <a:round/>
            </a:ln>
            <a:effectLst/>
          </c:spPr>
          <c:marker>
            <c:symbol val="none"/>
          </c:marker>
          <c:cat>
            <c:numRef>
              <c:f>'bond market main developments'!$I$57:$I$107</c:f>
              <c:numCache>
                <c:formatCode>m/d/yyyy</c:formatCode>
                <c:ptCount val="51"/>
                <c:pt idx="0">
                  <c:v>43837</c:v>
                </c:pt>
                <c:pt idx="1">
                  <c:v>43844</c:v>
                </c:pt>
                <c:pt idx="2">
                  <c:v>43851</c:v>
                </c:pt>
                <c:pt idx="3">
                  <c:v>43858</c:v>
                </c:pt>
                <c:pt idx="4">
                  <c:v>43865</c:v>
                </c:pt>
                <c:pt idx="5">
                  <c:v>43872</c:v>
                </c:pt>
                <c:pt idx="6">
                  <c:v>43879</c:v>
                </c:pt>
                <c:pt idx="7">
                  <c:v>43886</c:v>
                </c:pt>
                <c:pt idx="8">
                  <c:v>43893</c:v>
                </c:pt>
                <c:pt idx="9">
                  <c:v>43900</c:v>
                </c:pt>
                <c:pt idx="10">
                  <c:v>43907</c:v>
                </c:pt>
                <c:pt idx="11">
                  <c:v>43914</c:v>
                </c:pt>
                <c:pt idx="12">
                  <c:v>43921</c:v>
                </c:pt>
                <c:pt idx="13">
                  <c:v>43928</c:v>
                </c:pt>
                <c:pt idx="14">
                  <c:v>43935</c:v>
                </c:pt>
                <c:pt idx="15">
                  <c:v>43942</c:v>
                </c:pt>
                <c:pt idx="16">
                  <c:v>43949</c:v>
                </c:pt>
                <c:pt idx="17">
                  <c:v>43956</c:v>
                </c:pt>
                <c:pt idx="18">
                  <c:v>43963</c:v>
                </c:pt>
                <c:pt idx="19">
                  <c:v>43970</c:v>
                </c:pt>
                <c:pt idx="20">
                  <c:v>43977</c:v>
                </c:pt>
                <c:pt idx="21">
                  <c:v>43984</c:v>
                </c:pt>
                <c:pt idx="22">
                  <c:v>43991</c:v>
                </c:pt>
                <c:pt idx="23">
                  <c:v>43998</c:v>
                </c:pt>
                <c:pt idx="24">
                  <c:v>44005</c:v>
                </c:pt>
                <c:pt idx="25">
                  <c:v>44012</c:v>
                </c:pt>
                <c:pt idx="26">
                  <c:v>44019</c:v>
                </c:pt>
                <c:pt idx="27">
                  <c:v>44026</c:v>
                </c:pt>
                <c:pt idx="28">
                  <c:v>44033</c:v>
                </c:pt>
                <c:pt idx="29">
                  <c:v>44040</c:v>
                </c:pt>
                <c:pt idx="30">
                  <c:v>44047</c:v>
                </c:pt>
                <c:pt idx="31">
                  <c:v>44054</c:v>
                </c:pt>
                <c:pt idx="32">
                  <c:v>44061</c:v>
                </c:pt>
                <c:pt idx="33">
                  <c:v>44068</c:v>
                </c:pt>
                <c:pt idx="34">
                  <c:v>44075</c:v>
                </c:pt>
                <c:pt idx="35">
                  <c:v>44082</c:v>
                </c:pt>
                <c:pt idx="36">
                  <c:v>44089</c:v>
                </c:pt>
                <c:pt idx="37">
                  <c:v>44096</c:v>
                </c:pt>
                <c:pt idx="38">
                  <c:v>44103</c:v>
                </c:pt>
                <c:pt idx="39">
                  <c:v>44110</c:v>
                </c:pt>
                <c:pt idx="40">
                  <c:v>44117</c:v>
                </c:pt>
                <c:pt idx="41">
                  <c:v>44124</c:v>
                </c:pt>
                <c:pt idx="42">
                  <c:v>44131</c:v>
                </c:pt>
                <c:pt idx="43">
                  <c:v>44138</c:v>
                </c:pt>
                <c:pt idx="44">
                  <c:v>44145</c:v>
                </c:pt>
                <c:pt idx="45">
                  <c:v>44152</c:v>
                </c:pt>
                <c:pt idx="46">
                  <c:v>44159</c:v>
                </c:pt>
                <c:pt idx="47">
                  <c:v>44166</c:v>
                </c:pt>
                <c:pt idx="48">
                  <c:v>44173</c:v>
                </c:pt>
                <c:pt idx="49">
                  <c:v>44180</c:v>
                </c:pt>
                <c:pt idx="50">
                  <c:v>44187</c:v>
                </c:pt>
              </c:numCache>
            </c:numRef>
          </c:cat>
          <c:val>
            <c:numRef>
              <c:f>'bond market main developments'!$K$57:$K$107</c:f>
              <c:numCache>
                <c:formatCode>General</c:formatCode>
                <c:ptCount val="51"/>
                <c:pt idx="0">
                  <c:v>5.8817659999999998</c:v>
                </c:pt>
                <c:pt idx="1">
                  <c:v>6.0975710000000003</c:v>
                </c:pt>
                <c:pt idx="2">
                  <c:v>6.1826359999999996</c:v>
                </c:pt>
                <c:pt idx="3">
                  <c:v>6.3232869999999997</c:v>
                </c:pt>
                <c:pt idx="4">
                  <c:v>6.1074710000000003</c:v>
                </c:pt>
                <c:pt idx="5">
                  <c:v>5.7419159999999998</c:v>
                </c:pt>
                <c:pt idx="6">
                  <c:v>5.7546160000000004</c:v>
                </c:pt>
                <c:pt idx="7">
                  <c:v>6.1761850000000003</c:v>
                </c:pt>
                <c:pt idx="8">
                  <c:v>8.6205180000000006</c:v>
                </c:pt>
                <c:pt idx="9">
                  <c:v>14.23991</c:v>
                </c:pt>
                <c:pt idx="10">
                  <c:v>15.948869999999999</c:v>
                </c:pt>
                <c:pt idx="11">
                  <c:v>14.572010000000001</c:v>
                </c:pt>
                <c:pt idx="12">
                  <c:v>17.545069999999999</c:v>
                </c:pt>
                <c:pt idx="13">
                  <c:v>15.80925</c:v>
                </c:pt>
                <c:pt idx="14">
                  <c:v>15.940009999999999</c:v>
                </c:pt>
                <c:pt idx="15">
                  <c:v>15.185129999999999</c:v>
                </c:pt>
                <c:pt idx="16">
                  <c:v>12.687799999999999</c:v>
                </c:pt>
                <c:pt idx="17">
                  <c:v>8.5803930000000008</c:v>
                </c:pt>
                <c:pt idx="18">
                  <c:v>8.8639039999999998</c:v>
                </c:pt>
                <c:pt idx="19">
                  <c:v>8.7102450000000005</c:v>
                </c:pt>
                <c:pt idx="20">
                  <c:v>9.0945599999999995</c:v>
                </c:pt>
                <c:pt idx="21">
                  <c:v>8.8882680000000001</c:v>
                </c:pt>
                <c:pt idx="22">
                  <c:v>9.3531650000000006</c:v>
                </c:pt>
                <c:pt idx="23">
                  <c:v>9.4902809999999995</c:v>
                </c:pt>
                <c:pt idx="24">
                  <c:v>11.279590000000001</c:v>
                </c:pt>
                <c:pt idx="25">
                  <c:v>11.049580000000001</c:v>
                </c:pt>
                <c:pt idx="26">
                  <c:v>10.66891</c:v>
                </c:pt>
                <c:pt idx="27">
                  <c:v>11.073399999999999</c:v>
                </c:pt>
                <c:pt idx="28">
                  <c:v>10.096880000000001</c:v>
                </c:pt>
                <c:pt idx="29">
                  <c:v>10.35033</c:v>
                </c:pt>
                <c:pt idx="30">
                  <c:v>9.1980690000000003</c:v>
                </c:pt>
                <c:pt idx="31">
                  <c:v>8.4839479999999998</c:v>
                </c:pt>
                <c:pt idx="32">
                  <c:v>8.4431209999999997</c:v>
                </c:pt>
                <c:pt idx="33">
                  <c:v>8.5903519999999993</c:v>
                </c:pt>
                <c:pt idx="34">
                  <c:v>9.6744679999999992</c:v>
                </c:pt>
                <c:pt idx="35">
                  <c:v>10.639010000000001</c:v>
                </c:pt>
                <c:pt idx="36">
                  <c:v>9.8680020000000006</c:v>
                </c:pt>
                <c:pt idx="37">
                  <c:v>9.7467550000000003</c:v>
                </c:pt>
                <c:pt idx="38">
                  <c:v>9.3343480000000003</c:v>
                </c:pt>
                <c:pt idx="39">
                  <c:v>8.6632479999999994</c:v>
                </c:pt>
                <c:pt idx="40">
                  <c:v>8.5549099999999996</c:v>
                </c:pt>
                <c:pt idx="41">
                  <c:v>8.4369499999999995</c:v>
                </c:pt>
                <c:pt idx="42">
                  <c:v>8.5245139999999999</c:v>
                </c:pt>
                <c:pt idx="43">
                  <c:v>7.9194440000000004</c:v>
                </c:pt>
                <c:pt idx="44">
                  <c:v>7.2599169999999997</c:v>
                </c:pt>
                <c:pt idx="45">
                  <c:v>7.1224800000000004</c:v>
                </c:pt>
                <c:pt idx="46">
                  <c:v>7.2966530000000001</c:v>
                </c:pt>
                <c:pt idx="47">
                  <c:v>6.0527110000000004</c:v>
                </c:pt>
                <c:pt idx="48">
                  <c:v>5.6975670000000003</c:v>
                </c:pt>
                <c:pt idx="49">
                  <c:v>5.3187199999999999</c:v>
                </c:pt>
                <c:pt idx="50">
                  <c:v>5.1415360000000003</c:v>
                </c:pt>
              </c:numCache>
            </c:numRef>
          </c:val>
          <c:smooth val="0"/>
          <c:extLst>
            <c:ext xmlns:c16="http://schemas.microsoft.com/office/drawing/2014/chart" uri="{C3380CC4-5D6E-409C-BE32-E72D297353CC}">
              <c16:uniqueId val="{00000003-643A-4C82-ADF6-445D7000315D}"/>
            </c:ext>
          </c:extLst>
        </c:ser>
        <c:dLbls>
          <c:showLegendKey val="0"/>
          <c:showVal val="0"/>
          <c:showCatName val="0"/>
          <c:showSerName val="0"/>
          <c:showPercent val="0"/>
          <c:showBubbleSize val="0"/>
        </c:dLbls>
        <c:smooth val="0"/>
        <c:axId val="823175200"/>
        <c:axId val="823169952"/>
      </c:lineChart>
      <c:dateAx>
        <c:axId val="823175200"/>
        <c:scaling>
          <c:orientation val="minMax"/>
        </c:scaling>
        <c:delete val="0"/>
        <c:axPos val="b"/>
        <c:numFmt formatCode="m/d/yyyy"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crossAx val="823169952"/>
        <c:crosses val="autoZero"/>
        <c:auto val="1"/>
        <c:lblOffset val="100"/>
        <c:baseTimeUnit val="days"/>
        <c:majorUnit val="15"/>
        <c:majorTimeUnit val="days"/>
      </c:dateAx>
      <c:valAx>
        <c:axId val="823169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he-IL" b="1">
                    <a:latin typeface="David" panose="020E0502060401010101" pitchFamily="34" charset="-79"/>
                    <a:cs typeface="David" panose="020E0502060401010101" pitchFamily="34" charset="-79"/>
                  </a:rPr>
                  <a:t>אחוז</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crossAx val="823175200"/>
        <c:crosses val="autoZero"/>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he-IL"/>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he-I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0.2733</cdr:x>
      <cdr:y>0.0452</cdr:y>
    </cdr:from>
    <cdr:to>
      <cdr:x>0.2733</cdr:x>
      <cdr:y>0.72034</cdr:y>
    </cdr:to>
    <cdr:cxnSp macro="">
      <cdr:nvCxnSpPr>
        <cdr:cNvPr id="2" name="מחבר ישר 1"/>
        <cdr:cNvCxnSpPr/>
      </cdr:nvCxnSpPr>
      <cdr:spPr>
        <a:xfrm xmlns:a="http://schemas.openxmlformats.org/drawingml/2006/main">
          <a:off x="1441450" y="152400"/>
          <a:ext cx="0" cy="227647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0.55622</cdr:x>
      <cdr:y>0.0452</cdr:y>
    </cdr:from>
    <cdr:to>
      <cdr:x>0.55622</cdr:x>
      <cdr:y>0.72034</cdr:y>
    </cdr:to>
    <cdr:cxnSp macro="">
      <cdr:nvCxnSpPr>
        <cdr:cNvPr id="3" name="מחבר ישר 2"/>
        <cdr:cNvCxnSpPr/>
      </cdr:nvCxnSpPr>
      <cdr:spPr>
        <a:xfrm xmlns:a="http://schemas.openxmlformats.org/drawingml/2006/main">
          <a:off x="2933700" y="152400"/>
          <a:ext cx="0" cy="2276475"/>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0.54539</cdr:x>
      <cdr:y>0.03583</cdr:y>
    </cdr:from>
    <cdr:to>
      <cdr:x>0.78497</cdr:x>
      <cdr:y>0.17217</cdr:y>
    </cdr:to>
    <cdr:sp macro="" textlink="">
      <cdr:nvSpPr>
        <cdr:cNvPr id="4" name="תיבת טקסט 2"/>
        <cdr:cNvSpPr txBox="1">
          <a:spLocks xmlns:a="http://schemas.openxmlformats.org/drawingml/2006/main" noChangeArrowheads="1"/>
        </cdr:cNvSpPr>
      </cdr:nvSpPr>
      <cdr:spPr bwMode="auto">
        <a:xfrm xmlns:a="http://schemas.openxmlformats.org/drawingml/2006/main" flipH="1">
          <a:off x="2876550" y="95250"/>
          <a:ext cx="1263650" cy="36240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r" rtl="1">
            <a:lnSpc>
              <a:spcPct val="107000"/>
            </a:lnSpc>
            <a:spcAft>
              <a:spcPts val="800"/>
            </a:spcAft>
          </a:pPr>
          <a:r>
            <a:rPr lang="he-IL" sz="1000" b="1">
              <a:effectLst/>
              <a:latin typeface="David" panose="020E0502060401010101" pitchFamily="34" charset="-79"/>
              <a:ea typeface="Calibri" panose="020F0502020204030204" pitchFamily="34" charset="0"/>
              <a:cs typeface="David" panose="020E0502060401010101" pitchFamily="34" charset="-79"/>
            </a:rPr>
            <a:t>הפעלת תוכנית רכישות</a:t>
          </a:r>
          <a:r>
            <a:rPr lang="he-IL" sz="1000" b="1" baseline="0">
              <a:effectLst/>
              <a:latin typeface="David" panose="020E0502060401010101" pitchFamily="34" charset="-79"/>
              <a:ea typeface="Calibri" panose="020F0502020204030204" pitchFamily="34" charset="0"/>
              <a:cs typeface="David" panose="020E0502060401010101" pitchFamily="34" charset="-79"/>
            </a:rPr>
            <a:t> אג"ח תאגידיות</a:t>
          </a:r>
          <a:endParaRPr lang="en-US" sz="1000" b="1">
            <a:effectLst/>
            <a:latin typeface="David" panose="020E0502060401010101" pitchFamily="34" charset="-79"/>
            <a:ea typeface="Calibri" panose="020F0502020204030204" pitchFamily="34" charset="0"/>
            <a:cs typeface="David" panose="020E0502060401010101" pitchFamily="34" charset="-79"/>
          </a:endParaRPr>
        </a:p>
      </cdr:txBody>
    </cdr:sp>
  </cdr:relSizeAnchor>
  <cdr:relSizeAnchor xmlns:cdr="http://schemas.openxmlformats.org/drawingml/2006/chartDrawing">
    <cdr:from>
      <cdr:x>0.25319</cdr:x>
      <cdr:y>0.02975</cdr:y>
    </cdr:from>
    <cdr:to>
      <cdr:x>0.50144</cdr:x>
      <cdr:y>0.13842</cdr:y>
    </cdr:to>
    <cdr:sp macro="" textlink="">
      <cdr:nvSpPr>
        <cdr:cNvPr id="5" name="תיבת טקסט 2"/>
        <cdr:cNvSpPr txBox="1">
          <a:spLocks xmlns:a="http://schemas.openxmlformats.org/drawingml/2006/main" noChangeArrowheads="1"/>
        </cdr:cNvSpPr>
      </cdr:nvSpPr>
      <cdr:spPr bwMode="auto">
        <a:xfrm xmlns:a="http://schemas.openxmlformats.org/drawingml/2006/main" flipH="1">
          <a:off x="1335405" y="100306"/>
          <a:ext cx="1309370" cy="3664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07000"/>
            </a:lnSpc>
            <a:spcAft>
              <a:spcPts val="800"/>
            </a:spcAft>
          </a:pPr>
          <a:r>
            <a:rPr lang="he-IL" sz="1000" b="1">
              <a:effectLst/>
              <a:latin typeface="David" panose="020E0502060401010101" pitchFamily="34" charset="-79"/>
              <a:ea typeface="Calibri" panose="020F0502020204030204" pitchFamily="34" charset="0"/>
              <a:cs typeface="David" panose="020E0502060401010101" pitchFamily="34" charset="-79"/>
            </a:rPr>
            <a:t>הפעלת תוכנית רכישות</a:t>
          </a:r>
          <a:r>
            <a:rPr lang="he-IL" sz="1000" b="1" baseline="0">
              <a:effectLst/>
              <a:latin typeface="David" panose="020E0502060401010101" pitchFamily="34" charset="-79"/>
              <a:ea typeface="Calibri" panose="020F0502020204030204" pitchFamily="34" charset="0"/>
              <a:cs typeface="David" panose="020E0502060401010101" pitchFamily="34" charset="-79"/>
            </a:rPr>
            <a:t> אג"ח ממשלתיות</a:t>
          </a:r>
          <a:endParaRPr lang="en-US" sz="1000" b="1">
            <a:effectLst/>
            <a:latin typeface="David" panose="020E0502060401010101" pitchFamily="34" charset="-79"/>
            <a:ea typeface="Calibri" panose="020F0502020204030204" pitchFamily="34" charset="0"/>
            <a:cs typeface="David" panose="020E0502060401010101" pitchFamily="34" charset="-79"/>
          </a:endParaRPr>
        </a:p>
      </cdr:txBody>
    </cdr:sp>
  </cdr:relSizeAnchor>
  <cdr:relSizeAnchor xmlns:cdr="http://schemas.openxmlformats.org/drawingml/2006/chartDrawing">
    <cdr:from>
      <cdr:x>0.09752</cdr:x>
      <cdr:y>0.02888</cdr:y>
    </cdr:from>
    <cdr:to>
      <cdr:x>0.23742</cdr:x>
      <cdr:y>0.16522</cdr:y>
    </cdr:to>
    <cdr:sp macro="" textlink="">
      <cdr:nvSpPr>
        <cdr:cNvPr id="6" name="תיבת טקסט 2"/>
        <cdr:cNvSpPr txBox="1">
          <a:spLocks xmlns:a="http://schemas.openxmlformats.org/drawingml/2006/main" noChangeArrowheads="1"/>
        </cdr:cNvSpPr>
      </cdr:nvSpPr>
      <cdr:spPr bwMode="auto">
        <a:xfrm xmlns:a="http://schemas.openxmlformats.org/drawingml/2006/main" flipH="1">
          <a:off x="514350" y="97366"/>
          <a:ext cx="737870" cy="4597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07000"/>
            </a:lnSpc>
            <a:spcAft>
              <a:spcPts val="800"/>
            </a:spcAft>
          </a:pPr>
          <a:r>
            <a:rPr lang="he-IL" sz="1000" b="1">
              <a:effectLst/>
              <a:latin typeface="David" panose="020E0502060401010101" pitchFamily="34" charset="-79"/>
              <a:ea typeface="Calibri" panose="020F0502020204030204" pitchFamily="34" charset="0"/>
              <a:cs typeface="David" panose="020E0502060401010101" pitchFamily="34" charset="-79"/>
            </a:rPr>
            <a:t>פרוץ משבר הקורונה</a:t>
          </a:r>
          <a:endParaRPr lang="en-US" sz="1000" b="1">
            <a:effectLst/>
            <a:latin typeface="David" panose="020E0502060401010101" pitchFamily="34" charset="-79"/>
            <a:ea typeface="Calibri" panose="020F0502020204030204" pitchFamily="34" charset="0"/>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0A3C-B78A-437A-8AFE-A52CB988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3480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2025-06-25T10:12:00Z</dcterms:created>
  <dcterms:modified xsi:type="dcterms:W3CDTF">2025-06-25T10:12:00Z</dcterms:modified>
</cp:coreProperties>
</file>