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ayout w:type="fixed"/>
        <w:tblLook w:val="0000" w:firstRow="0" w:lastRow="0" w:firstColumn="0" w:lastColumn="0" w:noHBand="0" w:noVBand="0"/>
      </w:tblPr>
      <w:tblGrid>
        <w:gridCol w:w="2840"/>
        <w:gridCol w:w="2596"/>
        <w:gridCol w:w="3084"/>
      </w:tblGrid>
      <w:tr w:rsidR="00BB4381" w:rsidRPr="00542073" w14:paraId="67C94C4A" w14:textId="77777777" w:rsidTr="000D1651">
        <w:trPr>
          <w:jc w:val="center"/>
        </w:trPr>
        <w:tc>
          <w:tcPr>
            <w:tcW w:w="2840" w:type="dxa"/>
            <w:tcBorders>
              <w:top w:val="nil"/>
              <w:left w:val="nil"/>
              <w:bottom w:val="nil"/>
              <w:right w:val="nil"/>
            </w:tcBorders>
            <w:vAlign w:val="center"/>
          </w:tcPr>
          <w:p w14:paraId="7CAA5200" w14:textId="77777777" w:rsidR="00BB4381" w:rsidRPr="00542073" w:rsidRDefault="00BB4381" w:rsidP="000D1651">
            <w:pPr>
              <w:spacing w:line="360" w:lineRule="auto"/>
              <w:jc w:val="right"/>
              <w:rPr>
                <w:rFonts w:cstheme="minorHAnsi"/>
                <w:b/>
                <w:bCs/>
                <w:sz w:val="24"/>
                <w:szCs w:val="24"/>
              </w:rPr>
            </w:pPr>
            <w:r w:rsidRPr="00542073">
              <w:rPr>
                <w:rFonts w:cstheme="minorHAnsi"/>
                <w:b/>
                <w:bCs/>
                <w:sz w:val="24"/>
                <w:szCs w:val="24"/>
                <w:rtl/>
              </w:rPr>
              <w:t>בנק ישראל</w:t>
            </w:r>
          </w:p>
          <w:p w14:paraId="2D18BC58" w14:textId="77777777" w:rsidR="00BB4381" w:rsidRPr="00542073" w:rsidRDefault="00BB4381" w:rsidP="000D1651">
            <w:pPr>
              <w:spacing w:line="360" w:lineRule="auto"/>
              <w:ind w:right="-101"/>
              <w:jc w:val="right"/>
              <w:rPr>
                <w:rFonts w:cstheme="minorHAnsi"/>
                <w:sz w:val="24"/>
                <w:szCs w:val="24"/>
              </w:rPr>
            </w:pPr>
            <w:r w:rsidRPr="00542073">
              <w:rPr>
                <w:rFonts w:cstheme="minorHAnsi"/>
                <w:sz w:val="24"/>
                <w:szCs w:val="24"/>
                <w:rtl/>
              </w:rPr>
              <w:t>דוברות והסברה כלכלית</w:t>
            </w:r>
          </w:p>
        </w:tc>
        <w:tc>
          <w:tcPr>
            <w:tcW w:w="2596" w:type="dxa"/>
            <w:tcBorders>
              <w:top w:val="nil"/>
              <w:left w:val="nil"/>
              <w:bottom w:val="nil"/>
              <w:right w:val="nil"/>
            </w:tcBorders>
          </w:tcPr>
          <w:p w14:paraId="28FE36A4" w14:textId="77777777" w:rsidR="00BB4381" w:rsidRPr="00542073" w:rsidRDefault="00CE4026" w:rsidP="000D1651">
            <w:pPr>
              <w:jc w:val="center"/>
              <w:rPr>
                <w:rFonts w:cstheme="minorHAnsi"/>
                <w:sz w:val="24"/>
                <w:szCs w:val="24"/>
              </w:rPr>
            </w:pPr>
            <w:r w:rsidRPr="00542073">
              <w:rPr>
                <w:rFonts w:cstheme="minorHAnsi"/>
                <w:noProof/>
                <w:sz w:val="24"/>
                <w:szCs w:val="24"/>
              </w:rPr>
              <w:drawing>
                <wp:inline distT="0" distB="0" distL="0" distR="0" wp14:anchorId="6E894BED" wp14:editId="2432C2C7">
                  <wp:extent cx="676275" cy="676275"/>
                  <wp:effectExtent l="0" t="0" r="9525" b="9525"/>
                  <wp:docPr id="1" name="תמונה 1" descr="C:\Users\U240\AppData\Local\Microsoft\Windows\INetCache\Content.Word\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240\AppData\Local\Microsoft\Windows\INetCache\Content.Word\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3084" w:type="dxa"/>
            <w:tcBorders>
              <w:top w:val="nil"/>
              <w:left w:val="nil"/>
              <w:bottom w:val="nil"/>
              <w:right w:val="nil"/>
            </w:tcBorders>
            <w:vAlign w:val="center"/>
          </w:tcPr>
          <w:p w14:paraId="3B82EDAC" w14:textId="1E244DA4" w:rsidR="00BB4381" w:rsidRPr="00542073" w:rsidRDefault="00BB4381" w:rsidP="00A862B0">
            <w:pPr>
              <w:spacing w:line="480" w:lineRule="auto"/>
              <w:rPr>
                <w:rFonts w:cstheme="minorHAnsi"/>
                <w:sz w:val="24"/>
                <w:szCs w:val="24"/>
              </w:rPr>
            </w:pPr>
            <w:r w:rsidRPr="00542073">
              <w:rPr>
                <w:rFonts w:cstheme="minorHAnsi"/>
                <w:sz w:val="24"/>
                <w:szCs w:val="24"/>
                <w:rtl/>
              </w:rPr>
              <w:t xml:space="preserve">‏ירושלים, </w:t>
            </w:r>
            <w:r w:rsidR="00A862B0">
              <w:rPr>
                <w:rFonts w:cstheme="minorHAnsi" w:hint="cs"/>
                <w:sz w:val="24"/>
                <w:szCs w:val="24"/>
                <w:rtl/>
              </w:rPr>
              <w:t>כ"ה</w:t>
            </w:r>
            <w:r w:rsidR="00F4207B" w:rsidRPr="00542073">
              <w:rPr>
                <w:rFonts w:cstheme="minorHAnsi"/>
                <w:sz w:val="24"/>
                <w:szCs w:val="24"/>
                <w:rtl/>
              </w:rPr>
              <w:t xml:space="preserve"> תמוז</w:t>
            </w:r>
            <w:r w:rsidR="00B97D3C" w:rsidRPr="00542073">
              <w:rPr>
                <w:rFonts w:cstheme="minorHAnsi"/>
                <w:sz w:val="24"/>
                <w:szCs w:val="24"/>
                <w:rtl/>
              </w:rPr>
              <w:t>, תשפ"ד</w:t>
            </w:r>
          </w:p>
          <w:p w14:paraId="28E4ACE3" w14:textId="22DE88C9" w:rsidR="00BB4381" w:rsidRPr="00542073" w:rsidRDefault="00BB4381" w:rsidP="00DF7F83">
            <w:pPr>
              <w:spacing w:line="480" w:lineRule="auto"/>
              <w:rPr>
                <w:rFonts w:cstheme="minorHAnsi"/>
                <w:sz w:val="24"/>
                <w:szCs w:val="24"/>
              </w:rPr>
            </w:pPr>
            <w:r w:rsidRPr="00542073">
              <w:rPr>
                <w:rFonts w:cstheme="minorHAnsi"/>
                <w:sz w:val="24"/>
                <w:szCs w:val="24"/>
                <w:rtl/>
              </w:rPr>
              <w:t>‏‏</w:t>
            </w:r>
            <w:r w:rsidR="00551095">
              <w:rPr>
                <w:rFonts w:cstheme="minorHAnsi" w:hint="cs"/>
                <w:sz w:val="24"/>
                <w:szCs w:val="24"/>
                <w:rtl/>
              </w:rPr>
              <w:t>3</w:t>
            </w:r>
            <w:r w:rsidR="00F4207B" w:rsidRPr="00542073">
              <w:rPr>
                <w:rFonts w:cstheme="minorHAnsi"/>
                <w:sz w:val="24"/>
                <w:szCs w:val="24"/>
                <w:rtl/>
              </w:rPr>
              <w:t xml:space="preserve"> יולי 2024</w:t>
            </w:r>
            <w:r w:rsidR="00DF7F83">
              <w:rPr>
                <w:rFonts w:cstheme="minorHAnsi"/>
                <w:sz w:val="24"/>
                <w:szCs w:val="24"/>
              </w:rPr>
              <w:t>1</w:t>
            </w:r>
            <w:bookmarkStart w:id="0" w:name="_GoBack"/>
            <w:bookmarkEnd w:id="0"/>
          </w:p>
        </w:tc>
      </w:tr>
    </w:tbl>
    <w:p w14:paraId="3080AC31" w14:textId="77777777" w:rsidR="00370D07" w:rsidRPr="00542073" w:rsidRDefault="00370D07" w:rsidP="00447790">
      <w:pPr>
        <w:bidi/>
        <w:spacing w:line="360" w:lineRule="auto"/>
        <w:ind w:right="-101"/>
        <w:rPr>
          <w:rFonts w:cstheme="minorHAnsi"/>
          <w:sz w:val="24"/>
          <w:szCs w:val="24"/>
          <w:rtl/>
        </w:rPr>
      </w:pPr>
      <w:r w:rsidRPr="00542073">
        <w:rPr>
          <w:rFonts w:cstheme="minorHAnsi"/>
          <w:sz w:val="24"/>
          <w:szCs w:val="24"/>
          <w:rtl/>
        </w:rPr>
        <w:t>הודעה לעיתונות:</w:t>
      </w:r>
    </w:p>
    <w:p w14:paraId="0A0AE8CA" w14:textId="05A55C4A" w:rsidR="00F76A89" w:rsidRPr="00542073" w:rsidRDefault="00F76A89" w:rsidP="00F76A89">
      <w:pPr>
        <w:bidi/>
        <w:spacing w:line="360" w:lineRule="auto"/>
        <w:ind w:right="-101"/>
        <w:jc w:val="center"/>
        <w:rPr>
          <w:rFonts w:cstheme="minorHAnsi"/>
          <w:b/>
          <w:bCs/>
          <w:sz w:val="28"/>
          <w:szCs w:val="28"/>
        </w:rPr>
      </w:pPr>
      <w:r w:rsidRPr="00542073">
        <w:rPr>
          <w:rFonts w:cstheme="minorHAnsi"/>
          <w:b/>
          <w:bCs/>
          <w:sz w:val="28"/>
          <w:szCs w:val="28"/>
          <w:rtl/>
        </w:rPr>
        <w:t>הדיווח התקופתי אודות מחירי השירותים הבנקאיים הנפוצים למשקי הבית שנת 2023</w:t>
      </w:r>
    </w:p>
    <w:p w14:paraId="2BEA7BC9" w14:textId="726388C4" w:rsidR="00F76A89" w:rsidRPr="00542073" w:rsidRDefault="00F76A89" w:rsidP="002D12F5">
      <w:pPr>
        <w:bidi/>
        <w:spacing w:line="360" w:lineRule="auto"/>
        <w:ind w:right="-101"/>
        <w:jc w:val="both"/>
        <w:rPr>
          <w:rFonts w:cstheme="minorHAnsi"/>
          <w:sz w:val="24"/>
          <w:szCs w:val="24"/>
          <w:rtl/>
        </w:rPr>
      </w:pPr>
      <w:r w:rsidRPr="00542073">
        <w:rPr>
          <w:rFonts w:cstheme="minorHAnsi"/>
          <w:sz w:val="24"/>
          <w:szCs w:val="24"/>
          <w:rtl/>
        </w:rPr>
        <w:t>הפיקוח על הבנקים מגיש היום לוועדת הכלכלה של הכנסת את הדיווח התקופתי לאודות מחירי השירותים הבנקאיים הנפוצים למשקי הבית</w:t>
      </w:r>
      <w:r w:rsidRPr="00542073">
        <w:rPr>
          <w:rFonts w:cstheme="minorHAnsi"/>
          <w:sz w:val="24"/>
          <w:szCs w:val="24"/>
        </w:rPr>
        <w:t>.</w:t>
      </w:r>
    </w:p>
    <w:p w14:paraId="3292AD80" w14:textId="4E41589C" w:rsidR="00F76A89" w:rsidRPr="00542073" w:rsidRDefault="00F76A89" w:rsidP="00F76A89">
      <w:pPr>
        <w:bidi/>
        <w:spacing w:line="360" w:lineRule="auto"/>
        <w:ind w:right="-101"/>
        <w:jc w:val="both"/>
        <w:rPr>
          <w:rFonts w:cstheme="minorHAnsi"/>
          <w:sz w:val="24"/>
          <w:szCs w:val="24"/>
          <w:rtl/>
        </w:rPr>
      </w:pPr>
      <w:r w:rsidRPr="00542073">
        <w:rPr>
          <w:rFonts w:cstheme="minorHAnsi"/>
          <w:sz w:val="24"/>
          <w:szCs w:val="24"/>
          <w:rtl/>
        </w:rPr>
        <w:t>הפיקוח על הבנקים מגיש היום לוועדת הכלכלה של הכנסת את הדיווח התקופתי לשנת 2023, אודות מחירי השירותים הבנקאיים הנפוצים למשקי הבית. הדוח מבוסס על דיווח התאגידים הבנקאיים וחברות כרטיסי האשראי על עמלות שנגבו במהלך שנת 2023</w:t>
      </w:r>
      <w:r w:rsidRPr="00542073">
        <w:rPr>
          <w:rFonts w:cstheme="minorHAnsi"/>
          <w:sz w:val="24"/>
          <w:szCs w:val="24"/>
        </w:rPr>
        <w:t>. </w:t>
      </w:r>
    </w:p>
    <w:p w14:paraId="6C4A91F3" w14:textId="77777777" w:rsidR="00F76A89" w:rsidRPr="00542073" w:rsidRDefault="00F76A89" w:rsidP="00F76A89">
      <w:pPr>
        <w:pStyle w:val="af9"/>
        <w:spacing w:before="240" w:line="360" w:lineRule="auto"/>
        <w:ind w:left="5"/>
        <w:rPr>
          <w:rFonts w:cstheme="minorHAnsi"/>
          <w:sz w:val="24"/>
          <w:szCs w:val="24"/>
          <w:rtl/>
        </w:rPr>
      </w:pPr>
      <w:r w:rsidRPr="00542073">
        <w:rPr>
          <w:rFonts w:cstheme="minorHAnsi"/>
          <w:sz w:val="24"/>
          <w:szCs w:val="24"/>
          <w:rtl/>
        </w:rPr>
        <w:t>בתקופה זו פרצה מלחמת "חרבות ברזל" והדוח כולל את השפעותיה. בהקשר זה ראוי לציין ולהזכיר את מתווה בנק ישראל לסיוע ללקוחות המערכת הבנקאית בעקבות המלחמה</w:t>
      </w:r>
      <w:r w:rsidRPr="00542073">
        <w:rPr>
          <w:rStyle w:val="af1"/>
          <w:rFonts w:cstheme="minorHAnsi"/>
          <w:sz w:val="24"/>
          <w:szCs w:val="24"/>
          <w:rtl/>
        </w:rPr>
        <w:footnoteReference w:id="1"/>
      </w:r>
      <w:r w:rsidRPr="00542073">
        <w:rPr>
          <w:rFonts w:cstheme="minorHAnsi"/>
          <w:sz w:val="24"/>
          <w:szCs w:val="24"/>
          <w:rtl/>
        </w:rPr>
        <w:t xml:space="preserve">. המתווה כולל מגוון צעדי סיוע לציבור, וביניהם גם צעדים בתחום העמלות - לקוחות שהינם נפגעים ישירים מהמלחמה ונמנים על הגדרות 'המעגל הראשון' זכאים לפטור מלא ממרבית העמלות הנפוצות, כמפורט במתווה, ובכלל זה דחיית תשלומי הלוואות ללא עמלות. לקוחות הנמנים על המעגל השני זכאים לדחיית תשלומים ללא עמלות. כפי שיפורט בהמשך, ההקלות בתחום העמלות באו לידי ביטוי בירידה בעלות החזקת חשבון עו"ש. אנו מקווים שהקלה זו סייעה לציבור בהתמודדותו עם השלכות המלחמה. נכון להיום, המתווה צפוי להמשך עד סוף ספטמבר 2024. </w:t>
      </w:r>
    </w:p>
    <w:p w14:paraId="03CDFCBC" w14:textId="77777777" w:rsidR="00F76A89" w:rsidRPr="00542073" w:rsidRDefault="00F76A89" w:rsidP="00F76A89">
      <w:pPr>
        <w:pStyle w:val="af9"/>
        <w:spacing w:before="240" w:line="360" w:lineRule="auto"/>
        <w:ind w:left="5"/>
        <w:rPr>
          <w:rFonts w:cstheme="minorHAnsi"/>
          <w:sz w:val="24"/>
          <w:szCs w:val="24"/>
          <w:rtl/>
        </w:rPr>
      </w:pPr>
      <w:r w:rsidRPr="00542073">
        <w:rPr>
          <w:rFonts w:cstheme="minorHAnsi"/>
          <w:sz w:val="24"/>
          <w:szCs w:val="24"/>
          <w:rtl/>
        </w:rPr>
        <w:t xml:space="preserve">בהזדמנות זו אזכיר כי התאגידים הבנקאיים רשאים לגבות עמלות רק בעד שירותים הכלולים בכללי הבנקאות (שירות ללקוח) (עמלות) תשס"ח 2008. </w:t>
      </w:r>
      <w:proofErr w:type="spellStart"/>
      <w:r w:rsidRPr="00542073">
        <w:rPr>
          <w:rFonts w:cstheme="minorHAnsi"/>
          <w:sz w:val="24"/>
          <w:szCs w:val="24"/>
          <w:rtl/>
        </w:rPr>
        <w:t>תעריפוני</w:t>
      </w:r>
      <w:proofErr w:type="spellEnd"/>
      <w:r w:rsidRPr="00542073">
        <w:rPr>
          <w:rFonts w:cstheme="minorHAnsi"/>
          <w:sz w:val="24"/>
          <w:szCs w:val="24"/>
          <w:rtl/>
        </w:rPr>
        <w:t xml:space="preserve"> השירותים הבנקאים מפורסמים באתרי הבנקים ומאפשרים ללקוחות לברר את עלות השירותים הבנקאים ולהשוות בין בנקים. בימים אלו פורסם תיקון לכללים אלו, הכולל שורה של עדכונים</w:t>
      </w:r>
      <w:r w:rsidRPr="00542073">
        <w:rPr>
          <w:rFonts w:cstheme="minorHAnsi"/>
          <w:vertAlign w:val="superscript"/>
          <w:rtl/>
        </w:rPr>
        <w:footnoteReference w:id="2"/>
      </w:r>
      <w:r w:rsidRPr="00542073">
        <w:rPr>
          <w:rFonts w:cstheme="minorHAnsi"/>
          <w:sz w:val="24"/>
          <w:szCs w:val="24"/>
          <w:rtl/>
        </w:rPr>
        <w:t xml:space="preserve"> שישפיעו על הלקוחות. המרכזיים בהם: </w:t>
      </w:r>
    </w:p>
    <w:p w14:paraId="106569AE" w14:textId="77777777" w:rsidR="00F76A89" w:rsidRPr="00542073" w:rsidRDefault="00F76A89" w:rsidP="00F76A89">
      <w:pPr>
        <w:numPr>
          <w:ilvl w:val="0"/>
          <w:numId w:val="15"/>
        </w:numPr>
        <w:tabs>
          <w:tab w:val="left" w:pos="374"/>
        </w:tabs>
        <w:bidi/>
        <w:spacing w:after="0" w:line="360" w:lineRule="auto"/>
        <w:jc w:val="both"/>
        <w:rPr>
          <w:rFonts w:cstheme="minorHAnsi"/>
          <w:sz w:val="24"/>
          <w:szCs w:val="24"/>
        </w:rPr>
      </w:pPr>
      <w:r w:rsidRPr="00542073">
        <w:rPr>
          <w:rFonts w:cstheme="minorHAnsi"/>
          <w:sz w:val="24"/>
          <w:szCs w:val="24"/>
          <w:rtl/>
        </w:rPr>
        <w:t xml:space="preserve">עמלת "ערבות בנקאית" - מנגנון הגביה עודכן ממנגנון אחוזי לסכום שקלי קבוע. במסגרת זו נקבע כי ערבות בנקאית המבוטחת בפיקדון כספי ספציפי לצורך הסכם שירות לדירת מגורים (בסכום ערבות עד </w:t>
      </w:r>
      <w:r w:rsidRPr="00542073">
        <w:rPr>
          <w:rFonts w:cstheme="minorHAnsi"/>
          <w:sz w:val="24"/>
          <w:szCs w:val="24"/>
          <w:rtl/>
        </w:rPr>
        <w:lastRenderedPageBreak/>
        <w:t>50,000 ש"ח) תהיה נמוכה ממחיר שירות "עמלת ערבות בנקאי המובטחת בפיקדון כספי". זאת כיוון שהתפעול הינו פשוט יותר וגם מתוך רצון להקל על אוכלוסיית שוכרי הדירות.</w:t>
      </w:r>
    </w:p>
    <w:p w14:paraId="1D93E03A" w14:textId="77777777" w:rsidR="00F76A89" w:rsidRPr="00542073" w:rsidRDefault="00F76A89" w:rsidP="00F76A89">
      <w:pPr>
        <w:numPr>
          <w:ilvl w:val="0"/>
          <w:numId w:val="15"/>
        </w:numPr>
        <w:tabs>
          <w:tab w:val="left" w:pos="374"/>
        </w:tabs>
        <w:bidi/>
        <w:spacing w:after="0" w:line="360" w:lineRule="auto"/>
        <w:jc w:val="both"/>
        <w:rPr>
          <w:rFonts w:cstheme="minorHAnsi"/>
          <w:sz w:val="24"/>
          <w:szCs w:val="24"/>
        </w:rPr>
      </w:pPr>
      <w:r w:rsidRPr="00542073">
        <w:rPr>
          <w:rFonts w:cstheme="minorHAnsi"/>
          <w:sz w:val="24"/>
          <w:szCs w:val="24"/>
          <w:rtl/>
        </w:rPr>
        <w:t xml:space="preserve">במטרה לאפשר גמישות במתן שירות, התווסף סעיף שמאפשר לתאגיד בנקאי להכניס לתוקף בקשת לקוח, להצטרף לשירות המסלולים או לבטל אותו, לפני ה1 בחודש שלאחר מועד מסירת הודעה של הלקוח, ובלבד שיקבע ויפרסם מנגנון סביר והוגן לחישוב החלק היחסי שיגבה מהלקוח בעד חלקי החודש.  </w:t>
      </w:r>
    </w:p>
    <w:p w14:paraId="4D0DC465" w14:textId="77777777" w:rsidR="00F76A89" w:rsidRPr="00542073" w:rsidRDefault="00F76A89" w:rsidP="00F76A89">
      <w:pPr>
        <w:numPr>
          <w:ilvl w:val="0"/>
          <w:numId w:val="15"/>
        </w:numPr>
        <w:tabs>
          <w:tab w:val="left" w:pos="374"/>
        </w:tabs>
        <w:bidi/>
        <w:spacing w:after="0" w:line="360" w:lineRule="auto"/>
        <w:jc w:val="both"/>
        <w:rPr>
          <w:rFonts w:cstheme="minorHAnsi"/>
          <w:sz w:val="24"/>
          <w:szCs w:val="24"/>
        </w:rPr>
      </w:pPr>
      <w:r w:rsidRPr="00542073">
        <w:rPr>
          <w:rFonts w:cstheme="minorHAnsi"/>
          <w:sz w:val="24"/>
          <w:szCs w:val="24"/>
          <w:rtl/>
        </w:rPr>
        <w:t>עמלת "איתור מסמכים לבקשת לקוח"  - הוסרה האפשרות לגבות עבור כל עמוד.</w:t>
      </w:r>
    </w:p>
    <w:p w14:paraId="243440CB" w14:textId="77777777" w:rsidR="00F76A89" w:rsidRPr="00542073" w:rsidRDefault="00F76A89" w:rsidP="00F76A89">
      <w:pPr>
        <w:numPr>
          <w:ilvl w:val="0"/>
          <w:numId w:val="15"/>
        </w:numPr>
        <w:tabs>
          <w:tab w:val="left" w:pos="374"/>
        </w:tabs>
        <w:bidi/>
        <w:spacing w:after="0" w:line="360" w:lineRule="auto"/>
        <w:jc w:val="both"/>
        <w:rPr>
          <w:rFonts w:cstheme="minorHAnsi"/>
          <w:sz w:val="24"/>
          <w:szCs w:val="24"/>
        </w:rPr>
      </w:pPr>
      <w:r w:rsidRPr="00542073">
        <w:rPr>
          <w:rFonts w:cstheme="minorHAnsi"/>
          <w:sz w:val="24"/>
          <w:szCs w:val="24"/>
          <w:rtl/>
        </w:rPr>
        <w:t>הטבות בערוצי בנקאות בתקשורת - נספח ה' לתעריפון הורחב על מנת שיאפשר לכלול הטבות נוספות במחירי שירותים המוצעים בערוצי בנקאות בתקשורת.</w:t>
      </w:r>
    </w:p>
    <w:p w14:paraId="03A66705" w14:textId="77777777" w:rsidR="00F76A89" w:rsidRPr="00542073" w:rsidRDefault="00F76A89" w:rsidP="00F76A89">
      <w:pPr>
        <w:tabs>
          <w:tab w:val="left" w:pos="374"/>
        </w:tabs>
        <w:bidi/>
        <w:spacing w:after="0" w:line="360" w:lineRule="auto"/>
        <w:rPr>
          <w:rFonts w:cstheme="minorHAnsi"/>
          <w:sz w:val="24"/>
          <w:szCs w:val="24"/>
          <w:rtl/>
        </w:rPr>
      </w:pPr>
      <w:r w:rsidRPr="00542073">
        <w:rPr>
          <w:rFonts w:cstheme="minorHAnsi"/>
          <w:sz w:val="24"/>
          <w:szCs w:val="24"/>
          <w:rtl/>
        </w:rPr>
        <w:t>עוד נעדכן כי הפיקוח על הבנקים נמצא בעיצומו של תהליך לבחינת עמלות ניירות ערך, וזאת בשיח עם רגולטורים ובעלי עניין אחרים, ויפרסם את החלטתו בנושא עם השלמת הבחינה.</w:t>
      </w:r>
    </w:p>
    <w:p w14:paraId="21CAD1EE" w14:textId="77777777" w:rsidR="00F76A89" w:rsidRPr="00542073" w:rsidRDefault="00F76A89" w:rsidP="00F76A89">
      <w:pPr>
        <w:tabs>
          <w:tab w:val="left" w:pos="374"/>
        </w:tabs>
        <w:spacing w:after="0" w:line="360" w:lineRule="auto"/>
        <w:rPr>
          <w:rFonts w:cstheme="minorHAnsi"/>
          <w:sz w:val="24"/>
          <w:szCs w:val="24"/>
          <w:rtl/>
        </w:rPr>
      </w:pPr>
    </w:p>
    <w:p w14:paraId="7CE46A41" w14:textId="77777777" w:rsidR="00F76A89" w:rsidRPr="00542073" w:rsidRDefault="00F76A89" w:rsidP="00F76A89">
      <w:pPr>
        <w:pStyle w:val="af9"/>
        <w:spacing w:line="360" w:lineRule="auto"/>
        <w:rPr>
          <w:rFonts w:cstheme="minorHAnsi"/>
          <w:sz w:val="24"/>
          <w:szCs w:val="24"/>
          <w:rtl/>
        </w:rPr>
      </w:pPr>
      <w:r w:rsidRPr="00542073">
        <w:rPr>
          <w:rStyle w:val="af8"/>
          <w:rFonts w:cstheme="minorHAnsi"/>
          <w:sz w:val="24"/>
          <w:szCs w:val="24"/>
          <w:rtl/>
        </w:rPr>
        <w:t>להלן עיקרי הדוח:</w:t>
      </w:r>
    </w:p>
    <w:p w14:paraId="61CD34CD" w14:textId="77777777" w:rsidR="00F76A89" w:rsidRPr="00542073" w:rsidRDefault="00F76A89" w:rsidP="00F76A89">
      <w:pPr>
        <w:numPr>
          <w:ilvl w:val="0"/>
          <w:numId w:val="15"/>
        </w:numPr>
        <w:tabs>
          <w:tab w:val="left" w:pos="374"/>
        </w:tabs>
        <w:bidi/>
        <w:spacing w:before="240" w:after="0" w:line="360" w:lineRule="auto"/>
        <w:jc w:val="both"/>
        <w:rPr>
          <w:rFonts w:cstheme="minorHAnsi"/>
          <w:sz w:val="24"/>
          <w:szCs w:val="24"/>
        </w:rPr>
      </w:pPr>
      <w:r w:rsidRPr="00542073">
        <w:rPr>
          <w:rFonts w:cstheme="minorHAnsi"/>
          <w:sz w:val="24"/>
          <w:szCs w:val="24"/>
          <w:rtl/>
        </w:rPr>
        <w:t>במחצית הראשונה של שנת 2023 חלה ירידה קלה ביחס בין סך ההכנסות מעמלות לסך נכסי המערכת הבנקאית. ירידה זו מושפעת בעיקר מגידול נמוך יותר בהכנסות מעמלות בהשוואה לגידול שחל בסך נכסי המערכת. הגידול האמור בהכנסות מעמלות נבע בעיקר מעמלות הנגבות מעסקים גדולים, כתוצאה מגידול בהיקף הפעילות. מנגד, חלה ירידה בעמלות הנגבות מיחידים ועסקים קטנים בגין פעילות בניירות ערך ואשראי. יש לציין, כי באופן כללי, יחס הכנסות מעמלות לסך נכסי המערכת הבנקאית נמצא במגמת ירידה מצטברת, שהחלה לאחר רפורמת העמלות בשנת 2008, ומאז ועד היום נרשמה ירידה בשיעור מצטבר של כ-48%. ירידה זו מיוחסת, בין היתר, למכלול המצטבר של פעולות הפיקוח בתחום העמלות בשנים האחרונות.</w:t>
      </w:r>
      <w:r w:rsidRPr="00542073" w:rsidDel="002C4CD8">
        <w:rPr>
          <w:rFonts w:cstheme="minorHAnsi"/>
          <w:sz w:val="24"/>
          <w:szCs w:val="24"/>
          <w:rtl/>
        </w:rPr>
        <w:t xml:space="preserve"> </w:t>
      </w:r>
    </w:p>
    <w:p w14:paraId="186F799C" w14:textId="77777777" w:rsidR="00F76A89" w:rsidRPr="00542073" w:rsidRDefault="00F76A89" w:rsidP="00F76A89">
      <w:pPr>
        <w:numPr>
          <w:ilvl w:val="0"/>
          <w:numId w:val="15"/>
        </w:numPr>
        <w:tabs>
          <w:tab w:val="left" w:pos="374"/>
        </w:tabs>
        <w:bidi/>
        <w:spacing w:before="240" w:after="0" w:line="360" w:lineRule="auto"/>
        <w:jc w:val="both"/>
        <w:rPr>
          <w:rFonts w:cstheme="minorHAnsi"/>
          <w:sz w:val="24"/>
          <w:szCs w:val="24"/>
        </w:rPr>
      </w:pPr>
      <w:r w:rsidRPr="00542073">
        <w:rPr>
          <w:rFonts w:cstheme="minorHAnsi"/>
          <w:sz w:val="24"/>
          <w:szCs w:val="24"/>
          <w:rtl/>
        </w:rPr>
        <w:t xml:space="preserve">העלות הממוצעת של ניהול חשבון </w:t>
      </w:r>
      <w:proofErr w:type="spellStart"/>
      <w:r w:rsidRPr="00542073">
        <w:rPr>
          <w:rFonts w:cstheme="minorHAnsi"/>
          <w:sz w:val="24"/>
          <w:szCs w:val="24"/>
          <w:rtl/>
        </w:rPr>
        <w:t>העו"ש</w:t>
      </w:r>
      <w:proofErr w:type="spellEnd"/>
      <w:r w:rsidRPr="00542073">
        <w:rPr>
          <w:rFonts w:cstheme="minorHAnsi"/>
          <w:sz w:val="24"/>
          <w:szCs w:val="24"/>
          <w:rtl/>
        </w:rPr>
        <w:t xml:space="preserve"> והחזקת כרטיסי חיוב לחשבון עמדה בשנת 2023 על 27.6 ₪ בחודש (עלייה של 0.4 ₪ בחודש בהשוואה לשנת 2022). </w:t>
      </w:r>
      <w:r w:rsidRPr="00542073">
        <w:rPr>
          <w:rFonts w:cstheme="minorHAnsi"/>
          <w:szCs w:val="24"/>
          <w:rtl/>
        </w:rPr>
        <w:t xml:space="preserve">עיקר העלייה נובעת מעליה </w:t>
      </w:r>
      <w:r w:rsidRPr="00542073">
        <w:rPr>
          <w:rFonts w:cstheme="minorHAnsi"/>
          <w:sz w:val="24"/>
          <w:szCs w:val="24"/>
          <w:rtl/>
        </w:rPr>
        <w:t xml:space="preserve">בפעילות של עסקאות במט"ח שביצע הציבור באמצעות כרטיסי חיוב. </w:t>
      </w:r>
      <w:r w:rsidRPr="00542073">
        <w:rPr>
          <w:rFonts w:cstheme="minorHAnsi"/>
          <w:szCs w:val="24"/>
          <w:rtl/>
        </w:rPr>
        <w:t xml:space="preserve">מנגד, חלה ירידה </w:t>
      </w:r>
      <w:r w:rsidRPr="00542073">
        <w:rPr>
          <w:rFonts w:cstheme="minorHAnsi"/>
          <w:sz w:val="24"/>
          <w:szCs w:val="24"/>
          <w:rtl/>
        </w:rPr>
        <w:t>ב</w:t>
      </w:r>
      <w:r w:rsidRPr="00542073">
        <w:rPr>
          <w:rFonts w:cstheme="minorHAnsi"/>
          <w:szCs w:val="24"/>
          <w:rtl/>
        </w:rPr>
        <w:t>עלות פעילות עו"ש ומידע של 0.7 ₪ בממוצע לחודש בהשוואה לשנת 2022. ירידה זו  נובעת בעיקר מההקלות בעמלות שניתנו ללקוחות במסגרת מתווה הסיוע ללקוחות הבנקים בהתמודדות עם השלכות מלחמת "חרבות ברזל"  .</w:t>
      </w:r>
    </w:p>
    <w:p w14:paraId="0799270C" w14:textId="77777777" w:rsidR="00F76A89" w:rsidRPr="00542073" w:rsidRDefault="00F76A89" w:rsidP="00F76A89">
      <w:pPr>
        <w:numPr>
          <w:ilvl w:val="0"/>
          <w:numId w:val="15"/>
        </w:numPr>
        <w:tabs>
          <w:tab w:val="left" w:pos="374"/>
        </w:tabs>
        <w:bidi/>
        <w:spacing w:before="240" w:after="400" w:line="360" w:lineRule="auto"/>
        <w:jc w:val="both"/>
        <w:rPr>
          <w:rFonts w:cstheme="minorHAnsi"/>
          <w:sz w:val="24"/>
          <w:szCs w:val="24"/>
          <w:rtl/>
        </w:rPr>
      </w:pPr>
      <w:r w:rsidRPr="00542073">
        <w:rPr>
          <w:rFonts w:cstheme="minorHAnsi"/>
          <w:sz w:val="24"/>
          <w:szCs w:val="24"/>
          <w:rtl/>
        </w:rPr>
        <w:t xml:space="preserve">בדוח זה מוצגים לראשונה  מחירי עמלת קניה, מכירה ופדיון ניירות ערך ישראלים (מניות ואג"ח) הנגבים בפועל, לפי שווי תיק, חלף המחירים </w:t>
      </w:r>
      <w:proofErr w:type="spellStart"/>
      <w:r w:rsidRPr="00542073">
        <w:rPr>
          <w:rFonts w:cstheme="minorHAnsi"/>
          <w:sz w:val="24"/>
          <w:szCs w:val="24"/>
          <w:rtl/>
        </w:rPr>
        <w:t>התעריפיים</w:t>
      </w:r>
      <w:proofErr w:type="spellEnd"/>
      <w:r w:rsidRPr="00542073">
        <w:rPr>
          <w:rFonts w:cstheme="minorHAnsi"/>
          <w:sz w:val="24"/>
          <w:szCs w:val="24"/>
          <w:rtl/>
        </w:rPr>
        <w:t xml:space="preserve">. אנו תקווה שהצגת מידע השוואתי זה ללקוחות, ביחד </w:t>
      </w:r>
      <w:r w:rsidRPr="00542073">
        <w:rPr>
          <w:rFonts w:cstheme="minorHAnsi"/>
          <w:sz w:val="24"/>
          <w:szCs w:val="24"/>
          <w:rtl/>
        </w:rPr>
        <w:lastRenderedPageBreak/>
        <w:t>עם הנתונים שהיו מוצגים זה מכבר, אודות מחירי עמלת דמי ניהול פיקדון ניירות ערך ישראלים הנגבים בפועל, לפי שווי תיק, יסייעו ללקוחות להשוות מחירים ולשפר את מצבם.</w:t>
      </w:r>
    </w:p>
    <w:p w14:paraId="3BF13728" w14:textId="77777777" w:rsidR="00F76A89" w:rsidRPr="00542073" w:rsidRDefault="00F76A89" w:rsidP="00F76A89">
      <w:pPr>
        <w:bidi/>
        <w:spacing w:line="360" w:lineRule="auto"/>
        <w:ind w:right="-101"/>
        <w:jc w:val="both"/>
        <w:rPr>
          <w:rFonts w:cstheme="minorHAnsi"/>
          <w:sz w:val="24"/>
          <w:szCs w:val="24"/>
          <w:rtl/>
        </w:rPr>
      </w:pPr>
    </w:p>
    <w:p w14:paraId="1CF7EDE8" w14:textId="77777777" w:rsidR="00F4207B" w:rsidRPr="00542073" w:rsidRDefault="00F4207B" w:rsidP="00F4207B">
      <w:pPr>
        <w:bidi/>
        <w:spacing w:line="360" w:lineRule="auto"/>
        <w:ind w:right="-101"/>
        <w:jc w:val="both"/>
        <w:rPr>
          <w:rFonts w:cstheme="minorHAnsi"/>
          <w:sz w:val="24"/>
          <w:szCs w:val="24"/>
          <w:rtl/>
        </w:rPr>
      </w:pPr>
    </w:p>
    <w:sectPr w:rsidR="00F4207B" w:rsidRPr="00542073" w:rsidSect="00F76A8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BD611" w14:textId="77777777" w:rsidR="000240E9" w:rsidRDefault="000240E9" w:rsidP="00370D07">
      <w:pPr>
        <w:spacing w:after="0" w:line="240" w:lineRule="auto"/>
      </w:pPr>
      <w:r>
        <w:separator/>
      </w:r>
    </w:p>
  </w:endnote>
  <w:endnote w:type="continuationSeparator" w:id="0">
    <w:p w14:paraId="49556F8D" w14:textId="77777777" w:rsidR="000240E9" w:rsidRDefault="000240E9" w:rsidP="00370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ssistant Light">
    <w:panose1 w:val="00000400000000000000"/>
    <w:charset w:val="00"/>
    <w:family w:val="auto"/>
    <w:pitch w:val="variable"/>
    <w:sig w:usb0="00000807" w:usb1="40000000" w:usb2="00000000" w:usb3="00000000" w:csb0="0000002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DB64D" w14:textId="77777777" w:rsidR="00B63307" w:rsidRDefault="00B6330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98D72" w14:textId="77777777" w:rsidR="00B63307" w:rsidRDefault="00B63307">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4639F" w14:textId="77777777" w:rsidR="00B63307" w:rsidRDefault="00B6330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31641" w14:textId="77777777" w:rsidR="000240E9" w:rsidRDefault="000240E9" w:rsidP="00370D07">
      <w:pPr>
        <w:spacing w:after="0" w:line="240" w:lineRule="auto"/>
      </w:pPr>
      <w:r>
        <w:separator/>
      </w:r>
    </w:p>
  </w:footnote>
  <w:footnote w:type="continuationSeparator" w:id="0">
    <w:p w14:paraId="3F283D18" w14:textId="77777777" w:rsidR="000240E9" w:rsidRDefault="000240E9" w:rsidP="00370D07">
      <w:pPr>
        <w:spacing w:after="0" w:line="240" w:lineRule="auto"/>
      </w:pPr>
      <w:r>
        <w:continuationSeparator/>
      </w:r>
    </w:p>
  </w:footnote>
  <w:footnote w:id="1">
    <w:p w14:paraId="197BB4E1" w14:textId="77777777" w:rsidR="00F76A89" w:rsidRPr="00542073" w:rsidRDefault="00F76A89" w:rsidP="00F76A89">
      <w:pPr>
        <w:pStyle w:val="ac"/>
        <w:rPr>
          <w:rFonts w:asciiTheme="minorHAnsi" w:hAnsiTheme="minorHAnsi" w:cstheme="minorHAnsi"/>
          <w:rtl/>
        </w:rPr>
      </w:pPr>
      <w:r w:rsidRPr="00542073">
        <w:rPr>
          <w:rStyle w:val="af1"/>
          <w:rFonts w:asciiTheme="minorHAnsi" w:hAnsiTheme="minorHAnsi" w:cstheme="minorHAnsi"/>
        </w:rPr>
        <w:footnoteRef/>
      </w:r>
      <w:r w:rsidRPr="00542073">
        <w:rPr>
          <w:rFonts w:asciiTheme="minorHAnsi" w:hAnsiTheme="minorHAnsi" w:cstheme="minorHAnsi"/>
          <w:rtl/>
        </w:rPr>
        <w:t xml:space="preserve"> קישור:</w:t>
      </w:r>
      <w:r w:rsidRPr="00542073">
        <w:rPr>
          <w:rFonts w:asciiTheme="minorHAnsi" w:hAnsiTheme="minorHAnsi" w:cstheme="minorHAnsi"/>
        </w:rPr>
        <w:t xml:space="preserve"> </w:t>
      </w:r>
      <w:hyperlink r:id="rId1" w:history="1">
        <w:r w:rsidRPr="00542073">
          <w:rPr>
            <w:rStyle w:val="Hyperlink"/>
            <w:rFonts w:asciiTheme="minorHAnsi" w:hAnsiTheme="minorHAnsi" w:cstheme="minorHAnsi"/>
            <w:rtl/>
          </w:rPr>
          <w:t>מתווה סיוע ללקוחות בעקבות המלחמה</w:t>
        </w:r>
      </w:hyperlink>
    </w:p>
  </w:footnote>
  <w:footnote w:id="2">
    <w:p w14:paraId="39D6D416" w14:textId="019CCCDF" w:rsidR="00F76A89" w:rsidRDefault="00F76A89" w:rsidP="00542073">
      <w:pPr>
        <w:pStyle w:val="ac"/>
        <w:rPr>
          <w:rtl/>
        </w:rPr>
      </w:pPr>
      <w:r w:rsidRPr="00542073">
        <w:rPr>
          <w:rStyle w:val="af1"/>
          <w:rFonts w:asciiTheme="minorHAnsi" w:hAnsiTheme="minorHAnsi" w:cstheme="minorHAnsi"/>
        </w:rPr>
        <w:footnoteRef/>
      </w:r>
      <w:r w:rsidRPr="00542073">
        <w:rPr>
          <w:rFonts w:asciiTheme="minorHAnsi" w:hAnsiTheme="minorHAnsi" w:cstheme="minorHAnsi"/>
          <w:rtl/>
        </w:rPr>
        <w:t xml:space="preserve"> </w:t>
      </w:r>
      <w:hyperlink r:id="rId2" w:history="1">
        <w:r w:rsidR="00542073" w:rsidRPr="00C86C3D">
          <w:rPr>
            <w:rStyle w:val="Hyperlink"/>
            <w:rFonts w:asciiTheme="minorHAnsi" w:hAnsiTheme="minorHAnsi" w:cstheme="minorHAnsi"/>
          </w:rPr>
          <w:t>https://www.boi.org.il/roles/supervisionregulation/legislation/159a1</w:t>
        </w:r>
        <w:r w:rsidR="00542073" w:rsidRPr="00C86C3D">
          <w:rPr>
            <w:rStyle w:val="Hyperlink"/>
            <w:rFonts w:asciiTheme="minorHAnsi" w:hAnsiTheme="minorHAnsi" w:cstheme="minorHAnsi"/>
            <w:rtl/>
          </w:rPr>
          <w:t>/</w:t>
        </w:r>
      </w:hyperlink>
    </w:p>
    <w:p w14:paraId="7F89608A" w14:textId="77777777" w:rsidR="00542073" w:rsidRDefault="00542073" w:rsidP="00542073">
      <w:pPr>
        <w:pStyle w:val="ac"/>
        <w:rPr>
          <w:rFonts w:hint="cs"/>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7B084" w14:textId="77777777" w:rsidR="00B63307" w:rsidRDefault="00B6330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EE436" w14:textId="77777777" w:rsidR="00B63307" w:rsidRDefault="00B6330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1345E" w14:textId="77777777" w:rsidR="00B63307" w:rsidRDefault="00B6330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54A5"/>
    <w:multiLevelType w:val="hybridMultilevel"/>
    <w:tmpl w:val="B4FEFC92"/>
    <w:lvl w:ilvl="0" w:tplc="C336866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60035"/>
    <w:multiLevelType w:val="hybridMultilevel"/>
    <w:tmpl w:val="2F9CCC0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6193EF8"/>
    <w:multiLevelType w:val="multilevel"/>
    <w:tmpl w:val="1818CB3C"/>
    <w:lvl w:ilvl="0">
      <w:start w:val="1"/>
      <w:numFmt w:val="decimal"/>
      <w:lvlText w:val="%1."/>
      <w:lvlJc w:val="left"/>
      <w:pPr>
        <w:tabs>
          <w:tab w:val="num" w:pos="360"/>
        </w:tabs>
        <w:ind w:left="360" w:hanging="360"/>
      </w:pPr>
      <w:rPr>
        <w:rFonts w:ascii="David" w:eastAsiaTheme="minorHAnsi" w:hAnsi="David" w:cs="David"/>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963001A"/>
    <w:multiLevelType w:val="hybridMultilevel"/>
    <w:tmpl w:val="38A0B7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D07539"/>
    <w:multiLevelType w:val="hybridMultilevel"/>
    <w:tmpl w:val="307ED1BA"/>
    <w:lvl w:ilvl="0" w:tplc="507AE15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8E7E7B"/>
    <w:multiLevelType w:val="hybridMultilevel"/>
    <w:tmpl w:val="B8E8177E"/>
    <w:lvl w:ilvl="0" w:tplc="0DFCD736">
      <w:start w:val="1"/>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A6EC4"/>
    <w:multiLevelType w:val="hybridMultilevel"/>
    <w:tmpl w:val="A348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67665"/>
    <w:multiLevelType w:val="hybridMultilevel"/>
    <w:tmpl w:val="AD52C09A"/>
    <w:lvl w:ilvl="0" w:tplc="677C7CF6">
      <w:start w:val="1"/>
      <w:numFmt w:val="bullet"/>
      <w:lvlText w:val=""/>
      <w:lvlJc w:val="left"/>
      <w:pPr>
        <w:tabs>
          <w:tab w:val="num" w:pos="720"/>
        </w:tabs>
        <w:ind w:left="720" w:hanging="360"/>
      </w:pPr>
      <w:rPr>
        <w:rFonts w:ascii="Wingdings" w:hAnsi="Wingdings" w:hint="default"/>
      </w:rPr>
    </w:lvl>
    <w:lvl w:ilvl="1" w:tplc="584E1148" w:tentative="1">
      <w:start w:val="1"/>
      <w:numFmt w:val="bullet"/>
      <w:lvlText w:val=""/>
      <w:lvlJc w:val="left"/>
      <w:pPr>
        <w:tabs>
          <w:tab w:val="num" w:pos="1440"/>
        </w:tabs>
        <w:ind w:left="1440" w:hanging="360"/>
      </w:pPr>
      <w:rPr>
        <w:rFonts w:ascii="Wingdings" w:hAnsi="Wingdings" w:hint="default"/>
      </w:rPr>
    </w:lvl>
    <w:lvl w:ilvl="2" w:tplc="3EC216D0" w:tentative="1">
      <w:start w:val="1"/>
      <w:numFmt w:val="bullet"/>
      <w:lvlText w:val=""/>
      <w:lvlJc w:val="left"/>
      <w:pPr>
        <w:tabs>
          <w:tab w:val="num" w:pos="2160"/>
        </w:tabs>
        <w:ind w:left="2160" w:hanging="360"/>
      </w:pPr>
      <w:rPr>
        <w:rFonts w:ascii="Wingdings" w:hAnsi="Wingdings" w:hint="default"/>
      </w:rPr>
    </w:lvl>
    <w:lvl w:ilvl="3" w:tplc="A36E2556" w:tentative="1">
      <w:start w:val="1"/>
      <w:numFmt w:val="bullet"/>
      <w:lvlText w:val=""/>
      <w:lvlJc w:val="left"/>
      <w:pPr>
        <w:tabs>
          <w:tab w:val="num" w:pos="2880"/>
        </w:tabs>
        <w:ind w:left="2880" w:hanging="360"/>
      </w:pPr>
      <w:rPr>
        <w:rFonts w:ascii="Wingdings" w:hAnsi="Wingdings" w:hint="default"/>
      </w:rPr>
    </w:lvl>
    <w:lvl w:ilvl="4" w:tplc="CB7011C4" w:tentative="1">
      <w:start w:val="1"/>
      <w:numFmt w:val="bullet"/>
      <w:lvlText w:val=""/>
      <w:lvlJc w:val="left"/>
      <w:pPr>
        <w:tabs>
          <w:tab w:val="num" w:pos="3600"/>
        </w:tabs>
        <w:ind w:left="3600" w:hanging="360"/>
      </w:pPr>
      <w:rPr>
        <w:rFonts w:ascii="Wingdings" w:hAnsi="Wingdings" w:hint="default"/>
      </w:rPr>
    </w:lvl>
    <w:lvl w:ilvl="5" w:tplc="DD9894F8" w:tentative="1">
      <w:start w:val="1"/>
      <w:numFmt w:val="bullet"/>
      <w:lvlText w:val=""/>
      <w:lvlJc w:val="left"/>
      <w:pPr>
        <w:tabs>
          <w:tab w:val="num" w:pos="4320"/>
        </w:tabs>
        <w:ind w:left="4320" w:hanging="360"/>
      </w:pPr>
      <w:rPr>
        <w:rFonts w:ascii="Wingdings" w:hAnsi="Wingdings" w:hint="default"/>
      </w:rPr>
    </w:lvl>
    <w:lvl w:ilvl="6" w:tplc="8938BF00" w:tentative="1">
      <w:start w:val="1"/>
      <w:numFmt w:val="bullet"/>
      <w:lvlText w:val=""/>
      <w:lvlJc w:val="left"/>
      <w:pPr>
        <w:tabs>
          <w:tab w:val="num" w:pos="5040"/>
        </w:tabs>
        <w:ind w:left="5040" w:hanging="360"/>
      </w:pPr>
      <w:rPr>
        <w:rFonts w:ascii="Wingdings" w:hAnsi="Wingdings" w:hint="default"/>
      </w:rPr>
    </w:lvl>
    <w:lvl w:ilvl="7" w:tplc="15362BE0" w:tentative="1">
      <w:start w:val="1"/>
      <w:numFmt w:val="bullet"/>
      <w:lvlText w:val=""/>
      <w:lvlJc w:val="left"/>
      <w:pPr>
        <w:tabs>
          <w:tab w:val="num" w:pos="5760"/>
        </w:tabs>
        <w:ind w:left="5760" w:hanging="360"/>
      </w:pPr>
      <w:rPr>
        <w:rFonts w:ascii="Wingdings" w:hAnsi="Wingdings" w:hint="default"/>
      </w:rPr>
    </w:lvl>
    <w:lvl w:ilvl="8" w:tplc="A5CC2A2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25BB5"/>
    <w:multiLevelType w:val="hybridMultilevel"/>
    <w:tmpl w:val="DBFAC2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2421E30"/>
    <w:multiLevelType w:val="hybridMultilevel"/>
    <w:tmpl w:val="7638B9BC"/>
    <w:lvl w:ilvl="0" w:tplc="FFE80684">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66B8B"/>
    <w:multiLevelType w:val="hybridMultilevel"/>
    <w:tmpl w:val="46E640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4B80443"/>
    <w:multiLevelType w:val="hybridMultilevel"/>
    <w:tmpl w:val="A78E9F1A"/>
    <w:lvl w:ilvl="0" w:tplc="6A9AF384">
      <w:numFmt w:val="bullet"/>
      <w:lvlText w:val="-"/>
      <w:lvlJc w:val="left"/>
      <w:pPr>
        <w:ind w:left="720" w:hanging="360"/>
      </w:pPr>
      <w:rPr>
        <w:rFonts w:asciiTheme="minorHAnsi" w:eastAsiaTheme="minorHAnsi" w:hAnsiTheme="minorHAnsi"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15FE7"/>
    <w:multiLevelType w:val="hybridMultilevel"/>
    <w:tmpl w:val="706659AC"/>
    <w:lvl w:ilvl="0" w:tplc="838E7DF4">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9343F6"/>
    <w:multiLevelType w:val="multilevel"/>
    <w:tmpl w:val="006EB9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A520A2"/>
    <w:multiLevelType w:val="multilevel"/>
    <w:tmpl w:val="668C6F78"/>
    <w:lvl w:ilvl="0">
      <w:start w:val="1"/>
      <w:numFmt w:val="decimal"/>
      <w:lvlText w:val="%1."/>
      <w:lvlJc w:val="left"/>
      <w:pPr>
        <w:ind w:left="360" w:hanging="360"/>
      </w:pPr>
      <w:rPr>
        <w:rFonts w:ascii="David" w:hAnsi="David" w:cs="David" w:hint="default"/>
        <w:b w:val="0"/>
        <w:bCs w:val="0"/>
        <w:sz w:val="24"/>
        <w:szCs w:val="24"/>
        <w:u w:val="none"/>
        <w:lang w:val="en-U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3"/>
  </w:num>
  <w:num w:numId="4">
    <w:abstractNumId w:val="9"/>
  </w:num>
  <w:num w:numId="5">
    <w:abstractNumId w:val="7"/>
  </w:num>
  <w:num w:numId="6">
    <w:abstractNumId w:val="5"/>
  </w:num>
  <w:num w:numId="7">
    <w:abstractNumId w:val="6"/>
  </w:num>
  <w:num w:numId="8">
    <w:abstractNumId w:val="11"/>
  </w:num>
  <w:num w:numId="9">
    <w:abstractNumId w:val="4"/>
  </w:num>
  <w:num w:numId="10">
    <w:abstractNumId w:val="2"/>
  </w:num>
  <w:num w:numId="11">
    <w:abstractNumId w:val="13"/>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9F"/>
    <w:rsid w:val="0000629B"/>
    <w:rsid w:val="00014C94"/>
    <w:rsid w:val="00015A6E"/>
    <w:rsid w:val="0002398D"/>
    <w:rsid w:val="000240E9"/>
    <w:rsid w:val="00025701"/>
    <w:rsid w:val="00034C82"/>
    <w:rsid w:val="00051417"/>
    <w:rsid w:val="0005386E"/>
    <w:rsid w:val="00054FAB"/>
    <w:rsid w:val="00070463"/>
    <w:rsid w:val="00084F9D"/>
    <w:rsid w:val="00090CEB"/>
    <w:rsid w:val="000A6A6E"/>
    <w:rsid w:val="000C2321"/>
    <w:rsid w:val="000C7A01"/>
    <w:rsid w:val="000E76E4"/>
    <w:rsid w:val="000F1A0B"/>
    <w:rsid w:val="000F1D07"/>
    <w:rsid w:val="001016FE"/>
    <w:rsid w:val="00102506"/>
    <w:rsid w:val="00126FC4"/>
    <w:rsid w:val="0014304C"/>
    <w:rsid w:val="0015130D"/>
    <w:rsid w:val="001523A9"/>
    <w:rsid w:val="00153D18"/>
    <w:rsid w:val="00156008"/>
    <w:rsid w:val="00165570"/>
    <w:rsid w:val="00172DAA"/>
    <w:rsid w:val="00180E56"/>
    <w:rsid w:val="001900D4"/>
    <w:rsid w:val="00193154"/>
    <w:rsid w:val="001A001A"/>
    <w:rsid w:val="001A5F01"/>
    <w:rsid w:val="001A785D"/>
    <w:rsid w:val="001C6E60"/>
    <w:rsid w:val="001D3465"/>
    <w:rsid w:val="001D58A7"/>
    <w:rsid w:val="001E1870"/>
    <w:rsid w:val="001E3599"/>
    <w:rsid w:val="00214644"/>
    <w:rsid w:val="00215D83"/>
    <w:rsid w:val="002163F5"/>
    <w:rsid w:val="00224DE7"/>
    <w:rsid w:val="00242026"/>
    <w:rsid w:val="002603EC"/>
    <w:rsid w:val="002623B6"/>
    <w:rsid w:val="002B16CD"/>
    <w:rsid w:val="002D12F5"/>
    <w:rsid w:val="002E151C"/>
    <w:rsid w:val="002E3C61"/>
    <w:rsid w:val="00300CB7"/>
    <w:rsid w:val="00316D51"/>
    <w:rsid w:val="00321C49"/>
    <w:rsid w:val="0032484D"/>
    <w:rsid w:val="00343B6C"/>
    <w:rsid w:val="00353083"/>
    <w:rsid w:val="00355C8F"/>
    <w:rsid w:val="00355E7A"/>
    <w:rsid w:val="00357896"/>
    <w:rsid w:val="00370D07"/>
    <w:rsid w:val="00374B30"/>
    <w:rsid w:val="00397773"/>
    <w:rsid w:val="003B210A"/>
    <w:rsid w:val="003B34A7"/>
    <w:rsid w:val="003C495C"/>
    <w:rsid w:val="003C6BFE"/>
    <w:rsid w:val="003D0505"/>
    <w:rsid w:val="003D2E5E"/>
    <w:rsid w:val="003D429D"/>
    <w:rsid w:val="003E0F97"/>
    <w:rsid w:val="003E3FE5"/>
    <w:rsid w:val="003E5033"/>
    <w:rsid w:val="003F0DC5"/>
    <w:rsid w:val="003F430A"/>
    <w:rsid w:val="004052CD"/>
    <w:rsid w:val="004077F3"/>
    <w:rsid w:val="004128CC"/>
    <w:rsid w:val="00433D3D"/>
    <w:rsid w:val="004357BF"/>
    <w:rsid w:val="00440E0B"/>
    <w:rsid w:val="004459DF"/>
    <w:rsid w:val="00445B2D"/>
    <w:rsid w:val="00447790"/>
    <w:rsid w:val="004825B7"/>
    <w:rsid w:val="00491B11"/>
    <w:rsid w:val="00493D2B"/>
    <w:rsid w:val="00494F0A"/>
    <w:rsid w:val="004A3D94"/>
    <w:rsid w:val="004B0599"/>
    <w:rsid w:val="004B16C8"/>
    <w:rsid w:val="004B2831"/>
    <w:rsid w:val="004B2F58"/>
    <w:rsid w:val="004C02F2"/>
    <w:rsid w:val="004C68AC"/>
    <w:rsid w:val="004E59A2"/>
    <w:rsid w:val="004F21A9"/>
    <w:rsid w:val="0050283A"/>
    <w:rsid w:val="005147DD"/>
    <w:rsid w:val="00516734"/>
    <w:rsid w:val="00526658"/>
    <w:rsid w:val="005276FA"/>
    <w:rsid w:val="00531721"/>
    <w:rsid w:val="00542073"/>
    <w:rsid w:val="00550B03"/>
    <w:rsid w:val="00550E16"/>
    <w:rsid w:val="00551095"/>
    <w:rsid w:val="00551EA2"/>
    <w:rsid w:val="005538F6"/>
    <w:rsid w:val="00555628"/>
    <w:rsid w:val="00567C02"/>
    <w:rsid w:val="00572395"/>
    <w:rsid w:val="00573C42"/>
    <w:rsid w:val="00581552"/>
    <w:rsid w:val="00581AD5"/>
    <w:rsid w:val="005901E6"/>
    <w:rsid w:val="005C7FF4"/>
    <w:rsid w:val="005D34AE"/>
    <w:rsid w:val="005D58C3"/>
    <w:rsid w:val="005D786D"/>
    <w:rsid w:val="005E437D"/>
    <w:rsid w:val="005F02AE"/>
    <w:rsid w:val="005F0D31"/>
    <w:rsid w:val="005F1C66"/>
    <w:rsid w:val="00602789"/>
    <w:rsid w:val="00602D10"/>
    <w:rsid w:val="006054D2"/>
    <w:rsid w:val="00632A68"/>
    <w:rsid w:val="0063611A"/>
    <w:rsid w:val="00644684"/>
    <w:rsid w:val="00646FE4"/>
    <w:rsid w:val="00651487"/>
    <w:rsid w:val="006525C5"/>
    <w:rsid w:val="0066144C"/>
    <w:rsid w:val="0066345C"/>
    <w:rsid w:val="0067022D"/>
    <w:rsid w:val="006868CD"/>
    <w:rsid w:val="006914D6"/>
    <w:rsid w:val="006967F2"/>
    <w:rsid w:val="006A738C"/>
    <w:rsid w:val="006B2669"/>
    <w:rsid w:val="006B2BFE"/>
    <w:rsid w:val="006B56E6"/>
    <w:rsid w:val="006C5E94"/>
    <w:rsid w:val="006D2BC6"/>
    <w:rsid w:val="006D367D"/>
    <w:rsid w:val="006D7172"/>
    <w:rsid w:val="006D7DC9"/>
    <w:rsid w:val="006E2179"/>
    <w:rsid w:val="006E352B"/>
    <w:rsid w:val="006E3FC7"/>
    <w:rsid w:val="006E442E"/>
    <w:rsid w:val="006E5228"/>
    <w:rsid w:val="006F3AC2"/>
    <w:rsid w:val="00706BFE"/>
    <w:rsid w:val="00707D60"/>
    <w:rsid w:val="007246D6"/>
    <w:rsid w:val="007325B2"/>
    <w:rsid w:val="00736933"/>
    <w:rsid w:val="007369A3"/>
    <w:rsid w:val="00736CAB"/>
    <w:rsid w:val="007423DC"/>
    <w:rsid w:val="007472A4"/>
    <w:rsid w:val="00753698"/>
    <w:rsid w:val="00763D43"/>
    <w:rsid w:val="00767591"/>
    <w:rsid w:val="00773C34"/>
    <w:rsid w:val="0077460F"/>
    <w:rsid w:val="00782752"/>
    <w:rsid w:val="007A26AA"/>
    <w:rsid w:val="007B4595"/>
    <w:rsid w:val="007C5620"/>
    <w:rsid w:val="007C635F"/>
    <w:rsid w:val="007D0A89"/>
    <w:rsid w:val="007F3DD5"/>
    <w:rsid w:val="007F59B9"/>
    <w:rsid w:val="00822C33"/>
    <w:rsid w:val="00832ED1"/>
    <w:rsid w:val="00836EA3"/>
    <w:rsid w:val="00844F43"/>
    <w:rsid w:val="0087058D"/>
    <w:rsid w:val="00872867"/>
    <w:rsid w:val="008761A6"/>
    <w:rsid w:val="008852D3"/>
    <w:rsid w:val="00885CB4"/>
    <w:rsid w:val="00893DC7"/>
    <w:rsid w:val="00894496"/>
    <w:rsid w:val="008A2E42"/>
    <w:rsid w:val="008B0727"/>
    <w:rsid w:val="008D763C"/>
    <w:rsid w:val="008E579E"/>
    <w:rsid w:val="008F2E42"/>
    <w:rsid w:val="008F659F"/>
    <w:rsid w:val="00905037"/>
    <w:rsid w:val="009071CA"/>
    <w:rsid w:val="009141E6"/>
    <w:rsid w:val="00916C93"/>
    <w:rsid w:val="00927DB2"/>
    <w:rsid w:val="00933641"/>
    <w:rsid w:val="0093694D"/>
    <w:rsid w:val="00936DC1"/>
    <w:rsid w:val="00940C21"/>
    <w:rsid w:val="00945DF5"/>
    <w:rsid w:val="00952475"/>
    <w:rsid w:val="009539A7"/>
    <w:rsid w:val="009606F6"/>
    <w:rsid w:val="0096327D"/>
    <w:rsid w:val="00977A1D"/>
    <w:rsid w:val="0098317C"/>
    <w:rsid w:val="009B7CDE"/>
    <w:rsid w:val="009D6FAF"/>
    <w:rsid w:val="009E40B6"/>
    <w:rsid w:val="009F294C"/>
    <w:rsid w:val="00A004C3"/>
    <w:rsid w:val="00A022F1"/>
    <w:rsid w:val="00A3704E"/>
    <w:rsid w:val="00A50592"/>
    <w:rsid w:val="00A51AF0"/>
    <w:rsid w:val="00A5739B"/>
    <w:rsid w:val="00A57A65"/>
    <w:rsid w:val="00A61819"/>
    <w:rsid w:val="00A61ADD"/>
    <w:rsid w:val="00A708AC"/>
    <w:rsid w:val="00A7198F"/>
    <w:rsid w:val="00A76B72"/>
    <w:rsid w:val="00A862B0"/>
    <w:rsid w:val="00A9386F"/>
    <w:rsid w:val="00A95AEE"/>
    <w:rsid w:val="00AA1A89"/>
    <w:rsid w:val="00AA2054"/>
    <w:rsid w:val="00AA7E03"/>
    <w:rsid w:val="00AB1782"/>
    <w:rsid w:val="00AB18DC"/>
    <w:rsid w:val="00AC150F"/>
    <w:rsid w:val="00AC27A5"/>
    <w:rsid w:val="00AF4EA5"/>
    <w:rsid w:val="00B0105C"/>
    <w:rsid w:val="00B04FFC"/>
    <w:rsid w:val="00B13E51"/>
    <w:rsid w:val="00B14117"/>
    <w:rsid w:val="00B23B1F"/>
    <w:rsid w:val="00B27A43"/>
    <w:rsid w:val="00B3303F"/>
    <w:rsid w:val="00B330E9"/>
    <w:rsid w:val="00B56B38"/>
    <w:rsid w:val="00B60BEF"/>
    <w:rsid w:val="00B63307"/>
    <w:rsid w:val="00B6379F"/>
    <w:rsid w:val="00B75C49"/>
    <w:rsid w:val="00B83381"/>
    <w:rsid w:val="00B97D3C"/>
    <w:rsid w:val="00BA24B9"/>
    <w:rsid w:val="00BB4381"/>
    <w:rsid w:val="00BD0BCF"/>
    <w:rsid w:val="00BF0B25"/>
    <w:rsid w:val="00C1576D"/>
    <w:rsid w:val="00C22C55"/>
    <w:rsid w:val="00C732F0"/>
    <w:rsid w:val="00C81487"/>
    <w:rsid w:val="00C87712"/>
    <w:rsid w:val="00C966F2"/>
    <w:rsid w:val="00CB52FC"/>
    <w:rsid w:val="00CC67AC"/>
    <w:rsid w:val="00CD21DE"/>
    <w:rsid w:val="00CD2A75"/>
    <w:rsid w:val="00CE4026"/>
    <w:rsid w:val="00CF277F"/>
    <w:rsid w:val="00CF6DAD"/>
    <w:rsid w:val="00D03213"/>
    <w:rsid w:val="00D1664C"/>
    <w:rsid w:val="00D23A44"/>
    <w:rsid w:val="00D25A6D"/>
    <w:rsid w:val="00D33AA5"/>
    <w:rsid w:val="00D4108D"/>
    <w:rsid w:val="00D44B49"/>
    <w:rsid w:val="00D451F7"/>
    <w:rsid w:val="00D45773"/>
    <w:rsid w:val="00D655E7"/>
    <w:rsid w:val="00D67AEC"/>
    <w:rsid w:val="00D76CFD"/>
    <w:rsid w:val="00D834B0"/>
    <w:rsid w:val="00D87F8F"/>
    <w:rsid w:val="00D92289"/>
    <w:rsid w:val="00DB289B"/>
    <w:rsid w:val="00DC3378"/>
    <w:rsid w:val="00DC4FDF"/>
    <w:rsid w:val="00DC5042"/>
    <w:rsid w:val="00DD4C23"/>
    <w:rsid w:val="00DD5936"/>
    <w:rsid w:val="00DD64D0"/>
    <w:rsid w:val="00DE0687"/>
    <w:rsid w:val="00DE17FD"/>
    <w:rsid w:val="00DE4461"/>
    <w:rsid w:val="00DF0A2E"/>
    <w:rsid w:val="00DF7F83"/>
    <w:rsid w:val="00E1573B"/>
    <w:rsid w:val="00E335FA"/>
    <w:rsid w:val="00E41C77"/>
    <w:rsid w:val="00E44919"/>
    <w:rsid w:val="00E6475E"/>
    <w:rsid w:val="00E674A4"/>
    <w:rsid w:val="00E719C1"/>
    <w:rsid w:val="00E94CB0"/>
    <w:rsid w:val="00EA12D0"/>
    <w:rsid w:val="00ED08DE"/>
    <w:rsid w:val="00ED5731"/>
    <w:rsid w:val="00EF11B2"/>
    <w:rsid w:val="00F03FC9"/>
    <w:rsid w:val="00F25F8C"/>
    <w:rsid w:val="00F4207B"/>
    <w:rsid w:val="00F444D0"/>
    <w:rsid w:val="00F45027"/>
    <w:rsid w:val="00F51002"/>
    <w:rsid w:val="00F61B2B"/>
    <w:rsid w:val="00F7615A"/>
    <w:rsid w:val="00F76A89"/>
    <w:rsid w:val="00F850C8"/>
    <w:rsid w:val="00F87570"/>
    <w:rsid w:val="00F8795E"/>
    <w:rsid w:val="00FA4264"/>
    <w:rsid w:val="00FB6F37"/>
    <w:rsid w:val="00FB79F2"/>
    <w:rsid w:val="00FC0842"/>
    <w:rsid w:val="00FC5F41"/>
    <w:rsid w:val="00FC637D"/>
    <w:rsid w:val="00FD052E"/>
    <w:rsid w:val="00FD4E7B"/>
    <w:rsid w:val="00FF71A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2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228"/>
  </w:style>
  <w:style w:type="paragraph" w:styleId="2">
    <w:name w:val="heading 2"/>
    <w:basedOn w:val="a"/>
    <w:link w:val="20"/>
    <w:uiPriority w:val="9"/>
    <w:qFormat/>
    <w:rsid w:val="00F76A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F659F"/>
    <w:rPr>
      <w:sz w:val="16"/>
      <w:szCs w:val="16"/>
    </w:rPr>
  </w:style>
  <w:style w:type="paragraph" w:styleId="a4">
    <w:name w:val="annotation text"/>
    <w:basedOn w:val="a"/>
    <w:link w:val="a5"/>
    <w:uiPriority w:val="99"/>
    <w:semiHidden/>
    <w:unhideWhenUsed/>
    <w:rsid w:val="008F659F"/>
    <w:pPr>
      <w:spacing w:line="240" w:lineRule="auto"/>
    </w:pPr>
    <w:rPr>
      <w:sz w:val="20"/>
      <w:szCs w:val="20"/>
    </w:rPr>
  </w:style>
  <w:style w:type="character" w:customStyle="1" w:styleId="a5">
    <w:name w:val="טקסט הערה תו"/>
    <w:basedOn w:val="a0"/>
    <w:link w:val="a4"/>
    <w:uiPriority w:val="99"/>
    <w:semiHidden/>
    <w:rsid w:val="008F659F"/>
    <w:rPr>
      <w:sz w:val="20"/>
      <w:szCs w:val="20"/>
    </w:rPr>
  </w:style>
  <w:style w:type="paragraph" w:styleId="a6">
    <w:name w:val="annotation subject"/>
    <w:basedOn w:val="a4"/>
    <w:next w:val="a4"/>
    <w:link w:val="a7"/>
    <w:uiPriority w:val="99"/>
    <w:semiHidden/>
    <w:unhideWhenUsed/>
    <w:rsid w:val="008F659F"/>
    <w:rPr>
      <w:b/>
      <w:bCs/>
    </w:rPr>
  </w:style>
  <w:style w:type="character" w:customStyle="1" w:styleId="a7">
    <w:name w:val="נושא הערה תו"/>
    <w:basedOn w:val="a5"/>
    <w:link w:val="a6"/>
    <w:uiPriority w:val="99"/>
    <w:semiHidden/>
    <w:rsid w:val="008F659F"/>
    <w:rPr>
      <w:b/>
      <w:bCs/>
      <w:sz w:val="20"/>
      <w:szCs w:val="20"/>
    </w:rPr>
  </w:style>
  <w:style w:type="paragraph" w:styleId="a8">
    <w:name w:val="Revision"/>
    <w:hidden/>
    <w:uiPriority w:val="99"/>
    <w:semiHidden/>
    <w:rsid w:val="008F659F"/>
    <w:pPr>
      <w:spacing w:after="0" w:line="240" w:lineRule="auto"/>
    </w:pPr>
  </w:style>
  <w:style w:type="paragraph" w:styleId="a9">
    <w:name w:val="Balloon Text"/>
    <w:basedOn w:val="a"/>
    <w:link w:val="aa"/>
    <w:uiPriority w:val="99"/>
    <w:semiHidden/>
    <w:unhideWhenUsed/>
    <w:rsid w:val="008F659F"/>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8F659F"/>
    <w:rPr>
      <w:rFonts w:ascii="Tahoma" w:hAnsi="Tahoma" w:cs="Tahoma"/>
      <w:sz w:val="16"/>
      <w:szCs w:val="16"/>
    </w:rPr>
  </w:style>
  <w:style w:type="character" w:styleId="Hyperlink">
    <w:name w:val="Hyperlink"/>
    <w:basedOn w:val="a0"/>
    <w:uiPriority w:val="99"/>
    <w:unhideWhenUsed/>
    <w:rsid w:val="00370D07"/>
    <w:rPr>
      <w:color w:val="0000FF" w:themeColor="hyperlink"/>
      <w:u w:val="single"/>
    </w:rPr>
  </w:style>
  <w:style w:type="character" w:customStyle="1" w:styleId="ab">
    <w:name w:val="טקסט הערת שוליים תו"/>
    <w:aliases w:val="טקסט הערות שוליים תו2 תו,טקסט הערות שוליים תו1 תו תו,טקסט הערות שוליים תו תו תו תו,תו תו תו תו תו,טקסט הערות שוליים תו תו1 תו,תו תו תו1 תו,Footnote Text תו תו"/>
    <w:basedOn w:val="a0"/>
    <w:link w:val="ac"/>
    <w:uiPriority w:val="99"/>
    <w:locked/>
    <w:rsid w:val="00370D07"/>
    <w:rPr>
      <w:rFonts w:ascii="Times New Roman" w:eastAsia="Times New Roman" w:hAnsi="Times New Roman" w:cs="Times New Roman"/>
      <w:sz w:val="20"/>
      <w:szCs w:val="20"/>
    </w:rPr>
  </w:style>
  <w:style w:type="paragraph" w:styleId="ac">
    <w:name w:val="footnote text"/>
    <w:aliases w:val="טקסט הערות שוליים תו2,טקסט הערות שוליים תו1 תו,טקסט הערות שוליים תו תו תו,תו תו תו תו,טקסט הערות שוליים תו תו1,תו תו תו1,Footnote Text תו"/>
    <w:basedOn w:val="a"/>
    <w:link w:val="ab"/>
    <w:uiPriority w:val="99"/>
    <w:unhideWhenUsed/>
    <w:rsid w:val="00370D07"/>
    <w:pPr>
      <w:bidi/>
      <w:spacing w:after="0" w:line="240" w:lineRule="auto"/>
    </w:pPr>
    <w:rPr>
      <w:rFonts w:ascii="Times New Roman" w:eastAsia="Times New Roman" w:hAnsi="Times New Roman" w:cs="Times New Roman"/>
      <w:sz w:val="20"/>
      <w:szCs w:val="20"/>
    </w:rPr>
  </w:style>
  <w:style w:type="character" w:customStyle="1" w:styleId="1">
    <w:name w:val="טקסט הערת שוליים תו1"/>
    <w:basedOn w:val="a0"/>
    <w:uiPriority w:val="99"/>
    <w:semiHidden/>
    <w:rsid w:val="00370D07"/>
    <w:rPr>
      <w:sz w:val="20"/>
      <w:szCs w:val="20"/>
    </w:rPr>
  </w:style>
  <w:style w:type="paragraph" w:styleId="ad">
    <w:name w:val="Plain Text"/>
    <w:basedOn w:val="a"/>
    <w:link w:val="ae"/>
    <w:uiPriority w:val="99"/>
    <w:unhideWhenUsed/>
    <w:rsid w:val="00370D07"/>
    <w:pPr>
      <w:bidi/>
      <w:spacing w:after="0" w:line="240" w:lineRule="auto"/>
    </w:pPr>
    <w:rPr>
      <w:rFonts w:ascii="Calibri" w:hAnsi="Calibri" w:cs="Consolas"/>
      <w:szCs w:val="21"/>
    </w:rPr>
  </w:style>
  <w:style w:type="character" w:customStyle="1" w:styleId="ae">
    <w:name w:val="טקסט רגיל תו"/>
    <w:basedOn w:val="a0"/>
    <w:link w:val="ad"/>
    <w:uiPriority w:val="99"/>
    <w:rsid w:val="00370D07"/>
    <w:rPr>
      <w:rFonts w:ascii="Calibri" w:hAnsi="Calibri" w:cs="Consolas"/>
      <w:szCs w:val="21"/>
    </w:rPr>
  </w:style>
  <w:style w:type="character" w:customStyle="1" w:styleId="af">
    <w:name w:val="פיסקת רשימה תו"/>
    <w:link w:val="af0"/>
    <w:uiPriority w:val="34"/>
    <w:locked/>
    <w:rsid w:val="00370D07"/>
    <w:rPr>
      <w:rFonts w:ascii="Times New Roman" w:eastAsia="Times New Roman" w:hAnsi="Times New Roman" w:cs="Times New Roman"/>
      <w:sz w:val="24"/>
      <w:szCs w:val="24"/>
    </w:rPr>
  </w:style>
  <w:style w:type="paragraph" w:styleId="af0">
    <w:name w:val="List Paragraph"/>
    <w:basedOn w:val="a"/>
    <w:link w:val="af"/>
    <w:uiPriority w:val="34"/>
    <w:qFormat/>
    <w:rsid w:val="00370D07"/>
    <w:pPr>
      <w:bidi/>
      <w:spacing w:after="0" w:line="240" w:lineRule="auto"/>
      <w:ind w:left="720"/>
    </w:pPr>
    <w:rPr>
      <w:rFonts w:ascii="Times New Roman" w:eastAsia="Times New Roman" w:hAnsi="Times New Roman" w:cs="Times New Roman"/>
      <w:sz w:val="24"/>
      <w:szCs w:val="24"/>
    </w:rPr>
  </w:style>
  <w:style w:type="character" w:styleId="af1">
    <w:name w:val="footnote reference"/>
    <w:uiPriority w:val="99"/>
    <w:unhideWhenUsed/>
    <w:rsid w:val="00370D07"/>
    <w:rPr>
      <w:vertAlign w:val="superscript"/>
    </w:rPr>
  </w:style>
  <w:style w:type="character" w:styleId="FollowedHyperlink">
    <w:name w:val="FollowedHyperlink"/>
    <w:basedOn w:val="a0"/>
    <w:uiPriority w:val="99"/>
    <w:semiHidden/>
    <w:unhideWhenUsed/>
    <w:rsid w:val="00736933"/>
    <w:rPr>
      <w:color w:val="800080" w:themeColor="followedHyperlink"/>
      <w:u w:val="single"/>
    </w:rPr>
  </w:style>
  <w:style w:type="character" w:customStyle="1" w:styleId="apple-converted-space">
    <w:name w:val="apple-converted-space"/>
    <w:basedOn w:val="a0"/>
    <w:rsid w:val="007C635F"/>
  </w:style>
  <w:style w:type="paragraph" w:styleId="NormalWeb">
    <w:name w:val="Normal (Web)"/>
    <w:basedOn w:val="a"/>
    <w:uiPriority w:val="99"/>
    <w:semiHidden/>
    <w:unhideWhenUsed/>
    <w:rsid w:val="007C635F"/>
    <w:pPr>
      <w:spacing w:before="100" w:beforeAutospacing="1" w:after="100" w:afterAutospacing="1" w:line="240" w:lineRule="auto"/>
    </w:pPr>
    <w:rPr>
      <w:rFonts w:ascii="Times New Roman" w:hAnsi="Times New Roman" w:cs="Times New Roman"/>
      <w:sz w:val="24"/>
      <w:szCs w:val="24"/>
    </w:rPr>
  </w:style>
  <w:style w:type="paragraph" w:styleId="af2">
    <w:name w:val="header"/>
    <w:basedOn w:val="a"/>
    <w:link w:val="af3"/>
    <w:uiPriority w:val="99"/>
    <w:unhideWhenUsed/>
    <w:rsid w:val="00B63307"/>
    <w:pPr>
      <w:tabs>
        <w:tab w:val="center" w:pos="4153"/>
        <w:tab w:val="right" w:pos="8306"/>
      </w:tabs>
      <w:spacing w:after="0" w:line="240" w:lineRule="auto"/>
    </w:pPr>
  </w:style>
  <w:style w:type="character" w:customStyle="1" w:styleId="af3">
    <w:name w:val="כותרת עליונה תו"/>
    <w:basedOn w:val="a0"/>
    <w:link w:val="af2"/>
    <w:uiPriority w:val="99"/>
    <w:rsid w:val="00B63307"/>
  </w:style>
  <w:style w:type="paragraph" w:styleId="af4">
    <w:name w:val="footer"/>
    <w:basedOn w:val="a"/>
    <w:link w:val="af5"/>
    <w:uiPriority w:val="99"/>
    <w:unhideWhenUsed/>
    <w:rsid w:val="00B63307"/>
    <w:pPr>
      <w:tabs>
        <w:tab w:val="center" w:pos="4153"/>
        <w:tab w:val="right" w:pos="8306"/>
      </w:tabs>
      <w:spacing w:after="0" w:line="240" w:lineRule="auto"/>
    </w:pPr>
  </w:style>
  <w:style w:type="character" w:customStyle="1" w:styleId="af5">
    <w:name w:val="כותרת תחתונה תו"/>
    <w:basedOn w:val="a0"/>
    <w:link w:val="af4"/>
    <w:uiPriority w:val="99"/>
    <w:rsid w:val="00B63307"/>
  </w:style>
  <w:style w:type="paragraph" w:styleId="af6">
    <w:name w:val="Body Text"/>
    <w:basedOn w:val="a"/>
    <w:link w:val="af7"/>
    <w:rsid w:val="00B97D3C"/>
    <w:pPr>
      <w:bidi/>
      <w:spacing w:after="0" w:line="360" w:lineRule="auto"/>
      <w:jc w:val="both"/>
    </w:pPr>
    <w:rPr>
      <w:rFonts w:ascii="Times New Roman" w:eastAsia="Times New Roman" w:hAnsi="Times New Roman" w:cs="David"/>
      <w:sz w:val="20"/>
      <w:szCs w:val="24"/>
      <w:lang w:eastAsia="he-IL"/>
    </w:rPr>
  </w:style>
  <w:style w:type="character" w:customStyle="1" w:styleId="af7">
    <w:name w:val="גוף טקסט תו"/>
    <w:basedOn w:val="a0"/>
    <w:link w:val="af6"/>
    <w:rsid w:val="00B97D3C"/>
    <w:rPr>
      <w:rFonts w:ascii="Times New Roman" w:eastAsia="Times New Roman" w:hAnsi="Times New Roman" w:cs="David"/>
      <w:sz w:val="20"/>
      <w:szCs w:val="24"/>
      <w:lang w:eastAsia="he-IL"/>
    </w:rPr>
  </w:style>
  <w:style w:type="character" w:customStyle="1" w:styleId="20">
    <w:name w:val="כותרת 2 תו"/>
    <w:basedOn w:val="a0"/>
    <w:link w:val="2"/>
    <w:uiPriority w:val="9"/>
    <w:rsid w:val="00F76A89"/>
    <w:rPr>
      <w:rFonts w:ascii="Times New Roman" w:eastAsia="Times New Roman" w:hAnsi="Times New Roman" w:cs="Times New Roman"/>
      <w:b/>
      <w:bCs/>
      <w:sz w:val="36"/>
      <w:szCs w:val="36"/>
    </w:rPr>
  </w:style>
  <w:style w:type="character" w:styleId="af8">
    <w:name w:val="Intense Emphasis"/>
    <w:uiPriority w:val="21"/>
    <w:qFormat/>
    <w:rsid w:val="00F76A89"/>
  </w:style>
  <w:style w:type="paragraph" w:styleId="af9">
    <w:name w:val="No Spacing"/>
    <w:link w:val="afa"/>
    <w:uiPriority w:val="1"/>
    <w:qFormat/>
    <w:rsid w:val="00F76A89"/>
    <w:pPr>
      <w:bidi/>
      <w:spacing w:after="0" w:line="240" w:lineRule="auto"/>
      <w:jc w:val="both"/>
    </w:pPr>
    <w:rPr>
      <w:rFonts w:cs="Assistant Light"/>
    </w:rPr>
  </w:style>
  <w:style w:type="character" w:customStyle="1" w:styleId="afa">
    <w:name w:val="ללא מרווח תו"/>
    <w:basedOn w:val="a0"/>
    <w:link w:val="af9"/>
    <w:uiPriority w:val="1"/>
    <w:rsid w:val="00F76A89"/>
    <w:rPr>
      <w:rFonts w:cs="Assistant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5140">
      <w:bodyDiv w:val="1"/>
      <w:marLeft w:val="0"/>
      <w:marRight w:val="0"/>
      <w:marTop w:val="0"/>
      <w:marBottom w:val="0"/>
      <w:divBdr>
        <w:top w:val="none" w:sz="0" w:space="0" w:color="auto"/>
        <w:left w:val="none" w:sz="0" w:space="0" w:color="auto"/>
        <w:bottom w:val="none" w:sz="0" w:space="0" w:color="auto"/>
        <w:right w:val="none" w:sz="0" w:space="0" w:color="auto"/>
      </w:divBdr>
    </w:div>
    <w:div w:id="305361013">
      <w:bodyDiv w:val="1"/>
      <w:marLeft w:val="0"/>
      <w:marRight w:val="0"/>
      <w:marTop w:val="0"/>
      <w:marBottom w:val="0"/>
      <w:divBdr>
        <w:top w:val="none" w:sz="0" w:space="0" w:color="auto"/>
        <w:left w:val="none" w:sz="0" w:space="0" w:color="auto"/>
        <w:bottom w:val="none" w:sz="0" w:space="0" w:color="auto"/>
        <w:right w:val="none" w:sz="0" w:space="0" w:color="auto"/>
      </w:divBdr>
    </w:div>
    <w:div w:id="421341566">
      <w:bodyDiv w:val="1"/>
      <w:marLeft w:val="0"/>
      <w:marRight w:val="0"/>
      <w:marTop w:val="0"/>
      <w:marBottom w:val="0"/>
      <w:divBdr>
        <w:top w:val="none" w:sz="0" w:space="0" w:color="auto"/>
        <w:left w:val="none" w:sz="0" w:space="0" w:color="auto"/>
        <w:bottom w:val="none" w:sz="0" w:space="0" w:color="auto"/>
        <w:right w:val="none" w:sz="0" w:space="0" w:color="auto"/>
      </w:divBdr>
      <w:divsChild>
        <w:div w:id="486090298">
          <w:marLeft w:val="0"/>
          <w:marRight w:val="446"/>
          <w:marTop w:val="0"/>
          <w:marBottom w:val="0"/>
          <w:divBdr>
            <w:top w:val="none" w:sz="0" w:space="0" w:color="auto"/>
            <w:left w:val="none" w:sz="0" w:space="0" w:color="auto"/>
            <w:bottom w:val="none" w:sz="0" w:space="0" w:color="auto"/>
            <w:right w:val="none" w:sz="0" w:space="0" w:color="auto"/>
          </w:divBdr>
        </w:div>
      </w:divsChild>
    </w:div>
    <w:div w:id="695274133">
      <w:bodyDiv w:val="1"/>
      <w:marLeft w:val="0"/>
      <w:marRight w:val="0"/>
      <w:marTop w:val="0"/>
      <w:marBottom w:val="0"/>
      <w:divBdr>
        <w:top w:val="none" w:sz="0" w:space="0" w:color="auto"/>
        <w:left w:val="none" w:sz="0" w:space="0" w:color="auto"/>
        <w:bottom w:val="none" w:sz="0" w:space="0" w:color="auto"/>
        <w:right w:val="none" w:sz="0" w:space="0" w:color="auto"/>
      </w:divBdr>
    </w:div>
    <w:div w:id="736976219">
      <w:bodyDiv w:val="1"/>
      <w:marLeft w:val="0"/>
      <w:marRight w:val="0"/>
      <w:marTop w:val="0"/>
      <w:marBottom w:val="0"/>
      <w:divBdr>
        <w:top w:val="none" w:sz="0" w:space="0" w:color="auto"/>
        <w:left w:val="none" w:sz="0" w:space="0" w:color="auto"/>
        <w:bottom w:val="none" w:sz="0" w:space="0" w:color="auto"/>
        <w:right w:val="none" w:sz="0" w:space="0" w:color="auto"/>
      </w:divBdr>
    </w:div>
    <w:div w:id="803811195">
      <w:bodyDiv w:val="1"/>
      <w:marLeft w:val="0"/>
      <w:marRight w:val="0"/>
      <w:marTop w:val="0"/>
      <w:marBottom w:val="0"/>
      <w:divBdr>
        <w:top w:val="none" w:sz="0" w:space="0" w:color="auto"/>
        <w:left w:val="none" w:sz="0" w:space="0" w:color="auto"/>
        <w:bottom w:val="none" w:sz="0" w:space="0" w:color="auto"/>
        <w:right w:val="none" w:sz="0" w:space="0" w:color="auto"/>
      </w:divBdr>
    </w:div>
    <w:div w:id="858004340">
      <w:bodyDiv w:val="1"/>
      <w:marLeft w:val="0"/>
      <w:marRight w:val="0"/>
      <w:marTop w:val="0"/>
      <w:marBottom w:val="0"/>
      <w:divBdr>
        <w:top w:val="none" w:sz="0" w:space="0" w:color="auto"/>
        <w:left w:val="none" w:sz="0" w:space="0" w:color="auto"/>
        <w:bottom w:val="none" w:sz="0" w:space="0" w:color="auto"/>
        <w:right w:val="none" w:sz="0" w:space="0" w:color="auto"/>
      </w:divBdr>
    </w:div>
    <w:div w:id="927346921">
      <w:bodyDiv w:val="1"/>
      <w:marLeft w:val="0"/>
      <w:marRight w:val="0"/>
      <w:marTop w:val="0"/>
      <w:marBottom w:val="0"/>
      <w:divBdr>
        <w:top w:val="none" w:sz="0" w:space="0" w:color="auto"/>
        <w:left w:val="none" w:sz="0" w:space="0" w:color="auto"/>
        <w:bottom w:val="none" w:sz="0" w:space="0" w:color="auto"/>
        <w:right w:val="none" w:sz="0" w:space="0" w:color="auto"/>
      </w:divBdr>
      <w:divsChild>
        <w:div w:id="238641617">
          <w:marLeft w:val="0"/>
          <w:marRight w:val="0"/>
          <w:marTop w:val="0"/>
          <w:marBottom w:val="0"/>
          <w:divBdr>
            <w:top w:val="none" w:sz="0" w:space="0" w:color="auto"/>
            <w:left w:val="none" w:sz="0" w:space="0" w:color="auto"/>
            <w:bottom w:val="none" w:sz="0" w:space="0" w:color="auto"/>
            <w:right w:val="none" w:sz="0" w:space="0" w:color="auto"/>
          </w:divBdr>
        </w:div>
      </w:divsChild>
    </w:div>
    <w:div w:id="1299258923">
      <w:bodyDiv w:val="1"/>
      <w:marLeft w:val="0"/>
      <w:marRight w:val="0"/>
      <w:marTop w:val="0"/>
      <w:marBottom w:val="0"/>
      <w:divBdr>
        <w:top w:val="none" w:sz="0" w:space="0" w:color="auto"/>
        <w:left w:val="none" w:sz="0" w:space="0" w:color="auto"/>
        <w:bottom w:val="none" w:sz="0" w:space="0" w:color="auto"/>
        <w:right w:val="none" w:sz="0" w:space="0" w:color="auto"/>
      </w:divBdr>
    </w:div>
    <w:div w:id="189742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boi.org.il/roles/supervisionregulation/legislation/159a1/" TargetMode="External"/><Relationship Id="rId1" Type="http://schemas.openxmlformats.org/officeDocument/2006/relationships/hyperlink" Target="https://www.boi.org.il/bank-of-israel/iron-swords/boi-outline-ba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217D0-EDA3-4B34-8998-110D5D4F3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3196</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2024-07-31T07:30:00Z</dcterms:created>
  <dcterms:modified xsi:type="dcterms:W3CDTF">2024-07-31T10:11:00Z</dcterms:modified>
</cp:coreProperties>
</file>