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09"/>
        <w:bidiVisual/>
        <w:tblW w:w="8520" w:type="dxa"/>
        <w:tblLayout w:type="fixed"/>
        <w:tblLook w:val="0000" w:firstRow="0" w:lastRow="0" w:firstColumn="0" w:lastColumn="0" w:noHBand="0" w:noVBand="0"/>
        <w:tblCaption w:val="כותרת עליונה"/>
        <w:tblDescription w:val="כותרת עליונה"/>
      </w:tblPr>
      <w:tblGrid>
        <w:gridCol w:w="2840"/>
        <w:gridCol w:w="2596"/>
        <w:gridCol w:w="3084"/>
      </w:tblGrid>
      <w:tr w:rsidR="00D46F19" w:rsidRPr="00996DE6" w:rsidTr="00D46F19">
        <w:trPr>
          <w:tblHeader/>
        </w:trPr>
        <w:tc>
          <w:tcPr>
            <w:tcW w:w="2840" w:type="dxa"/>
            <w:tcBorders>
              <w:top w:val="nil"/>
              <w:left w:val="nil"/>
              <w:bottom w:val="nil"/>
              <w:right w:val="nil"/>
            </w:tcBorders>
            <w:vAlign w:val="center"/>
          </w:tcPr>
          <w:p w:rsidR="00D46F19" w:rsidRPr="00996DE6" w:rsidRDefault="00D46F19" w:rsidP="00D46F19">
            <w:pPr>
              <w:spacing w:line="360" w:lineRule="auto"/>
              <w:jc w:val="center"/>
              <w:rPr>
                <w:rFonts w:cs="David"/>
                <w:b/>
                <w:bCs/>
                <w:sz w:val="24"/>
                <w:szCs w:val="24"/>
              </w:rPr>
            </w:pPr>
            <w:r w:rsidRPr="00996DE6">
              <w:rPr>
                <w:rFonts w:cs="David"/>
                <w:b/>
                <w:bCs/>
                <w:sz w:val="24"/>
                <w:szCs w:val="24"/>
                <w:rtl/>
              </w:rPr>
              <w:t>בנק ישראל</w:t>
            </w:r>
          </w:p>
          <w:p w:rsidR="00D46F19" w:rsidRPr="00996DE6" w:rsidRDefault="00D46F19" w:rsidP="00D46F19">
            <w:pPr>
              <w:spacing w:line="360" w:lineRule="auto"/>
              <w:ind w:right="-101"/>
              <w:jc w:val="center"/>
              <w:rPr>
                <w:sz w:val="24"/>
                <w:szCs w:val="24"/>
              </w:rPr>
            </w:pPr>
            <w:r w:rsidRPr="00996DE6">
              <w:rPr>
                <w:rFonts w:cs="David"/>
                <w:sz w:val="24"/>
                <w:szCs w:val="24"/>
                <w:rtl/>
              </w:rPr>
              <w:t>דוברות והסברה כלכלית</w:t>
            </w:r>
          </w:p>
        </w:tc>
        <w:tc>
          <w:tcPr>
            <w:tcW w:w="2596" w:type="dxa"/>
            <w:tcBorders>
              <w:top w:val="nil"/>
              <w:left w:val="nil"/>
              <w:bottom w:val="nil"/>
              <w:right w:val="nil"/>
            </w:tcBorders>
          </w:tcPr>
          <w:p w:rsidR="00D46F19" w:rsidRPr="00996DE6" w:rsidRDefault="00D46F19" w:rsidP="00D46F19">
            <w:pPr>
              <w:jc w:val="center"/>
              <w:rPr>
                <w:sz w:val="24"/>
                <w:szCs w:val="24"/>
              </w:rPr>
            </w:pPr>
            <w:r w:rsidRPr="00996DE6">
              <w:rPr>
                <w:noProof/>
                <w:sz w:val="24"/>
                <w:szCs w:val="24"/>
              </w:rPr>
              <w:drawing>
                <wp:inline distT="0" distB="0" distL="0" distR="0" wp14:anchorId="7E6C284F" wp14:editId="16536BA4">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D46F19" w:rsidRPr="00996DE6" w:rsidRDefault="00D46F19" w:rsidP="000B19A8">
            <w:pPr>
              <w:spacing w:line="480" w:lineRule="auto"/>
              <w:jc w:val="right"/>
              <w:rPr>
                <w:rFonts w:cs="David"/>
                <w:sz w:val="24"/>
                <w:szCs w:val="24"/>
              </w:rPr>
            </w:pPr>
            <w:r w:rsidRPr="00996DE6">
              <w:rPr>
                <w:rFonts w:cs="David" w:hint="eastAsia"/>
                <w:sz w:val="24"/>
                <w:szCs w:val="24"/>
                <w:rtl/>
              </w:rPr>
              <w:t>‏</w:t>
            </w:r>
            <w:r w:rsidRPr="00996DE6">
              <w:rPr>
                <w:rFonts w:cs="David"/>
                <w:sz w:val="24"/>
                <w:szCs w:val="24"/>
                <w:rtl/>
              </w:rPr>
              <w:t xml:space="preserve">ירושלים, </w:t>
            </w:r>
            <w:r w:rsidR="000B19A8">
              <w:rPr>
                <w:rFonts w:cs="David" w:hint="cs"/>
                <w:sz w:val="24"/>
                <w:szCs w:val="24"/>
                <w:rtl/>
              </w:rPr>
              <w:t>ז</w:t>
            </w:r>
            <w:bookmarkStart w:id="0" w:name="_GoBack"/>
            <w:bookmarkEnd w:id="0"/>
            <w:r w:rsidRPr="00996DE6">
              <w:rPr>
                <w:rFonts w:cs="David"/>
                <w:sz w:val="24"/>
                <w:szCs w:val="24"/>
                <w:rtl/>
              </w:rPr>
              <w:t xml:space="preserve">' </w:t>
            </w:r>
            <w:r w:rsidRPr="00996DE6">
              <w:rPr>
                <w:rFonts w:cs="David" w:hint="cs"/>
                <w:sz w:val="24"/>
                <w:szCs w:val="24"/>
                <w:rtl/>
              </w:rPr>
              <w:t>ב</w:t>
            </w:r>
            <w:r w:rsidRPr="00996DE6">
              <w:rPr>
                <w:rFonts w:cs="David"/>
                <w:sz w:val="24"/>
                <w:szCs w:val="24"/>
                <w:rtl/>
              </w:rPr>
              <w:t xml:space="preserve">אדר, </w:t>
            </w:r>
            <w:proofErr w:type="spellStart"/>
            <w:r w:rsidRPr="00996DE6">
              <w:rPr>
                <w:rFonts w:cs="David"/>
                <w:sz w:val="24"/>
                <w:szCs w:val="24"/>
                <w:rtl/>
              </w:rPr>
              <w:t>התשפ"ג</w:t>
            </w:r>
            <w:proofErr w:type="spellEnd"/>
          </w:p>
          <w:p w:rsidR="00D46F19" w:rsidRPr="00996DE6" w:rsidRDefault="00D46F19" w:rsidP="000B19A8">
            <w:pPr>
              <w:spacing w:line="480" w:lineRule="auto"/>
              <w:jc w:val="right"/>
              <w:rPr>
                <w:rFonts w:cs="David"/>
                <w:sz w:val="24"/>
                <w:szCs w:val="24"/>
              </w:rPr>
            </w:pPr>
            <w:r w:rsidRPr="00996DE6">
              <w:rPr>
                <w:rFonts w:cs="David" w:hint="eastAsia"/>
                <w:sz w:val="24"/>
                <w:szCs w:val="24"/>
                <w:rtl/>
              </w:rPr>
              <w:t>‏‏</w:t>
            </w:r>
            <w:r w:rsidRPr="00996DE6">
              <w:rPr>
                <w:rFonts w:cs="David"/>
                <w:sz w:val="24"/>
                <w:szCs w:val="24"/>
                <w:rtl/>
              </w:rPr>
              <w:t>2</w:t>
            </w:r>
            <w:r w:rsidR="000B19A8">
              <w:rPr>
                <w:rFonts w:cs="David" w:hint="cs"/>
                <w:sz w:val="24"/>
                <w:szCs w:val="24"/>
                <w:rtl/>
              </w:rPr>
              <w:t>8</w:t>
            </w:r>
            <w:r w:rsidRPr="00996DE6">
              <w:rPr>
                <w:rFonts w:cs="David"/>
                <w:sz w:val="24"/>
                <w:szCs w:val="24"/>
                <w:rtl/>
              </w:rPr>
              <w:t xml:space="preserve"> פברואר 2023</w:t>
            </w:r>
          </w:p>
        </w:tc>
      </w:tr>
    </w:tbl>
    <w:p w:rsidR="00996DE6" w:rsidRPr="00996DE6" w:rsidRDefault="00996DE6" w:rsidP="0061410A">
      <w:pPr>
        <w:spacing w:line="360" w:lineRule="auto"/>
        <w:rPr>
          <w:rFonts w:ascii="David" w:hAnsi="David" w:cs="David"/>
          <w:sz w:val="24"/>
          <w:szCs w:val="24"/>
        </w:rPr>
      </w:pPr>
    </w:p>
    <w:p w:rsidR="00996DE6" w:rsidRDefault="0061410A" w:rsidP="00996DE6">
      <w:pPr>
        <w:spacing w:line="360" w:lineRule="auto"/>
        <w:rPr>
          <w:rFonts w:ascii="David" w:hAnsi="David" w:cs="David"/>
          <w:sz w:val="24"/>
          <w:szCs w:val="24"/>
          <w:rtl/>
        </w:rPr>
      </w:pPr>
      <w:r>
        <w:rPr>
          <w:rFonts w:ascii="David" w:hAnsi="David" w:cs="David" w:hint="cs"/>
          <w:sz w:val="24"/>
          <w:szCs w:val="24"/>
          <w:rtl/>
        </w:rPr>
        <w:t>הודעה לעיתונות:</w:t>
      </w:r>
    </w:p>
    <w:p w:rsidR="0061410A" w:rsidRPr="00324D85" w:rsidRDefault="007E1C16" w:rsidP="0083435C">
      <w:pPr>
        <w:spacing w:line="360" w:lineRule="auto"/>
        <w:jc w:val="center"/>
        <w:rPr>
          <w:rFonts w:ascii="David" w:hAnsi="David" w:cs="David"/>
          <w:b/>
          <w:bCs/>
          <w:sz w:val="28"/>
          <w:szCs w:val="28"/>
          <w:rtl/>
        </w:rPr>
      </w:pPr>
      <w:r>
        <w:rPr>
          <w:rFonts w:ascii="David" w:hAnsi="David" w:cs="David" w:hint="cs"/>
          <w:b/>
          <w:bCs/>
          <w:sz w:val="28"/>
          <w:szCs w:val="28"/>
          <w:rtl/>
        </w:rPr>
        <w:t xml:space="preserve">פתיחת </w:t>
      </w:r>
      <w:r w:rsidR="0083435C">
        <w:rPr>
          <w:rFonts w:ascii="David" w:hAnsi="David" w:cs="David" w:hint="cs"/>
          <w:b/>
          <w:bCs/>
          <w:sz w:val="28"/>
          <w:szCs w:val="28"/>
          <w:rtl/>
        </w:rPr>
        <w:t>מערכות התשלומים בישראל ל</w:t>
      </w:r>
      <w:r w:rsidR="00525BAE">
        <w:rPr>
          <w:rFonts w:ascii="David" w:hAnsi="David" w:cs="David" w:hint="cs"/>
          <w:b/>
          <w:bCs/>
          <w:sz w:val="28"/>
          <w:szCs w:val="28"/>
          <w:rtl/>
        </w:rPr>
        <w:t xml:space="preserve">פעילות </w:t>
      </w:r>
      <w:r w:rsidR="0083435C">
        <w:rPr>
          <w:rFonts w:ascii="David" w:hAnsi="David" w:cs="David" w:hint="cs"/>
          <w:b/>
          <w:bCs/>
          <w:sz w:val="28"/>
          <w:szCs w:val="28"/>
          <w:rtl/>
        </w:rPr>
        <w:t>נותני שירותי תשלום בינלאומיים</w:t>
      </w:r>
    </w:p>
    <w:p w:rsidR="0083435C" w:rsidRDefault="0083435C" w:rsidP="005A0268">
      <w:pPr>
        <w:spacing w:after="0" w:line="360" w:lineRule="auto"/>
        <w:jc w:val="both"/>
        <w:rPr>
          <w:rFonts w:ascii="David" w:hAnsi="David" w:cs="David"/>
          <w:sz w:val="24"/>
          <w:szCs w:val="24"/>
          <w:rtl/>
        </w:rPr>
      </w:pPr>
      <w:r>
        <w:rPr>
          <w:rFonts w:ascii="David" w:hAnsi="David" w:cs="David" w:hint="cs"/>
          <w:sz w:val="24"/>
          <w:szCs w:val="24"/>
          <w:rtl/>
        </w:rPr>
        <w:t xml:space="preserve">בנק ישראל </w:t>
      </w:r>
      <w:r w:rsidR="005A0268">
        <w:rPr>
          <w:rFonts w:ascii="David" w:hAnsi="David" w:cs="David" w:hint="cs"/>
          <w:sz w:val="24"/>
          <w:szCs w:val="24"/>
          <w:rtl/>
        </w:rPr>
        <w:t>מאפשר את פתיחת</w:t>
      </w:r>
      <w:r w:rsidR="007E1C16">
        <w:rPr>
          <w:rFonts w:ascii="David" w:hAnsi="David" w:cs="David" w:hint="cs"/>
          <w:sz w:val="24"/>
          <w:szCs w:val="24"/>
          <w:rtl/>
        </w:rPr>
        <w:t xml:space="preserve"> </w:t>
      </w:r>
      <w:r>
        <w:rPr>
          <w:rFonts w:ascii="David" w:hAnsi="David" w:cs="David" w:hint="cs"/>
          <w:sz w:val="24"/>
          <w:szCs w:val="24"/>
          <w:rtl/>
        </w:rPr>
        <w:t>מערכות התשלומים</w:t>
      </w:r>
      <w:r w:rsidR="00DC47C6">
        <w:rPr>
          <w:rFonts w:ascii="David" w:hAnsi="David" w:cs="David" w:hint="cs"/>
          <w:sz w:val="24"/>
          <w:szCs w:val="24"/>
          <w:rtl/>
        </w:rPr>
        <w:t xml:space="preserve"> </w:t>
      </w:r>
      <w:r>
        <w:rPr>
          <w:rFonts w:ascii="David" w:hAnsi="David" w:cs="David" w:hint="cs"/>
          <w:sz w:val="24"/>
          <w:szCs w:val="24"/>
          <w:rtl/>
        </w:rPr>
        <w:t>המבוקרות בישראל</w:t>
      </w:r>
      <w:r w:rsidR="007E1C16">
        <w:rPr>
          <w:rFonts w:ascii="David" w:hAnsi="David" w:cs="David" w:hint="cs"/>
          <w:sz w:val="24"/>
          <w:szCs w:val="24"/>
          <w:rtl/>
        </w:rPr>
        <w:t xml:space="preserve"> לפעילות של</w:t>
      </w:r>
      <w:r>
        <w:rPr>
          <w:rFonts w:ascii="David" w:hAnsi="David" w:cs="David" w:hint="cs"/>
          <w:sz w:val="24"/>
          <w:szCs w:val="24"/>
          <w:rtl/>
        </w:rPr>
        <w:t xml:space="preserve"> </w:t>
      </w:r>
      <w:r w:rsidR="0069282E">
        <w:rPr>
          <w:rFonts w:ascii="David" w:hAnsi="David" w:cs="David" w:hint="cs"/>
          <w:sz w:val="24"/>
          <w:szCs w:val="24"/>
          <w:rtl/>
        </w:rPr>
        <w:t xml:space="preserve">נותני שירותי תשלום </w:t>
      </w:r>
      <w:r w:rsidR="00C00F7C" w:rsidRPr="00C00F7C">
        <w:rPr>
          <w:rFonts w:ascii="David" w:hAnsi="David" w:cs="David"/>
          <w:sz w:val="24"/>
          <w:szCs w:val="24"/>
          <w:rtl/>
        </w:rPr>
        <w:t>בינלאומיים</w:t>
      </w:r>
      <w:r w:rsidR="00142BD4">
        <w:rPr>
          <w:rFonts w:ascii="David" w:hAnsi="David" w:cs="David" w:hint="cs"/>
          <w:sz w:val="24"/>
          <w:szCs w:val="24"/>
          <w:rtl/>
        </w:rPr>
        <w:t>.</w:t>
      </w:r>
      <w:r w:rsidR="002F1891" w:rsidDel="002F1891">
        <w:rPr>
          <w:rFonts w:ascii="David" w:hAnsi="David" w:cs="David"/>
          <w:sz w:val="24"/>
          <w:szCs w:val="24"/>
          <w:rtl/>
        </w:rPr>
        <w:t xml:space="preserve"> </w:t>
      </w:r>
      <w:r w:rsidR="00A65F34">
        <w:rPr>
          <w:rFonts w:ascii="David" w:hAnsi="David" w:cs="David" w:hint="cs"/>
          <w:sz w:val="24"/>
          <w:szCs w:val="24"/>
          <w:rtl/>
        </w:rPr>
        <w:t xml:space="preserve">צעד זה </w:t>
      </w:r>
      <w:r>
        <w:rPr>
          <w:rFonts w:ascii="David" w:hAnsi="David" w:cs="David" w:hint="cs"/>
          <w:sz w:val="24"/>
          <w:szCs w:val="24"/>
          <w:rtl/>
        </w:rPr>
        <w:t xml:space="preserve">יאפשר </w:t>
      </w:r>
      <w:r w:rsidR="00142BD4">
        <w:rPr>
          <w:rFonts w:ascii="David" w:hAnsi="David" w:cs="David" w:hint="cs"/>
          <w:sz w:val="24"/>
          <w:szCs w:val="24"/>
          <w:rtl/>
        </w:rPr>
        <w:t xml:space="preserve">לגופים אלה </w:t>
      </w:r>
      <w:r w:rsidR="007E1C16">
        <w:rPr>
          <w:rFonts w:ascii="David" w:hAnsi="David" w:cs="David" w:hint="cs"/>
          <w:sz w:val="24"/>
          <w:szCs w:val="24"/>
          <w:rtl/>
        </w:rPr>
        <w:t xml:space="preserve">לפעול </w:t>
      </w:r>
      <w:r>
        <w:rPr>
          <w:rFonts w:ascii="David" w:hAnsi="David" w:cs="David" w:hint="cs"/>
          <w:sz w:val="24"/>
          <w:szCs w:val="24"/>
          <w:rtl/>
        </w:rPr>
        <w:t xml:space="preserve">באופן מידי </w:t>
      </w:r>
      <w:r w:rsidR="007E1C16">
        <w:rPr>
          <w:rFonts w:ascii="David" w:hAnsi="David" w:cs="David" w:hint="cs"/>
          <w:sz w:val="24"/>
          <w:szCs w:val="24"/>
          <w:rtl/>
        </w:rPr>
        <w:t>במערכות</w:t>
      </w:r>
      <w:r w:rsidR="00D95461">
        <w:rPr>
          <w:rFonts w:ascii="David" w:hAnsi="David" w:cs="David" w:hint="cs"/>
          <w:sz w:val="24"/>
          <w:szCs w:val="24"/>
          <w:rtl/>
        </w:rPr>
        <w:t>,</w:t>
      </w:r>
      <w:r w:rsidR="007E1C16">
        <w:rPr>
          <w:rFonts w:ascii="David" w:hAnsi="David" w:cs="David" w:hint="cs"/>
          <w:sz w:val="24"/>
          <w:szCs w:val="24"/>
          <w:rtl/>
        </w:rPr>
        <w:t xml:space="preserve"> </w:t>
      </w:r>
      <w:r>
        <w:rPr>
          <w:rFonts w:ascii="David" w:hAnsi="David" w:cs="David" w:hint="cs"/>
          <w:sz w:val="24"/>
          <w:szCs w:val="24"/>
          <w:rtl/>
        </w:rPr>
        <w:t>ו</w:t>
      </w:r>
      <w:r w:rsidR="00D95461">
        <w:rPr>
          <w:rFonts w:ascii="David" w:hAnsi="David" w:cs="David" w:hint="cs"/>
          <w:sz w:val="24"/>
          <w:szCs w:val="24"/>
          <w:rtl/>
        </w:rPr>
        <w:t xml:space="preserve">בכך </w:t>
      </w:r>
      <w:r>
        <w:rPr>
          <w:rFonts w:ascii="David" w:hAnsi="David" w:cs="David" w:hint="cs"/>
          <w:sz w:val="24"/>
          <w:szCs w:val="24"/>
          <w:rtl/>
        </w:rPr>
        <w:t xml:space="preserve">להציע </w:t>
      </w:r>
      <w:r w:rsidR="00670A2C">
        <w:rPr>
          <w:rFonts w:ascii="David" w:hAnsi="David" w:cs="David" w:hint="cs"/>
          <w:sz w:val="24"/>
          <w:szCs w:val="24"/>
          <w:rtl/>
        </w:rPr>
        <w:t>שירותים והצעות ערך לציבור בישראל</w:t>
      </w:r>
      <w:r w:rsidR="00FE6940">
        <w:rPr>
          <w:rFonts w:ascii="David" w:hAnsi="David" w:cs="David" w:hint="cs"/>
          <w:sz w:val="24"/>
          <w:szCs w:val="24"/>
          <w:rtl/>
        </w:rPr>
        <w:t xml:space="preserve"> </w:t>
      </w:r>
      <w:r w:rsidR="00E42FCD">
        <w:rPr>
          <w:rFonts w:ascii="David" w:hAnsi="David" w:cs="David" w:hint="cs"/>
          <w:sz w:val="24"/>
          <w:szCs w:val="24"/>
          <w:rtl/>
        </w:rPr>
        <w:t xml:space="preserve">בהתבסס על רישיון </w:t>
      </w:r>
      <w:r w:rsidR="00A65F34">
        <w:rPr>
          <w:rFonts w:ascii="David" w:hAnsi="David" w:cs="David" w:hint="cs"/>
          <w:sz w:val="24"/>
          <w:szCs w:val="24"/>
          <w:rtl/>
        </w:rPr>
        <w:t>ממדינה זרה</w:t>
      </w:r>
      <w:r w:rsidR="000E6217">
        <w:rPr>
          <w:rFonts w:ascii="David" w:hAnsi="David" w:cs="David" w:hint="cs"/>
          <w:sz w:val="24"/>
          <w:szCs w:val="24"/>
          <w:rtl/>
        </w:rPr>
        <w:t>.</w:t>
      </w:r>
      <w:r w:rsidR="00670A2C">
        <w:rPr>
          <w:rFonts w:ascii="David" w:hAnsi="David" w:cs="David" w:hint="cs"/>
          <w:sz w:val="24"/>
          <w:szCs w:val="24"/>
          <w:rtl/>
        </w:rPr>
        <w:t xml:space="preserve"> </w:t>
      </w:r>
      <w:r>
        <w:rPr>
          <w:rFonts w:ascii="David" w:hAnsi="David" w:cs="David" w:hint="cs"/>
          <w:sz w:val="24"/>
          <w:szCs w:val="24"/>
          <w:rtl/>
        </w:rPr>
        <w:t>צעד</w:t>
      </w:r>
      <w:r w:rsidR="00EF3788">
        <w:rPr>
          <w:rFonts w:ascii="David" w:hAnsi="David" w:cs="David" w:hint="cs"/>
          <w:sz w:val="24"/>
          <w:szCs w:val="24"/>
          <w:rtl/>
        </w:rPr>
        <w:t xml:space="preserve"> זה</w:t>
      </w:r>
      <w:r>
        <w:rPr>
          <w:rFonts w:ascii="David" w:hAnsi="David" w:cs="David" w:hint="cs"/>
          <w:sz w:val="24"/>
          <w:szCs w:val="24"/>
          <w:rtl/>
        </w:rPr>
        <w:t xml:space="preserve"> </w:t>
      </w:r>
      <w:r w:rsidR="0096659B">
        <w:rPr>
          <w:rFonts w:ascii="David" w:hAnsi="David" w:cs="David" w:hint="cs"/>
          <w:sz w:val="24"/>
          <w:szCs w:val="24"/>
          <w:rtl/>
        </w:rPr>
        <w:t xml:space="preserve">צפוי לתרום </w:t>
      </w:r>
      <w:r w:rsidR="00144554">
        <w:rPr>
          <w:rFonts w:ascii="David" w:hAnsi="David" w:cs="David" w:hint="cs"/>
          <w:sz w:val="24"/>
          <w:szCs w:val="24"/>
          <w:rtl/>
        </w:rPr>
        <w:t>לקידום החדשנות</w:t>
      </w:r>
      <w:r w:rsidR="005A0268" w:rsidRPr="005A0268">
        <w:rPr>
          <w:rFonts w:ascii="David" w:hAnsi="David" w:cs="David" w:hint="cs"/>
          <w:sz w:val="24"/>
          <w:szCs w:val="24"/>
          <w:rtl/>
        </w:rPr>
        <w:t xml:space="preserve"> </w:t>
      </w:r>
      <w:r w:rsidR="005A0268">
        <w:rPr>
          <w:rFonts w:ascii="David" w:hAnsi="David" w:cs="David" w:hint="cs"/>
          <w:sz w:val="24"/>
          <w:szCs w:val="24"/>
          <w:rtl/>
        </w:rPr>
        <w:t>בתחום התשלומים</w:t>
      </w:r>
      <w:r w:rsidR="00144554">
        <w:rPr>
          <w:rFonts w:ascii="David" w:hAnsi="David" w:cs="David" w:hint="cs"/>
          <w:sz w:val="24"/>
          <w:szCs w:val="24"/>
          <w:rtl/>
        </w:rPr>
        <w:t xml:space="preserve"> ו</w:t>
      </w:r>
      <w:r w:rsidR="005A0268">
        <w:rPr>
          <w:rFonts w:ascii="David" w:hAnsi="David" w:cs="David" w:hint="cs"/>
          <w:sz w:val="24"/>
          <w:szCs w:val="24"/>
          <w:rtl/>
        </w:rPr>
        <w:t>ל</w:t>
      </w:r>
      <w:r w:rsidR="00144554">
        <w:rPr>
          <w:rFonts w:ascii="David" w:hAnsi="David" w:cs="David" w:hint="cs"/>
          <w:sz w:val="24"/>
          <w:szCs w:val="24"/>
          <w:rtl/>
        </w:rPr>
        <w:t>כניסת שחקנים חדשים</w:t>
      </w:r>
      <w:r w:rsidR="007E1C16">
        <w:rPr>
          <w:rFonts w:ascii="David" w:hAnsi="David" w:cs="David" w:hint="cs"/>
          <w:sz w:val="24"/>
          <w:szCs w:val="24"/>
          <w:rtl/>
        </w:rPr>
        <w:t xml:space="preserve"> </w:t>
      </w:r>
      <w:r w:rsidR="005A0268">
        <w:rPr>
          <w:rFonts w:ascii="David" w:hAnsi="David" w:cs="David" w:hint="cs"/>
          <w:sz w:val="24"/>
          <w:szCs w:val="24"/>
          <w:rtl/>
        </w:rPr>
        <w:t xml:space="preserve">לשוק. </w:t>
      </w:r>
    </w:p>
    <w:p w:rsidR="00BD578B" w:rsidRDefault="00BD578B" w:rsidP="0083435C">
      <w:pPr>
        <w:spacing w:after="0" w:line="360" w:lineRule="auto"/>
        <w:jc w:val="both"/>
        <w:rPr>
          <w:rFonts w:ascii="David" w:hAnsi="David" w:cs="David"/>
          <w:sz w:val="24"/>
          <w:szCs w:val="24"/>
          <w:rtl/>
        </w:rPr>
      </w:pPr>
    </w:p>
    <w:p w:rsidR="0061410A" w:rsidRDefault="003C3A0B" w:rsidP="00E42FCD">
      <w:pPr>
        <w:spacing w:after="0" w:line="360" w:lineRule="auto"/>
        <w:jc w:val="both"/>
        <w:rPr>
          <w:rFonts w:ascii="David" w:hAnsi="David" w:cs="David"/>
          <w:sz w:val="24"/>
          <w:szCs w:val="24"/>
          <w:rtl/>
        </w:rPr>
      </w:pPr>
      <w:r>
        <w:rPr>
          <w:rFonts w:ascii="David" w:hAnsi="David" w:cs="David" w:hint="cs"/>
          <w:sz w:val="24"/>
          <w:szCs w:val="24"/>
          <w:rtl/>
        </w:rPr>
        <w:t>ה</w:t>
      </w:r>
      <w:r w:rsidR="0061410A">
        <w:rPr>
          <w:rFonts w:ascii="David" w:hAnsi="David" w:cs="David"/>
          <w:sz w:val="24"/>
          <w:szCs w:val="24"/>
          <w:rtl/>
        </w:rPr>
        <w:t>מתווה</w:t>
      </w:r>
      <w:r>
        <w:rPr>
          <w:rFonts w:ascii="David" w:hAnsi="David" w:cs="David" w:hint="cs"/>
          <w:sz w:val="24"/>
          <w:szCs w:val="24"/>
          <w:rtl/>
        </w:rPr>
        <w:t xml:space="preserve"> שגיבש בנק ישראל</w:t>
      </w:r>
      <w:r w:rsidR="0061410A">
        <w:rPr>
          <w:rFonts w:ascii="David" w:hAnsi="David" w:cs="David"/>
          <w:sz w:val="24"/>
          <w:szCs w:val="24"/>
          <w:rtl/>
        </w:rPr>
        <w:t xml:space="preserve"> </w:t>
      </w:r>
      <w:r w:rsidRPr="00084208">
        <w:rPr>
          <w:rFonts w:ascii="David" w:hAnsi="David" w:cs="David" w:hint="cs"/>
          <w:sz w:val="24"/>
          <w:szCs w:val="24"/>
          <w:rtl/>
        </w:rPr>
        <w:t>לפתיחת</w:t>
      </w:r>
      <w:r>
        <w:rPr>
          <w:rFonts w:ascii="David" w:hAnsi="David" w:cs="David" w:hint="cs"/>
          <w:sz w:val="24"/>
          <w:szCs w:val="24"/>
          <w:rtl/>
        </w:rPr>
        <w:t xml:space="preserve"> מערכות התשלומים </w:t>
      </w:r>
      <w:r w:rsidR="000B1615">
        <w:rPr>
          <w:rFonts w:ascii="David" w:hAnsi="David" w:cs="David" w:hint="cs"/>
          <w:sz w:val="24"/>
          <w:szCs w:val="24"/>
          <w:rtl/>
        </w:rPr>
        <w:t>לגופים אלה</w:t>
      </w:r>
      <w:r w:rsidR="007937E8">
        <w:rPr>
          <w:rFonts w:ascii="David" w:hAnsi="David" w:cs="David" w:hint="cs"/>
          <w:sz w:val="24"/>
          <w:szCs w:val="24"/>
          <w:rtl/>
        </w:rPr>
        <w:t xml:space="preserve"> מחולק לשני מסלולים</w:t>
      </w:r>
      <w:r w:rsidR="00D95461">
        <w:rPr>
          <w:rFonts w:ascii="David" w:hAnsi="David" w:cs="David" w:hint="cs"/>
          <w:sz w:val="24"/>
          <w:szCs w:val="24"/>
          <w:rtl/>
        </w:rPr>
        <w:t>,</w:t>
      </w:r>
      <w:r w:rsidR="007937E8">
        <w:rPr>
          <w:rFonts w:ascii="David" w:hAnsi="David" w:cs="David" w:hint="cs"/>
          <w:sz w:val="24"/>
          <w:szCs w:val="24"/>
          <w:rtl/>
        </w:rPr>
        <w:t xml:space="preserve"> המפורטים בהמשך</w:t>
      </w:r>
      <w:r>
        <w:rPr>
          <w:rFonts w:ascii="David" w:hAnsi="David" w:cs="David" w:hint="cs"/>
          <w:sz w:val="24"/>
          <w:szCs w:val="24"/>
          <w:rtl/>
        </w:rPr>
        <w:t xml:space="preserve">. המתווה </w:t>
      </w:r>
      <w:r w:rsidR="0061410A">
        <w:rPr>
          <w:rFonts w:ascii="David" w:hAnsi="David" w:cs="David" w:hint="cs"/>
          <w:sz w:val="24"/>
          <w:szCs w:val="24"/>
          <w:rtl/>
        </w:rPr>
        <w:t>מסתמך על הפטור שניתן לגופים</w:t>
      </w:r>
      <w:r w:rsidR="00C00F7C" w:rsidRPr="00C00F7C">
        <w:rPr>
          <w:rtl/>
        </w:rPr>
        <w:t xml:space="preserve"> </w:t>
      </w:r>
      <w:r w:rsidR="00C00F7C" w:rsidRPr="00C00F7C">
        <w:rPr>
          <w:rFonts w:ascii="David" w:hAnsi="David" w:cs="David"/>
          <w:sz w:val="24"/>
          <w:szCs w:val="24"/>
          <w:rtl/>
        </w:rPr>
        <w:t xml:space="preserve">בעלי רישיון </w:t>
      </w:r>
      <w:r w:rsidR="006056D0">
        <w:rPr>
          <w:rFonts w:ascii="David" w:hAnsi="David" w:cs="David" w:hint="cs"/>
          <w:sz w:val="24"/>
          <w:szCs w:val="24"/>
          <w:rtl/>
        </w:rPr>
        <w:t>ממדינה מוכרת</w:t>
      </w:r>
      <w:r w:rsidR="006056D0">
        <w:rPr>
          <w:rStyle w:val="a6"/>
          <w:rFonts w:ascii="David" w:hAnsi="David" w:cs="David"/>
          <w:sz w:val="24"/>
          <w:szCs w:val="24"/>
          <w:rtl/>
        </w:rPr>
        <w:footnoteReference w:id="1"/>
      </w:r>
      <w:r w:rsidR="006056D0">
        <w:rPr>
          <w:rFonts w:ascii="David" w:hAnsi="David" w:cs="David" w:hint="cs"/>
          <w:sz w:val="24"/>
          <w:szCs w:val="24"/>
          <w:rtl/>
        </w:rPr>
        <w:t xml:space="preserve"> </w:t>
      </w:r>
      <w:r w:rsidR="00A802E0">
        <w:rPr>
          <w:rFonts w:ascii="David" w:hAnsi="David" w:cs="David" w:hint="cs"/>
          <w:sz w:val="24"/>
          <w:szCs w:val="24"/>
          <w:rtl/>
        </w:rPr>
        <w:t xml:space="preserve"> </w:t>
      </w:r>
      <w:proofErr w:type="spellStart"/>
      <w:r w:rsidR="0061410A">
        <w:rPr>
          <w:rFonts w:ascii="David" w:hAnsi="David" w:cs="David" w:hint="cs"/>
          <w:sz w:val="24"/>
          <w:szCs w:val="24"/>
          <w:rtl/>
        </w:rPr>
        <w:t>מכח</w:t>
      </w:r>
      <w:proofErr w:type="spellEnd"/>
      <w:r w:rsidR="0061410A">
        <w:rPr>
          <w:rFonts w:ascii="David" w:hAnsi="David" w:cs="David" w:hint="cs"/>
          <w:sz w:val="24"/>
          <w:szCs w:val="24"/>
          <w:rtl/>
        </w:rPr>
        <w:t xml:space="preserve"> תקנות שר האוצר</w:t>
      </w:r>
      <w:r w:rsidR="0069282E">
        <w:rPr>
          <w:rStyle w:val="a6"/>
          <w:rFonts w:ascii="David" w:hAnsi="David" w:cs="David"/>
          <w:sz w:val="24"/>
          <w:szCs w:val="24"/>
          <w:rtl/>
        </w:rPr>
        <w:footnoteReference w:id="2"/>
      </w:r>
      <w:r w:rsidR="0061410A">
        <w:rPr>
          <w:rFonts w:ascii="David" w:hAnsi="David" w:cs="David" w:hint="cs"/>
          <w:sz w:val="24"/>
          <w:szCs w:val="24"/>
          <w:rtl/>
        </w:rPr>
        <w:t xml:space="preserve"> </w:t>
      </w:r>
      <w:r w:rsidR="00C00F7C">
        <w:rPr>
          <w:rFonts w:ascii="David" w:hAnsi="David" w:cs="David" w:hint="cs"/>
          <w:sz w:val="24"/>
          <w:szCs w:val="24"/>
          <w:rtl/>
        </w:rPr>
        <w:t>ש</w:t>
      </w:r>
      <w:r w:rsidR="0061410A">
        <w:rPr>
          <w:rFonts w:ascii="David" w:hAnsi="David" w:cs="David" w:hint="cs"/>
          <w:sz w:val="24"/>
          <w:szCs w:val="24"/>
          <w:rtl/>
        </w:rPr>
        <w:t xml:space="preserve">קובעות תנאים </w:t>
      </w:r>
      <w:r w:rsidR="0061410A" w:rsidRPr="00B5171B">
        <w:rPr>
          <w:rFonts w:ascii="David" w:hAnsi="David" w:cs="David"/>
          <w:sz w:val="24"/>
          <w:szCs w:val="24"/>
          <w:rtl/>
        </w:rPr>
        <w:t>למתן פטור מחובת רישוי למתן שירות בנכס פיננסי</w:t>
      </w:r>
      <w:r w:rsidR="00C00F7C">
        <w:rPr>
          <w:rFonts w:ascii="David" w:hAnsi="David" w:cs="David" w:hint="cs"/>
          <w:sz w:val="24"/>
          <w:szCs w:val="24"/>
          <w:rtl/>
        </w:rPr>
        <w:t xml:space="preserve"> </w:t>
      </w:r>
      <w:r w:rsidR="00C00F7C" w:rsidRPr="00C00F7C">
        <w:rPr>
          <w:rFonts w:ascii="David" w:hAnsi="David" w:cs="David"/>
          <w:sz w:val="24"/>
          <w:szCs w:val="24"/>
          <w:rtl/>
        </w:rPr>
        <w:t>בישראל</w:t>
      </w:r>
      <w:r w:rsidR="00C00F7C">
        <w:rPr>
          <w:rFonts w:ascii="David" w:hAnsi="David" w:cs="David" w:hint="cs"/>
          <w:sz w:val="24"/>
          <w:szCs w:val="24"/>
          <w:rtl/>
        </w:rPr>
        <w:t>.</w:t>
      </w:r>
    </w:p>
    <w:p w:rsidR="0061410A" w:rsidRDefault="0061410A" w:rsidP="0061410A">
      <w:pPr>
        <w:spacing w:after="0" w:line="360" w:lineRule="auto"/>
        <w:jc w:val="both"/>
        <w:rPr>
          <w:rFonts w:ascii="David" w:hAnsi="David" w:cs="David"/>
          <w:sz w:val="24"/>
          <w:szCs w:val="24"/>
          <w:rtl/>
        </w:rPr>
      </w:pPr>
    </w:p>
    <w:p w:rsidR="0061410A" w:rsidRPr="00996DE6" w:rsidRDefault="003160CB" w:rsidP="00142BD4">
      <w:pPr>
        <w:spacing w:after="0" w:line="360" w:lineRule="auto"/>
        <w:jc w:val="both"/>
        <w:rPr>
          <w:rFonts w:ascii="David" w:hAnsi="David" w:cs="David"/>
          <w:sz w:val="24"/>
          <w:szCs w:val="24"/>
        </w:rPr>
      </w:pPr>
      <w:r>
        <w:rPr>
          <w:rFonts w:ascii="David" w:hAnsi="David" w:cs="David" w:hint="cs"/>
          <w:sz w:val="24"/>
          <w:szCs w:val="24"/>
          <w:rtl/>
        </w:rPr>
        <w:t>מהלך זה יאפשר לגופים</w:t>
      </w:r>
      <w:r w:rsidR="000E6217">
        <w:rPr>
          <w:rFonts w:ascii="David" w:hAnsi="David" w:cs="David" w:hint="cs"/>
          <w:sz w:val="24"/>
          <w:szCs w:val="24"/>
          <w:rtl/>
        </w:rPr>
        <w:t xml:space="preserve"> אלו</w:t>
      </w:r>
      <w:r>
        <w:rPr>
          <w:rFonts w:ascii="David" w:hAnsi="David" w:cs="David" w:hint="cs"/>
          <w:sz w:val="24"/>
          <w:szCs w:val="24"/>
          <w:rtl/>
        </w:rPr>
        <w:t xml:space="preserve"> להיערך לחיבור הטכנולוגי למערכות</w:t>
      </w:r>
      <w:r w:rsidR="000E287F">
        <w:rPr>
          <w:rFonts w:ascii="David" w:hAnsi="David" w:cs="David" w:hint="cs"/>
          <w:sz w:val="24"/>
          <w:szCs w:val="24"/>
          <w:rtl/>
        </w:rPr>
        <w:t>,</w:t>
      </w:r>
      <w:r>
        <w:rPr>
          <w:rFonts w:ascii="David" w:hAnsi="David" w:cs="David" w:hint="cs"/>
          <w:sz w:val="24"/>
          <w:szCs w:val="24"/>
          <w:rtl/>
        </w:rPr>
        <w:t xml:space="preserve"> ו</w:t>
      </w:r>
      <w:r w:rsidR="000E287F">
        <w:rPr>
          <w:rFonts w:ascii="David" w:hAnsi="David" w:cs="David" w:hint="cs"/>
          <w:sz w:val="24"/>
          <w:szCs w:val="24"/>
          <w:rtl/>
        </w:rPr>
        <w:t>לחלקם יאפשר פעילות מלאה</w:t>
      </w:r>
      <w:r>
        <w:rPr>
          <w:rFonts w:ascii="David" w:hAnsi="David" w:cs="David" w:hint="cs"/>
          <w:sz w:val="24"/>
          <w:szCs w:val="24"/>
          <w:rtl/>
        </w:rPr>
        <w:t xml:space="preserve"> </w:t>
      </w:r>
      <w:r w:rsidR="006056D0" w:rsidRPr="00996DE6">
        <w:rPr>
          <w:rFonts w:ascii="David" w:hAnsi="David" w:cs="David" w:hint="cs"/>
          <w:sz w:val="24"/>
          <w:szCs w:val="24"/>
          <w:rtl/>
        </w:rPr>
        <w:t>במערכות</w:t>
      </w:r>
      <w:r w:rsidR="000E287F" w:rsidRPr="00996DE6">
        <w:rPr>
          <w:rFonts w:ascii="David" w:hAnsi="David" w:cs="David" w:hint="cs"/>
          <w:sz w:val="24"/>
          <w:szCs w:val="24"/>
          <w:rtl/>
        </w:rPr>
        <w:t>,</w:t>
      </w:r>
      <w:r w:rsidR="006056D0" w:rsidRPr="00996DE6">
        <w:rPr>
          <w:rFonts w:ascii="David" w:hAnsi="David" w:cs="David" w:hint="cs"/>
          <w:sz w:val="24"/>
          <w:szCs w:val="24"/>
          <w:rtl/>
        </w:rPr>
        <w:t xml:space="preserve"> בהתבסס על רישיון זר</w:t>
      </w:r>
      <w:r w:rsidR="007937E8" w:rsidRPr="00996DE6">
        <w:rPr>
          <w:rFonts w:ascii="David" w:hAnsi="David" w:cs="David" w:hint="cs"/>
          <w:sz w:val="24"/>
          <w:szCs w:val="24"/>
          <w:rtl/>
        </w:rPr>
        <w:t>,</w:t>
      </w:r>
      <w:r w:rsidR="006056D0" w:rsidRPr="00996DE6">
        <w:rPr>
          <w:rFonts w:ascii="David" w:hAnsi="David" w:cs="David" w:hint="cs"/>
          <w:sz w:val="24"/>
          <w:szCs w:val="24"/>
          <w:rtl/>
        </w:rPr>
        <w:t xml:space="preserve"> </w:t>
      </w:r>
      <w:r w:rsidR="007937E8" w:rsidRPr="00996DE6">
        <w:rPr>
          <w:rFonts w:ascii="David" w:hAnsi="David" w:cs="David" w:hint="cs"/>
          <w:sz w:val="24"/>
          <w:szCs w:val="24"/>
          <w:rtl/>
        </w:rPr>
        <w:t>ו</w:t>
      </w:r>
      <w:r w:rsidR="006056D0" w:rsidRPr="00996DE6">
        <w:rPr>
          <w:rFonts w:ascii="David" w:hAnsi="David" w:cs="David" w:hint="cs"/>
          <w:sz w:val="24"/>
          <w:szCs w:val="24"/>
          <w:rtl/>
        </w:rPr>
        <w:t xml:space="preserve">זאת מבלי להמתין </w:t>
      </w:r>
      <w:r w:rsidR="00142BD4" w:rsidRPr="00996DE6">
        <w:rPr>
          <w:rFonts w:ascii="David" w:hAnsi="David" w:cs="David" w:hint="cs"/>
          <w:sz w:val="24"/>
          <w:szCs w:val="24"/>
          <w:rtl/>
        </w:rPr>
        <w:t>לחקיקתו ו</w:t>
      </w:r>
      <w:r w:rsidR="007E1C16" w:rsidRPr="00996DE6">
        <w:rPr>
          <w:rFonts w:ascii="David" w:hAnsi="David" w:cs="David" w:hint="cs"/>
          <w:sz w:val="24"/>
          <w:szCs w:val="24"/>
          <w:rtl/>
        </w:rPr>
        <w:t>כניסתו לתוקף</w:t>
      </w:r>
      <w:r w:rsidR="006056D0" w:rsidRPr="00996DE6">
        <w:rPr>
          <w:rFonts w:ascii="David" w:hAnsi="David" w:cs="David" w:hint="cs"/>
          <w:sz w:val="24"/>
          <w:szCs w:val="24"/>
          <w:rtl/>
        </w:rPr>
        <w:t xml:space="preserve"> של</w:t>
      </w:r>
      <w:r w:rsidRPr="00996DE6">
        <w:rPr>
          <w:rFonts w:ascii="David" w:hAnsi="David" w:cs="David" w:hint="cs"/>
          <w:sz w:val="24"/>
          <w:szCs w:val="24"/>
          <w:rtl/>
        </w:rPr>
        <w:t xml:space="preserve"> חוק הסדרת העיסוק בשירותי תשלום</w:t>
      </w:r>
      <w:r w:rsidR="007937E8" w:rsidRPr="00996DE6">
        <w:rPr>
          <w:rFonts w:ascii="David" w:hAnsi="David" w:cs="David" w:hint="cs"/>
          <w:sz w:val="24"/>
          <w:szCs w:val="24"/>
          <w:rtl/>
        </w:rPr>
        <w:t>,</w:t>
      </w:r>
      <w:r w:rsidRPr="00996DE6">
        <w:rPr>
          <w:rFonts w:ascii="David" w:hAnsi="David" w:cs="David" w:hint="cs"/>
          <w:sz w:val="24"/>
          <w:szCs w:val="24"/>
          <w:rtl/>
        </w:rPr>
        <w:t xml:space="preserve"> המתגבש בימים אלה</w:t>
      </w:r>
      <w:r w:rsidR="004503CD" w:rsidRPr="00996DE6">
        <w:rPr>
          <w:rFonts w:ascii="David" w:hAnsi="David" w:cs="David" w:hint="cs"/>
          <w:sz w:val="24"/>
          <w:szCs w:val="24"/>
          <w:rtl/>
        </w:rPr>
        <w:t xml:space="preserve"> בישראל</w:t>
      </w:r>
      <w:r w:rsidRPr="00996DE6">
        <w:rPr>
          <w:rFonts w:ascii="David" w:hAnsi="David" w:cs="David" w:hint="cs"/>
          <w:sz w:val="24"/>
          <w:szCs w:val="24"/>
          <w:rtl/>
        </w:rPr>
        <w:t>.</w:t>
      </w:r>
    </w:p>
    <w:p w:rsidR="0061410A" w:rsidRPr="00996DE6" w:rsidRDefault="0061410A" w:rsidP="0061410A">
      <w:pPr>
        <w:autoSpaceDE w:val="0"/>
        <w:autoSpaceDN w:val="0"/>
        <w:adjustRightInd w:val="0"/>
        <w:spacing w:after="0" w:line="360" w:lineRule="auto"/>
        <w:contextualSpacing/>
        <w:jc w:val="both"/>
        <w:rPr>
          <w:rFonts w:ascii="David" w:hAnsi="David" w:cs="David"/>
          <w:sz w:val="24"/>
          <w:szCs w:val="24"/>
          <w:rtl/>
        </w:rPr>
      </w:pPr>
    </w:p>
    <w:p w:rsidR="0061410A" w:rsidRPr="00996DE6" w:rsidRDefault="0061410A" w:rsidP="0061410A">
      <w:pPr>
        <w:autoSpaceDE w:val="0"/>
        <w:autoSpaceDN w:val="0"/>
        <w:adjustRightInd w:val="0"/>
        <w:spacing w:after="0" w:line="360" w:lineRule="auto"/>
        <w:contextualSpacing/>
        <w:jc w:val="both"/>
        <w:rPr>
          <w:rFonts w:ascii="David" w:hAnsi="David" w:cs="David"/>
          <w:b/>
          <w:bCs/>
          <w:sz w:val="24"/>
          <w:szCs w:val="24"/>
          <w:rtl/>
        </w:rPr>
      </w:pPr>
    </w:p>
    <w:p w:rsidR="006056D0" w:rsidRPr="00996DE6" w:rsidRDefault="0061410A" w:rsidP="00582993">
      <w:pPr>
        <w:autoSpaceDE w:val="0"/>
        <w:autoSpaceDN w:val="0"/>
        <w:adjustRightInd w:val="0"/>
        <w:spacing w:after="0" w:line="360" w:lineRule="auto"/>
        <w:contextualSpacing/>
        <w:jc w:val="both"/>
        <w:rPr>
          <w:rFonts w:ascii="David" w:hAnsi="David" w:cs="David"/>
          <w:sz w:val="24"/>
          <w:szCs w:val="24"/>
          <w:rtl/>
        </w:rPr>
      </w:pPr>
      <w:r w:rsidRPr="00996DE6">
        <w:rPr>
          <w:rFonts w:ascii="David" w:hAnsi="David" w:cs="David"/>
          <w:b/>
          <w:bCs/>
          <w:sz w:val="24"/>
          <w:szCs w:val="24"/>
          <w:rtl/>
        </w:rPr>
        <w:t>מנהל מחלקת מערכות תשלומים וסליקה, מר עודד סלומי</w:t>
      </w:r>
      <w:r w:rsidRPr="00996DE6">
        <w:rPr>
          <w:rFonts w:ascii="David" w:hAnsi="David" w:cs="David"/>
          <w:sz w:val="24"/>
          <w:szCs w:val="24"/>
          <w:rtl/>
        </w:rPr>
        <w:t>: "</w:t>
      </w:r>
      <w:r w:rsidRPr="00996DE6">
        <w:rPr>
          <w:rFonts w:ascii="David" w:hAnsi="David" w:cs="David" w:hint="cs"/>
          <w:sz w:val="24"/>
          <w:szCs w:val="24"/>
          <w:rtl/>
        </w:rPr>
        <w:t xml:space="preserve">פתיחת </w:t>
      </w:r>
      <w:r w:rsidR="007E1C16" w:rsidRPr="00996DE6">
        <w:rPr>
          <w:rFonts w:ascii="David" w:hAnsi="David" w:cs="David" w:hint="cs"/>
          <w:sz w:val="24"/>
          <w:szCs w:val="24"/>
          <w:rtl/>
        </w:rPr>
        <w:t xml:space="preserve">מערכות התשלומים בישראל לפעילות של </w:t>
      </w:r>
      <w:r w:rsidRPr="00996DE6">
        <w:rPr>
          <w:rFonts w:ascii="David" w:hAnsi="David" w:cs="David" w:hint="cs"/>
          <w:sz w:val="24"/>
          <w:szCs w:val="24"/>
          <w:rtl/>
        </w:rPr>
        <w:t xml:space="preserve">נותני שירותי תשלום </w:t>
      </w:r>
      <w:r w:rsidR="007E1C16" w:rsidRPr="00996DE6">
        <w:rPr>
          <w:rFonts w:ascii="David" w:hAnsi="David" w:cs="David" w:hint="cs"/>
          <w:sz w:val="24"/>
          <w:szCs w:val="24"/>
          <w:rtl/>
        </w:rPr>
        <w:t xml:space="preserve">בינלאומיים </w:t>
      </w:r>
      <w:r w:rsidR="00C00F7C" w:rsidRPr="00996DE6">
        <w:rPr>
          <w:rFonts w:ascii="David" w:hAnsi="David" w:cs="David" w:hint="cs"/>
          <w:sz w:val="24"/>
          <w:szCs w:val="24"/>
          <w:rtl/>
        </w:rPr>
        <w:t>ת</w:t>
      </w:r>
      <w:r w:rsidRPr="00996DE6">
        <w:rPr>
          <w:rFonts w:ascii="David" w:hAnsi="David" w:cs="David" w:hint="cs"/>
          <w:sz w:val="24"/>
          <w:szCs w:val="24"/>
          <w:rtl/>
        </w:rPr>
        <w:t xml:space="preserve">תרום לקידום </w:t>
      </w:r>
      <w:r w:rsidR="0083435C" w:rsidRPr="00996DE6">
        <w:rPr>
          <w:rFonts w:ascii="David" w:hAnsi="David" w:cs="David" w:hint="cs"/>
          <w:sz w:val="24"/>
          <w:szCs w:val="24"/>
          <w:rtl/>
        </w:rPr>
        <w:t>התחרות ו</w:t>
      </w:r>
      <w:r w:rsidR="00D10EA6" w:rsidRPr="00996DE6">
        <w:rPr>
          <w:rFonts w:ascii="David" w:hAnsi="David" w:cs="David" w:hint="cs"/>
          <w:sz w:val="24"/>
          <w:szCs w:val="24"/>
          <w:rtl/>
        </w:rPr>
        <w:t>ה</w:t>
      </w:r>
      <w:r w:rsidR="00927665" w:rsidRPr="00996DE6">
        <w:rPr>
          <w:rFonts w:ascii="David" w:hAnsi="David" w:cs="David" w:hint="cs"/>
          <w:sz w:val="24"/>
          <w:szCs w:val="24"/>
          <w:rtl/>
        </w:rPr>
        <w:t xml:space="preserve">היצע של </w:t>
      </w:r>
      <w:r w:rsidRPr="00996DE6">
        <w:rPr>
          <w:rFonts w:ascii="David" w:hAnsi="David" w:cs="David" w:hint="cs"/>
          <w:sz w:val="24"/>
          <w:szCs w:val="24"/>
          <w:rtl/>
        </w:rPr>
        <w:t>שירותי תשלו</w:t>
      </w:r>
      <w:r w:rsidR="00E64955" w:rsidRPr="00996DE6">
        <w:rPr>
          <w:rFonts w:ascii="David" w:hAnsi="David" w:cs="David" w:hint="cs"/>
          <w:sz w:val="24"/>
          <w:szCs w:val="24"/>
          <w:rtl/>
        </w:rPr>
        <w:t>ם</w:t>
      </w:r>
      <w:r w:rsidRPr="00996DE6">
        <w:rPr>
          <w:rFonts w:ascii="David" w:hAnsi="David" w:cs="David" w:hint="cs"/>
          <w:sz w:val="24"/>
          <w:szCs w:val="24"/>
          <w:rtl/>
        </w:rPr>
        <w:t xml:space="preserve"> חדשניים ומגוונים יותר </w:t>
      </w:r>
      <w:r w:rsidR="00927665" w:rsidRPr="00996DE6">
        <w:rPr>
          <w:rFonts w:ascii="David" w:hAnsi="David" w:cs="David" w:hint="cs"/>
          <w:sz w:val="24"/>
          <w:szCs w:val="24"/>
          <w:rtl/>
        </w:rPr>
        <w:t>ל</w:t>
      </w:r>
      <w:r w:rsidRPr="00996DE6">
        <w:rPr>
          <w:rFonts w:ascii="David" w:hAnsi="David" w:cs="David" w:hint="cs"/>
          <w:sz w:val="24"/>
          <w:szCs w:val="24"/>
          <w:rtl/>
        </w:rPr>
        <w:t>ציבור הישראלי</w:t>
      </w:r>
      <w:r w:rsidR="00142BD4" w:rsidRPr="00996DE6">
        <w:rPr>
          <w:rFonts w:ascii="David" w:hAnsi="David" w:cs="David" w:hint="cs"/>
          <w:sz w:val="24"/>
          <w:szCs w:val="24"/>
          <w:rtl/>
        </w:rPr>
        <w:t xml:space="preserve">, ובהמשך, </w:t>
      </w:r>
      <w:r w:rsidR="00A50280" w:rsidRPr="00996DE6">
        <w:rPr>
          <w:rFonts w:ascii="David" w:hAnsi="David" w:cs="David" w:hint="cs"/>
          <w:sz w:val="24"/>
          <w:szCs w:val="24"/>
          <w:rtl/>
        </w:rPr>
        <w:t xml:space="preserve">לקידום </w:t>
      </w:r>
      <w:r w:rsidR="00A65F34" w:rsidRPr="00996DE6">
        <w:rPr>
          <w:rFonts w:ascii="David" w:hAnsi="David" w:cs="David" w:hint="cs"/>
          <w:sz w:val="24"/>
          <w:szCs w:val="24"/>
          <w:rtl/>
        </w:rPr>
        <w:t xml:space="preserve">של </w:t>
      </w:r>
      <w:r w:rsidR="00142BD4" w:rsidRPr="00996DE6">
        <w:rPr>
          <w:rFonts w:ascii="David" w:hAnsi="David" w:cs="David" w:hint="cs"/>
          <w:sz w:val="24"/>
          <w:szCs w:val="24"/>
          <w:rtl/>
        </w:rPr>
        <w:t>שירותים פיננסים נוספים שיתבססו על שירותי התשלום</w:t>
      </w:r>
      <w:r w:rsidRPr="00996DE6">
        <w:rPr>
          <w:rFonts w:ascii="David" w:hAnsi="David" w:cs="David"/>
          <w:sz w:val="24"/>
          <w:szCs w:val="24"/>
          <w:rtl/>
        </w:rPr>
        <w:t xml:space="preserve">. </w:t>
      </w:r>
    </w:p>
    <w:p w:rsidR="00582993" w:rsidRDefault="00582993" w:rsidP="00582993">
      <w:pPr>
        <w:autoSpaceDE w:val="0"/>
        <w:autoSpaceDN w:val="0"/>
        <w:adjustRightInd w:val="0"/>
        <w:spacing w:after="0" w:line="360" w:lineRule="auto"/>
        <w:contextualSpacing/>
        <w:jc w:val="both"/>
        <w:rPr>
          <w:rFonts w:ascii="David" w:hAnsi="David" w:cs="David"/>
          <w:sz w:val="24"/>
          <w:szCs w:val="24"/>
          <w:rtl/>
        </w:rPr>
      </w:pPr>
    </w:p>
    <w:p w:rsidR="0061410A" w:rsidRDefault="0061410A" w:rsidP="002F1891">
      <w:pPr>
        <w:autoSpaceDE w:val="0"/>
        <w:autoSpaceDN w:val="0"/>
        <w:adjustRightInd w:val="0"/>
        <w:spacing w:after="0" w:line="360" w:lineRule="auto"/>
        <w:contextualSpacing/>
        <w:jc w:val="both"/>
        <w:rPr>
          <w:rFonts w:ascii="David" w:hAnsi="David" w:cs="David"/>
          <w:sz w:val="24"/>
          <w:szCs w:val="24"/>
        </w:rPr>
      </w:pPr>
      <w:r>
        <w:rPr>
          <w:rFonts w:ascii="David" w:hAnsi="David" w:cs="David"/>
          <w:sz w:val="24"/>
          <w:szCs w:val="24"/>
          <w:rtl/>
        </w:rPr>
        <w:t>אנחנו מזמינים שחקנים חדשים שמעוניינים לפעול במערכות התשלומים</w:t>
      </w:r>
      <w:r>
        <w:rPr>
          <w:rFonts w:ascii="David" w:hAnsi="David" w:cs="David" w:hint="cs"/>
          <w:sz w:val="24"/>
          <w:szCs w:val="24"/>
          <w:rtl/>
        </w:rPr>
        <w:t xml:space="preserve"> העומדים בתנאי הפטור</w:t>
      </w:r>
      <w:r>
        <w:rPr>
          <w:rFonts w:ascii="David" w:hAnsi="David" w:cs="David"/>
          <w:sz w:val="24"/>
          <w:szCs w:val="24"/>
          <w:rtl/>
        </w:rPr>
        <w:t>, לפנות לפיקוח על מערכות התשלומים בבנק ישראל לצורך קבלת ייעוץ בנושא אפשרויות הפעילות במערכות התשלומים</w:t>
      </w:r>
      <w:r>
        <w:rPr>
          <w:rStyle w:val="a6"/>
          <w:rFonts w:ascii="David" w:hAnsi="David" w:cs="David"/>
          <w:sz w:val="24"/>
          <w:szCs w:val="24"/>
          <w:rtl/>
        </w:rPr>
        <w:footnoteReference w:id="3"/>
      </w:r>
      <w:r>
        <w:rPr>
          <w:rFonts w:ascii="David" w:hAnsi="David" w:cs="David"/>
          <w:sz w:val="24"/>
          <w:szCs w:val="24"/>
          <w:rtl/>
        </w:rPr>
        <w:t>".</w:t>
      </w:r>
    </w:p>
    <w:p w:rsidR="0061410A" w:rsidRPr="00E137CE" w:rsidRDefault="0061410A" w:rsidP="0061410A">
      <w:pPr>
        <w:pStyle w:val="a3"/>
        <w:spacing w:after="0" w:line="360" w:lineRule="auto"/>
        <w:ind w:left="360"/>
        <w:jc w:val="both"/>
        <w:rPr>
          <w:rFonts w:ascii="David" w:hAnsi="David" w:cs="David"/>
          <w:sz w:val="24"/>
          <w:szCs w:val="24"/>
        </w:rPr>
      </w:pPr>
    </w:p>
    <w:p w:rsidR="0061410A" w:rsidRDefault="0061410A">
      <w:pPr>
        <w:bidi w:val="0"/>
        <w:rPr>
          <w:rtl/>
        </w:rPr>
      </w:pPr>
      <w:r>
        <w:rPr>
          <w:rtl/>
        </w:rPr>
        <w:br w:type="page"/>
      </w:r>
    </w:p>
    <w:p w:rsidR="0061410A" w:rsidRPr="00C00F7C" w:rsidRDefault="00082BAC" w:rsidP="00082BAC">
      <w:pPr>
        <w:spacing w:after="0" w:line="360" w:lineRule="auto"/>
        <w:jc w:val="center"/>
        <w:rPr>
          <w:rFonts w:ascii="David" w:hAnsi="David" w:cs="David"/>
          <w:b/>
          <w:bCs/>
          <w:sz w:val="28"/>
          <w:szCs w:val="28"/>
          <w:rtl/>
        </w:rPr>
      </w:pPr>
      <w:r>
        <w:rPr>
          <w:rFonts w:ascii="David" w:hAnsi="David" w:cs="David" w:hint="cs"/>
          <w:b/>
          <w:bCs/>
          <w:sz w:val="28"/>
          <w:szCs w:val="28"/>
          <w:rtl/>
        </w:rPr>
        <w:lastRenderedPageBreak/>
        <w:t xml:space="preserve">מתווה פתיחת מערכות התשלומים </w:t>
      </w:r>
      <w:r w:rsidR="0061410A" w:rsidRPr="00C00F7C">
        <w:rPr>
          <w:rFonts w:ascii="David" w:hAnsi="David" w:cs="David" w:hint="cs"/>
          <w:b/>
          <w:bCs/>
          <w:sz w:val="28"/>
          <w:szCs w:val="28"/>
          <w:rtl/>
        </w:rPr>
        <w:t xml:space="preserve">לנותני שירותי תשלום </w:t>
      </w:r>
      <w:r>
        <w:rPr>
          <w:rFonts w:ascii="David" w:hAnsi="David" w:cs="David" w:hint="cs"/>
          <w:b/>
          <w:bCs/>
          <w:sz w:val="28"/>
          <w:szCs w:val="28"/>
          <w:rtl/>
        </w:rPr>
        <w:t>בינלאומיים</w:t>
      </w:r>
    </w:p>
    <w:p w:rsidR="0061410A" w:rsidRDefault="0061410A" w:rsidP="0061410A">
      <w:pPr>
        <w:spacing w:after="0" w:line="360" w:lineRule="auto"/>
        <w:jc w:val="both"/>
        <w:rPr>
          <w:rFonts w:ascii="David" w:hAnsi="David" w:cs="David"/>
          <w:sz w:val="24"/>
          <w:szCs w:val="24"/>
          <w:rtl/>
        </w:rPr>
      </w:pPr>
    </w:p>
    <w:p w:rsidR="0061410A" w:rsidRDefault="00772F72" w:rsidP="00772F72">
      <w:pPr>
        <w:spacing w:after="0" w:line="360" w:lineRule="auto"/>
        <w:jc w:val="both"/>
        <w:rPr>
          <w:rFonts w:ascii="David" w:hAnsi="David" w:cs="David"/>
          <w:sz w:val="24"/>
          <w:szCs w:val="24"/>
          <w:rtl/>
        </w:rPr>
      </w:pPr>
      <w:r>
        <w:rPr>
          <w:rFonts w:ascii="David" w:hAnsi="David" w:cs="David" w:hint="cs"/>
          <w:sz w:val="24"/>
          <w:szCs w:val="24"/>
          <w:rtl/>
        </w:rPr>
        <w:t>מתווה החיבור</w:t>
      </w:r>
      <w:r w:rsidR="00082BAC">
        <w:rPr>
          <w:rFonts w:ascii="David" w:hAnsi="David" w:cs="David" w:hint="cs"/>
          <w:sz w:val="24"/>
          <w:szCs w:val="24"/>
          <w:rtl/>
        </w:rPr>
        <w:t xml:space="preserve"> </w:t>
      </w:r>
      <w:r>
        <w:rPr>
          <w:rFonts w:ascii="David" w:hAnsi="David" w:cs="David" w:hint="cs"/>
          <w:sz w:val="24"/>
          <w:szCs w:val="24"/>
          <w:rtl/>
        </w:rPr>
        <w:t>ל</w:t>
      </w:r>
      <w:r w:rsidR="00082BAC">
        <w:rPr>
          <w:rFonts w:ascii="David" w:hAnsi="David" w:cs="David" w:hint="cs"/>
          <w:sz w:val="24"/>
          <w:szCs w:val="24"/>
          <w:rtl/>
        </w:rPr>
        <w:t xml:space="preserve">מערכות התשלומים </w:t>
      </w:r>
      <w:r w:rsidR="0021452E">
        <w:rPr>
          <w:rFonts w:ascii="David" w:hAnsi="David" w:cs="David" w:hint="cs"/>
          <w:sz w:val="24"/>
          <w:szCs w:val="24"/>
          <w:rtl/>
        </w:rPr>
        <w:t>מבוקרות</w:t>
      </w:r>
      <w:r w:rsidR="0021452E">
        <w:rPr>
          <w:rStyle w:val="a6"/>
          <w:rFonts w:ascii="David" w:hAnsi="David" w:cs="David"/>
          <w:sz w:val="24"/>
          <w:szCs w:val="24"/>
          <w:rtl/>
        </w:rPr>
        <w:footnoteReference w:id="4"/>
      </w:r>
      <w:r w:rsidR="0021452E">
        <w:rPr>
          <w:rFonts w:ascii="David" w:hAnsi="David" w:cs="David" w:hint="cs"/>
          <w:sz w:val="24"/>
          <w:szCs w:val="24"/>
          <w:rtl/>
        </w:rPr>
        <w:t xml:space="preserve"> </w:t>
      </w:r>
      <w:r w:rsidR="00082BAC">
        <w:rPr>
          <w:rFonts w:ascii="David" w:hAnsi="David" w:cs="David" w:hint="cs"/>
          <w:sz w:val="24"/>
          <w:szCs w:val="24"/>
          <w:rtl/>
        </w:rPr>
        <w:t>של נותני שירותי תשלום בינלאומיים</w:t>
      </w:r>
      <w:r w:rsidR="00F445F3">
        <w:rPr>
          <w:rFonts w:ascii="David" w:hAnsi="David" w:cs="David" w:hint="cs"/>
          <w:sz w:val="24"/>
          <w:szCs w:val="24"/>
          <w:rtl/>
        </w:rPr>
        <w:t xml:space="preserve"> שעומדים בתנאי הפטור לפי סעיף 3(7) בתקנות</w:t>
      </w:r>
      <w:r w:rsidR="00F445F3">
        <w:rPr>
          <w:rStyle w:val="a6"/>
          <w:rFonts w:ascii="David" w:hAnsi="David" w:cs="David"/>
          <w:sz w:val="24"/>
          <w:szCs w:val="24"/>
          <w:rtl/>
        </w:rPr>
        <w:footnoteReference w:id="5"/>
      </w:r>
      <w:r w:rsidR="00F445F3">
        <w:rPr>
          <w:rFonts w:ascii="David" w:hAnsi="David" w:cs="David" w:hint="cs"/>
          <w:sz w:val="24"/>
          <w:szCs w:val="24"/>
          <w:rtl/>
        </w:rPr>
        <w:t>,</w:t>
      </w:r>
      <w:r w:rsidR="00082BAC">
        <w:rPr>
          <w:rFonts w:ascii="David" w:hAnsi="David" w:cs="David" w:hint="cs"/>
          <w:sz w:val="24"/>
          <w:szCs w:val="24"/>
          <w:rtl/>
        </w:rPr>
        <w:t xml:space="preserve"> מחולק לשני מסלולים:</w:t>
      </w:r>
    </w:p>
    <w:p w:rsidR="00F445F3" w:rsidRDefault="00F445F3" w:rsidP="0061410A">
      <w:pPr>
        <w:spacing w:after="0" w:line="360" w:lineRule="auto"/>
        <w:jc w:val="both"/>
        <w:rPr>
          <w:rFonts w:ascii="David" w:hAnsi="David" w:cs="David"/>
          <w:sz w:val="24"/>
          <w:szCs w:val="24"/>
          <w:rtl/>
        </w:rPr>
      </w:pPr>
    </w:p>
    <w:p w:rsidR="0061410A" w:rsidRPr="0073656D" w:rsidRDefault="0061410A" w:rsidP="0061410A">
      <w:pPr>
        <w:pStyle w:val="a3"/>
        <w:numPr>
          <w:ilvl w:val="0"/>
          <w:numId w:val="1"/>
        </w:numPr>
        <w:spacing w:after="0" w:line="360" w:lineRule="auto"/>
        <w:ind w:left="360"/>
        <w:jc w:val="both"/>
        <w:rPr>
          <w:rFonts w:ascii="David" w:hAnsi="David" w:cs="David"/>
          <w:b/>
          <w:bCs/>
          <w:sz w:val="24"/>
          <w:szCs w:val="24"/>
        </w:rPr>
      </w:pPr>
      <w:r w:rsidRPr="0073656D">
        <w:rPr>
          <w:rFonts w:ascii="David" w:hAnsi="David" w:cs="David" w:hint="cs"/>
          <w:b/>
          <w:bCs/>
          <w:sz w:val="24"/>
          <w:szCs w:val="24"/>
          <w:u w:val="single"/>
          <w:rtl/>
        </w:rPr>
        <w:t>מסלול א - חיבור לסביבת הניסוי</w:t>
      </w:r>
    </w:p>
    <w:p w:rsidR="00F445F3" w:rsidRDefault="00F445F3" w:rsidP="00FD0B4C">
      <w:pPr>
        <w:pStyle w:val="a3"/>
        <w:spacing w:after="0" w:line="360" w:lineRule="auto"/>
        <w:ind w:left="360"/>
        <w:jc w:val="both"/>
        <w:rPr>
          <w:rFonts w:ascii="David" w:hAnsi="David" w:cs="David"/>
          <w:sz w:val="24"/>
          <w:szCs w:val="24"/>
          <w:rtl/>
        </w:rPr>
      </w:pPr>
      <w:r>
        <w:rPr>
          <w:rFonts w:ascii="David" w:hAnsi="David" w:cs="David" w:hint="cs"/>
          <w:sz w:val="24"/>
          <w:szCs w:val="24"/>
          <w:rtl/>
        </w:rPr>
        <w:t>המסלול מיועד ל</w:t>
      </w:r>
      <w:r w:rsidR="00044890">
        <w:rPr>
          <w:rFonts w:ascii="David" w:hAnsi="David" w:cs="David" w:hint="cs"/>
          <w:sz w:val="24"/>
          <w:szCs w:val="24"/>
          <w:rtl/>
        </w:rPr>
        <w:t xml:space="preserve">כל </w:t>
      </w:r>
      <w:r>
        <w:rPr>
          <w:rFonts w:ascii="David" w:hAnsi="David" w:cs="David" w:hint="cs"/>
          <w:sz w:val="24"/>
          <w:szCs w:val="24"/>
          <w:rtl/>
        </w:rPr>
        <w:t>נותן שירותי תשלום שעומד בתנאי הפטור לפי סעיף 3(7) בתקנות.</w:t>
      </w:r>
    </w:p>
    <w:p w:rsidR="0061410A" w:rsidRDefault="0061410A" w:rsidP="00FD0B4C">
      <w:pPr>
        <w:pStyle w:val="a3"/>
        <w:spacing w:after="0" w:line="360" w:lineRule="auto"/>
        <w:ind w:left="360"/>
        <w:jc w:val="both"/>
        <w:rPr>
          <w:rFonts w:ascii="David" w:hAnsi="David" w:cs="David"/>
          <w:sz w:val="24"/>
          <w:szCs w:val="24"/>
          <w:rtl/>
        </w:rPr>
      </w:pPr>
      <w:r>
        <w:rPr>
          <w:rFonts w:ascii="David" w:hAnsi="David" w:cs="David" w:hint="cs"/>
          <w:sz w:val="24"/>
          <w:szCs w:val="24"/>
          <w:rtl/>
        </w:rPr>
        <w:t>המסלול מאפשר</w:t>
      </w:r>
      <w:r w:rsidRPr="002C3C7F">
        <w:rPr>
          <w:rtl/>
        </w:rPr>
        <w:t xml:space="preserve"> </w:t>
      </w:r>
      <w:r w:rsidRPr="002C3C7F">
        <w:rPr>
          <w:rFonts w:ascii="David" w:hAnsi="David" w:cs="David"/>
          <w:sz w:val="24"/>
          <w:szCs w:val="24"/>
          <w:rtl/>
        </w:rPr>
        <w:t>היערכות לחיבור למערכות התשלומים, לרבות ביצוע ניסויים בסביבת הניסוי במערכות</w:t>
      </w:r>
      <w:r>
        <w:rPr>
          <w:rFonts w:ascii="David" w:hAnsi="David" w:cs="David" w:hint="cs"/>
          <w:sz w:val="24"/>
          <w:szCs w:val="24"/>
          <w:rtl/>
        </w:rPr>
        <w:t xml:space="preserve">. </w:t>
      </w:r>
      <w:r w:rsidR="00F445F3">
        <w:rPr>
          <w:rFonts w:ascii="David" w:hAnsi="David" w:cs="David" w:hint="cs"/>
          <w:sz w:val="24"/>
          <w:szCs w:val="24"/>
          <w:rtl/>
        </w:rPr>
        <w:t xml:space="preserve">כחלק מהתהליך, </w:t>
      </w:r>
      <w:r>
        <w:rPr>
          <w:rFonts w:ascii="David" w:hAnsi="David" w:cs="David" w:hint="cs"/>
          <w:sz w:val="24"/>
          <w:szCs w:val="24"/>
          <w:rtl/>
        </w:rPr>
        <w:t xml:space="preserve">נותן שירות התשלום </w:t>
      </w:r>
      <w:r w:rsidR="00082BAC">
        <w:rPr>
          <w:rFonts w:ascii="David" w:hAnsi="David" w:cs="David" w:hint="cs"/>
          <w:sz w:val="24"/>
          <w:szCs w:val="24"/>
          <w:rtl/>
        </w:rPr>
        <w:t xml:space="preserve">יוכל לקבל </w:t>
      </w:r>
      <w:r>
        <w:rPr>
          <w:rFonts w:ascii="David" w:hAnsi="David" w:cs="David" w:hint="cs"/>
          <w:sz w:val="24"/>
          <w:szCs w:val="24"/>
          <w:rtl/>
        </w:rPr>
        <w:t>את כללי מערכת התשלומים המלאים</w:t>
      </w:r>
      <w:r w:rsidR="00F445F3" w:rsidRPr="00F445F3">
        <w:rPr>
          <w:rFonts w:ascii="David" w:hAnsi="David" w:cs="David" w:hint="cs"/>
          <w:sz w:val="24"/>
          <w:szCs w:val="24"/>
          <w:rtl/>
        </w:rPr>
        <w:t xml:space="preserve"> </w:t>
      </w:r>
      <w:r w:rsidR="00F445F3">
        <w:rPr>
          <w:rFonts w:ascii="David" w:hAnsi="David" w:cs="David" w:hint="cs"/>
          <w:sz w:val="24"/>
          <w:szCs w:val="24"/>
          <w:rtl/>
        </w:rPr>
        <w:t>וקוד זיהוי</w:t>
      </w:r>
      <w:r>
        <w:rPr>
          <w:rFonts w:ascii="David" w:hAnsi="David" w:cs="David" w:hint="cs"/>
          <w:sz w:val="24"/>
          <w:szCs w:val="24"/>
          <w:rtl/>
        </w:rPr>
        <w:t>.</w:t>
      </w:r>
    </w:p>
    <w:p w:rsidR="0061410A" w:rsidRDefault="0061410A" w:rsidP="00FD0B4C">
      <w:pPr>
        <w:pStyle w:val="a3"/>
        <w:spacing w:after="0" w:line="360" w:lineRule="auto"/>
        <w:ind w:left="360"/>
        <w:jc w:val="both"/>
        <w:rPr>
          <w:rFonts w:ascii="David" w:hAnsi="David" w:cs="David"/>
          <w:sz w:val="24"/>
          <w:szCs w:val="24"/>
          <w:rtl/>
        </w:rPr>
      </w:pPr>
      <w:r>
        <w:rPr>
          <w:rFonts w:ascii="David" w:hAnsi="David" w:cs="David" w:hint="cs"/>
          <w:sz w:val="24"/>
          <w:szCs w:val="24"/>
          <w:rtl/>
        </w:rPr>
        <w:t>התנאי להשתתפות במסלול זה</w:t>
      </w:r>
      <w:r w:rsidR="0095145C">
        <w:rPr>
          <w:rFonts w:ascii="David" w:hAnsi="David" w:cs="David" w:hint="cs"/>
          <w:sz w:val="24"/>
          <w:szCs w:val="24"/>
          <w:rtl/>
        </w:rPr>
        <w:t>:</w:t>
      </w:r>
    </w:p>
    <w:p w:rsidR="0061410A" w:rsidRDefault="0061410A" w:rsidP="00044890">
      <w:pPr>
        <w:pStyle w:val="a3"/>
        <w:spacing w:after="0" w:line="360" w:lineRule="auto"/>
        <w:ind w:left="360"/>
        <w:jc w:val="both"/>
        <w:rPr>
          <w:rFonts w:ascii="David" w:hAnsi="David" w:cs="David"/>
          <w:sz w:val="24"/>
          <w:szCs w:val="24"/>
        </w:rPr>
      </w:pPr>
      <w:r>
        <w:rPr>
          <w:rFonts w:ascii="David" w:hAnsi="David" w:cs="David" w:hint="cs"/>
          <w:sz w:val="24"/>
          <w:szCs w:val="24"/>
          <w:rtl/>
        </w:rPr>
        <w:t xml:space="preserve">המצאת </w:t>
      </w:r>
      <w:r>
        <w:rPr>
          <w:rFonts w:ascii="David" w:hAnsi="David" w:cs="David"/>
          <w:sz w:val="24"/>
          <w:szCs w:val="24"/>
        </w:rPr>
        <w:t>comfort letter</w:t>
      </w:r>
      <w:r>
        <w:rPr>
          <w:rFonts w:ascii="David" w:hAnsi="David" w:cs="David" w:hint="cs"/>
          <w:sz w:val="24"/>
          <w:szCs w:val="24"/>
          <w:rtl/>
        </w:rPr>
        <w:t xml:space="preserve"> מהמפקח על </w:t>
      </w:r>
      <w:r w:rsidR="000E6217">
        <w:rPr>
          <w:rFonts w:ascii="David" w:hAnsi="David" w:cs="David" w:hint="cs"/>
          <w:sz w:val="24"/>
          <w:szCs w:val="24"/>
          <w:rtl/>
        </w:rPr>
        <w:t>נותן שירות</w:t>
      </w:r>
      <w:r w:rsidR="00F445F3">
        <w:rPr>
          <w:rFonts w:ascii="David" w:hAnsi="David" w:cs="David" w:hint="cs"/>
          <w:sz w:val="24"/>
          <w:szCs w:val="24"/>
          <w:rtl/>
        </w:rPr>
        <w:t>י</w:t>
      </w:r>
      <w:r w:rsidR="000E6217">
        <w:rPr>
          <w:rFonts w:ascii="David" w:hAnsi="David" w:cs="David" w:hint="cs"/>
          <w:sz w:val="24"/>
          <w:szCs w:val="24"/>
          <w:rtl/>
        </w:rPr>
        <w:t xml:space="preserve"> התשלום</w:t>
      </w:r>
      <w:r>
        <w:rPr>
          <w:rFonts w:ascii="David" w:hAnsi="David" w:cs="David" w:hint="cs"/>
          <w:sz w:val="24"/>
          <w:szCs w:val="24"/>
          <w:rtl/>
        </w:rPr>
        <w:t xml:space="preserve"> בחו"ל המאשר את עמידת </w:t>
      </w:r>
      <w:r w:rsidR="004503CD">
        <w:rPr>
          <w:rFonts w:ascii="David" w:hAnsi="David" w:cs="David" w:hint="cs"/>
          <w:sz w:val="24"/>
          <w:szCs w:val="24"/>
          <w:rtl/>
        </w:rPr>
        <w:t>נותן שירותי התשלום</w:t>
      </w:r>
      <w:r>
        <w:rPr>
          <w:rFonts w:ascii="David" w:hAnsi="David" w:cs="David" w:hint="cs"/>
          <w:sz w:val="24"/>
          <w:szCs w:val="24"/>
          <w:rtl/>
        </w:rPr>
        <w:t xml:space="preserve"> בתנאי הפטור</w:t>
      </w:r>
      <w:r w:rsidR="009F4E1B">
        <w:rPr>
          <w:rFonts w:ascii="David" w:hAnsi="David" w:cs="David" w:hint="cs"/>
          <w:sz w:val="24"/>
          <w:szCs w:val="24"/>
          <w:rtl/>
        </w:rPr>
        <w:t xml:space="preserve"> לפי סעיף 3(7) בתקנות</w:t>
      </w:r>
      <w:r>
        <w:rPr>
          <w:rFonts w:ascii="David" w:hAnsi="David" w:cs="David" w:hint="cs"/>
          <w:sz w:val="24"/>
          <w:szCs w:val="24"/>
          <w:rtl/>
        </w:rPr>
        <w:t>.</w:t>
      </w:r>
    </w:p>
    <w:p w:rsidR="0061410A" w:rsidRPr="0061410A" w:rsidRDefault="0061410A" w:rsidP="0061410A">
      <w:pPr>
        <w:spacing w:after="0" w:line="360" w:lineRule="auto"/>
        <w:jc w:val="both"/>
        <w:rPr>
          <w:rFonts w:ascii="David" w:hAnsi="David" w:cs="David"/>
          <w:sz w:val="24"/>
          <w:szCs w:val="24"/>
        </w:rPr>
      </w:pPr>
    </w:p>
    <w:p w:rsidR="0061410A" w:rsidRPr="0073656D" w:rsidRDefault="0061410A" w:rsidP="0061410A">
      <w:pPr>
        <w:pStyle w:val="a3"/>
        <w:numPr>
          <w:ilvl w:val="0"/>
          <w:numId w:val="1"/>
        </w:numPr>
        <w:spacing w:after="0" w:line="360" w:lineRule="auto"/>
        <w:ind w:left="360"/>
        <w:jc w:val="both"/>
        <w:rPr>
          <w:rFonts w:ascii="David" w:hAnsi="David" w:cs="David"/>
          <w:b/>
          <w:bCs/>
          <w:sz w:val="24"/>
          <w:szCs w:val="24"/>
        </w:rPr>
      </w:pPr>
      <w:r w:rsidRPr="0073656D">
        <w:rPr>
          <w:rFonts w:ascii="David" w:hAnsi="David" w:cs="David" w:hint="cs"/>
          <w:b/>
          <w:bCs/>
          <w:sz w:val="24"/>
          <w:szCs w:val="24"/>
          <w:u w:val="single"/>
          <w:rtl/>
        </w:rPr>
        <w:t>מסלול ב - חיבור לסביבת ייצור</w:t>
      </w:r>
    </w:p>
    <w:p w:rsidR="0095145C" w:rsidRDefault="0095145C" w:rsidP="00FD0B4C">
      <w:pPr>
        <w:pStyle w:val="a3"/>
        <w:spacing w:after="0" w:line="360" w:lineRule="auto"/>
        <w:ind w:left="360"/>
        <w:jc w:val="both"/>
        <w:rPr>
          <w:rFonts w:ascii="David" w:hAnsi="David" w:cs="David"/>
          <w:sz w:val="24"/>
          <w:szCs w:val="24"/>
          <w:rtl/>
        </w:rPr>
      </w:pPr>
      <w:r>
        <w:rPr>
          <w:rFonts w:ascii="David" w:hAnsi="David" w:cs="David" w:hint="cs"/>
          <w:sz w:val="24"/>
          <w:szCs w:val="24"/>
          <w:rtl/>
        </w:rPr>
        <w:t>המסלול מיועד לנותן שירותי תשלום</w:t>
      </w:r>
      <w:r w:rsidR="00FD0B4C" w:rsidRPr="00FD0B4C">
        <w:rPr>
          <w:rtl/>
        </w:rPr>
        <w:t xml:space="preserve"> </w:t>
      </w:r>
      <w:r w:rsidR="00FD0B4C" w:rsidRPr="00FD0B4C">
        <w:rPr>
          <w:rFonts w:ascii="David" w:hAnsi="David" w:cs="David"/>
          <w:sz w:val="24"/>
          <w:szCs w:val="24"/>
          <w:rtl/>
        </w:rPr>
        <w:t>שעומד בתנאי הפטור לפי סעיף 3(7) בתקנות</w:t>
      </w:r>
      <w:r w:rsidR="00FD0B4C">
        <w:rPr>
          <w:rFonts w:ascii="David" w:hAnsi="David" w:cs="David" w:hint="cs"/>
          <w:sz w:val="24"/>
          <w:szCs w:val="24"/>
          <w:rtl/>
        </w:rPr>
        <w:t>,</w:t>
      </w:r>
      <w:r>
        <w:rPr>
          <w:rFonts w:ascii="David" w:hAnsi="David" w:cs="David" w:hint="cs"/>
          <w:sz w:val="24"/>
          <w:szCs w:val="24"/>
          <w:rtl/>
        </w:rPr>
        <w:t xml:space="preserve"> עם וותק של שנתיים לפחות ממועד קבלת הרישיון הזר, שנותן שירותים ל- 5 מיליון לקוחות לפחות.</w:t>
      </w:r>
    </w:p>
    <w:p w:rsidR="0061410A" w:rsidRPr="002C3C7F" w:rsidRDefault="00082BAC" w:rsidP="00FD0B4C">
      <w:pPr>
        <w:pStyle w:val="a3"/>
        <w:spacing w:after="0" w:line="360" w:lineRule="auto"/>
        <w:ind w:left="360"/>
        <w:jc w:val="both"/>
        <w:rPr>
          <w:rFonts w:ascii="David" w:hAnsi="David" w:cs="David"/>
          <w:sz w:val="24"/>
          <w:szCs w:val="24"/>
          <w:rtl/>
        </w:rPr>
      </w:pPr>
      <w:r>
        <w:rPr>
          <w:rFonts w:ascii="David" w:hAnsi="David" w:cs="David" w:hint="cs"/>
          <w:sz w:val="24"/>
          <w:szCs w:val="24"/>
          <w:rtl/>
        </w:rPr>
        <w:t xml:space="preserve">המסלול </w:t>
      </w:r>
      <w:r w:rsidR="0061410A">
        <w:rPr>
          <w:rFonts w:ascii="David" w:hAnsi="David" w:cs="David" w:hint="cs"/>
          <w:sz w:val="24"/>
          <w:szCs w:val="24"/>
          <w:rtl/>
        </w:rPr>
        <w:t>מאפשר</w:t>
      </w:r>
      <w:r w:rsidR="000E6217">
        <w:rPr>
          <w:rFonts w:ascii="David" w:hAnsi="David" w:cs="David" w:hint="cs"/>
          <w:sz w:val="24"/>
          <w:szCs w:val="24"/>
          <w:rtl/>
        </w:rPr>
        <w:t xml:space="preserve"> </w:t>
      </w:r>
      <w:r w:rsidR="004503CD">
        <w:rPr>
          <w:rFonts w:ascii="David" w:hAnsi="David" w:cs="David" w:hint="cs"/>
          <w:sz w:val="24"/>
          <w:szCs w:val="24"/>
          <w:rtl/>
        </w:rPr>
        <w:t>את כל הצעדים הכלולים במסלול א'</w:t>
      </w:r>
      <w:r w:rsidR="00622039">
        <w:rPr>
          <w:rFonts w:ascii="David" w:hAnsi="David" w:cs="David" w:hint="cs"/>
          <w:sz w:val="24"/>
          <w:szCs w:val="24"/>
          <w:rtl/>
        </w:rPr>
        <w:t>, ובנוסף מאפשר</w:t>
      </w:r>
      <w:r w:rsidR="000E6217">
        <w:rPr>
          <w:rFonts w:ascii="David" w:hAnsi="David" w:cs="David" w:hint="cs"/>
          <w:sz w:val="24"/>
          <w:szCs w:val="24"/>
          <w:rtl/>
        </w:rPr>
        <w:t xml:space="preserve"> </w:t>
      </w:r>
      <w:r w:rsidR="00622039" w:rsidRPr="002C3C7F">
        <w:rPr>
          <w:rFonts w:ascii="David" w:hAnsi="David" w:cs="David" w:hint="cs"/>
          <w:sz w:val="24"/>
          <w:szCs w:val="24"/>
          <w:rtl/>
        </w:rPr>
        <w:t>חיבור לסביבת הייצור במערכות התשלומים</w:t>
      </w:r>
      <w:r w:rsidR="004503CD">
        <w:rPr>
          <w:rFonts w:ascii="David" w:hAnsi="David" w:cs="David" w:hint="cs"/>
          <w:sz w:val="24"/>
          <w:szCs w:val="24"/>
          <w:rtl/>
        </w:rPr>
        <w:t xml:space="preserve"> </w:t>
      </w:r>
      <w:r w:rsidR="003625F5">
        <w:rPr>
          <w:rFonts w:ascii="David" w:hAnsi="David" w:cs="David" w:hint="cs"/>
          <w:sz w:val="24"/>
          <w:szCs w:val="24"/>
          <w:rtl/>
        </w:rPr>
        <w:t>.</w:t>
      </w:r>
    </w:p>
    <w:p w:rsidR="0061410A" w:rsidRDefault="0061410A" w:rsidP="00CA686F">
      <w:pPr>
        <w:pStyle w:val="a3"/>
        <w:spacing w:after="0" w:line="360" w:lineRule="auto"/>
        <w:ind w:left="360"/>
        <w:jc w:val="both"/>
        <w:rPr>
          <w:rFonts w:ascii="David" w:hAnsi="David" w:cs="David"/>
          <w:sz w:val="24"/>
          <w:szCs w:val="24"/>
          <w:rtl/>
        </w:rPr>
      </w:pPr>
      <w:r>
        <w:rPr>
          <w:rFonts w:ascii="David" w:hAnsi="David" w:cs="David" w:hint="cs"/>
          <w:sz w:val="24"/>
          <w:szCs w:val="24"/>
          <w:rtl/>
        </w:rPr>
        <w:t>התנאי להשתתפות במסלול זה</w:t>
      </w:r>
      <w:r w:rsidR="0095145C">
        <w:rPr>
          <w:rFonts w:ascii="David" w:hAnsi="David" w:cs="David" w:hint="cs"/>
          <w:sz w:val="24"/>
          <w:szCs w:val="24"/>
          <w:rtl/>
        </w:rPr>
        <w:t>:</w:t>
      </w:r>
    </w:p>
    <w:p w:rsidR="0061410A" w:rsidRDefault="0061410A" w:rsidP="00927665">
      <w:pPr>
        <w:pStyle w:val="a3"/>
        <w:spacing w:after="0" w:line="360" w:lineRule="auto"/>
        <w:ind w:left="360"/>
        <w:jc w:val="both"/>
        <w:rPr>
          <w:rFonts w:ascii="David" w:hAnsi="David" w:cs="David"/>
          <w:sz w:val="24"/>
          <w:szCs w:val="24"/>
          <w:rtl/>
        </w:rPr>
      </w:pPr>
      <w:r>
        <w:rPr>
          <w:rFonts w:ascii="David" w:hAnsi="David" w:cs="David" w:hint="cs"/>
          <w:sz w:val="24"/>
          <w:szCs w:val="24"/>
          <w:rtl/>
        </w:rPr>
        <w:t xml:space="preserve">המצאת </w:t>
      </w:r>
      <w:r w:rsidRPr="00DF11ED">
        <w:rPr>
          <w:rFonts w:ascii="David" w:hAnsi="David" w:cs="David"/>
          <w:sz w:val="24"/>
          <w:szCs w:val="24"/>
        </w:rPr>
        <w:t>comfort letter</w:t>
      </w:r>
      <w:r>
        <w:rPr>
          <w:rFonts w:ascii="David" w:hAnsi="David" w:cs="David"/>
          <w:sz w:val="24"/>
          <w:szCs w:val="24"/>
          <w:rtl/>
        </w:rPr>
        <w:t xml:space="preserve"> מהמפקח על</w:t>
      </w:r>
      <w:r>
        <w:rPr>
          <w:rFonts w:ascii="David" w:hAnsi="David" w:cs="David" w:hint="cs"/>
          <w:sz w:val="24"/>
          <w:szCs w:val="24"/>
          <w:rtl/>
        </w:rPr>
        <w:t xml:space="preserve"> נותן שירותי התשלום </w:t>
      </w:r>
      <w:r>
        <w:rPr>
          <w:rFonts w:ascii="David" w:hAnsi="David" w:cs="David"/>
          <w:sz w:val="24"/>
          <w:szCs w:val="24"/>
          <w:rtl/>
        </w:rPr>
        <w:t>בחו"ל המאשר</w:t>
      </w:r>
      <w:r>
        <w:rPr>
          <w:rFonts w:ascii="David" w:hAnsi="David" w:cs="David" w:hint="cs"/>
          <w:sz w:val="24"/>
          <w:szCs w:val="24"/>
          <w:rtl/>
        </w:rPr>
        <w:t>:</w:t>
      </w:r>
    </w:p>
    <w:p w:rsidR="0061410A" w:rsidRDefault="0061410A" w:rsidP="004503CD">
      <w:pPr>
        <w:pStyle w:val="a3"/>
        <w:numPr>
          <w:ilvl w:val="0"/>
          <w:numId w:val="3"/>
        </w:numPr>
        <w:spacing w:after="0" w:line="360" w:lineRule="auto"/>
        <w:jc w:val="both"/>
        <w:rPr>
          <w:rFonts w:ascii="David" w:hAnsi="David" w:cs="David"/>
          <w:sz w:val="24"/>
          <w:szCs w:val="24"/>
        </w:rPr>
      </w:pPr>
      <w:r w:rsidRPr="00DF11ED">
        <w:rPr>
          <w:rFonts w:ascii="David" w:hAnsi="David" w:cs="David"/>
          <w:sz w:val="24"/>
          <w:szCs w:val="24"/>
          <w:rtl/>
        </w:rPr>
        <w:t xml:space="preserve">עמידת </w:t>
      </w:r>
      <w:r w:rsidR="000E6217">
        <w:rPr>
          <w:rFonts w:ascii="David" w:hAnsi="David" w:cs="David" w:hint="cs"/>
          <w:sz w:val="24"/>
          <w:szCs w:val="24"/>
          <w:rtl/>
        </w:rPr>
        <w:t xml:space="preserve">נותן שירות התשלום </w:t>
      </w:r>
      <w:r>
        <w:rPr>
          <w:rFonts w:ascii="David" w:hAnsi="David" w:cs="David" w:hint="cs"/>
          <w:sz w:val="24"/>
          <w:szCs w:val="24"/>
          <w:rtl/>
        </w:rPr>
        <w:t>בתנאי הפטור לפי סעיף 3(7) בתקנות.</w:t>
      </w:r>
    </w:p>
    <w:p w:rsidR="0061410A" w:rsidRPr="0073656D" w:rsidRDefault="0061410A" w:rsidP="0061410A">
      <w:pPr>
        <w:pStyle w:val="a3"/>
        <w:numPr>
          <w:ilvl w:val="0"/>
          <w:numId w:val="2"/>
        </w:numPr>
        <w:spacing w:after="0" w:line="360" w:lineRule="auto"/>
        <w:jc w:val="both"/>
        <w:rPr>
          <w:rFonts w:ascii="David" w:hAnsi="David" w:cs="David"/>
          <w:sz w:val="24"/>
          <w:szCs w:val="24"/>
        </w:rPr>
      </w:pPr>
      <w:r w:rsidRPr="0073656D">
        <w:rPr>
          <w:rFonts w:ascii="David" w:hAnsi="David" w:cs="David" w:hint="cs"/>
          <w:sz w:val="24"/>
          <w:szCs w:val="24"/>
          <w:rtl/>
        </w:rPr>
        <w:t>קיום פיקוח על ניהול סיכונים לרבות</w:t>
      </w:r>
      <w:r w:rsidR="00622039">
        <w:rPr>
          <w:rFonts w:ascii="David" w:hAnsi="David" w:cs="David" w:hint="cs"/>
          <w:sz w:val="24"/>
          <w:szCs w:val="24"/>
          <w:rtl/>
        </w:rPr>
        <w:t>,</w:t>
      </w:r>
      <w:r w:rsidRPr="0073656D">
        <w:rPr>
          <w:rFonts w:ascii="David" w:hAnsi="David" w:cs="David" w:hint="cs"/>
          <w:sz w:val="24"/>
          <w:szCs w:val="24"/>
          <w:rtl/>
        </w:rPr>
        <w:t xml:space="preserve"> אבטחת מידע, סייבר והמשכיות עסקית.</w:t>
      </w:r>
    </w:p>
    <w:p w:rsidR="0061410A" w:rsidRDefault="0061410A" w:rsidP="009F4E1B">
      <w:pPr>
        <w:pStyle w:val="a3"/>
        <w:numPr>
          <w:ilvl w:val="0"/>
          <w:numId w:val="2"/>
        </w:numPr>
        <w:spacing w:after="0" w:line="360" w:lineRule="auto"/>
        <w:jc w:val="both"/>
        <w:rPr>
          <w:rFonts w:ascii="David" w:hAnsi="David" w:cs="David"/>
          <w:sz w:val="24"/>
          <w:szCs w:val="24"/>
        </w:rPr>
      </w:pPr>
      <w:r>
        <w:rPr>
          <w:rFonts w:ascii="David" w:hAnsi="David" w:cs="David" w:hint="cs"/>
          <w:sz w:val="24"/>
          <w:szCs w:val="24"/>
          <w:rtl/>
        </w:rPr>
        <w:t xml:space="preserve">שלא ידוע למפקח על ליקויים מהותיים בפעילות </w:t>
      </w:r>
      <w:r w:rsidR="009F4E1B">
        <w:rPr>
          <w:rFonts w:ascii="David" w:hAnsi="David" w:cs="David" w:hint="cs"/>
          <w:sz w:val="24"/>
          <w:szCs w:val="24"/>
          <w:rtl/>
        </w:rPr>
        <w:t>הגוף</w:t>
      </w:r>
      <w:r>
        <w:rPr>
          <w:rFonts w:ascii="David" w:hAnsi="David" w:cs="David" w:hint="cs"/>
          <w:sz w:val="24"/>
          <w:szCs w:val="24"/>
          <w:rtl/>
        </w:rPr>
        <w:t xml:space="preserve"> בשנתיים האחרונות לפעילותו</w:t>
      </w:r>
      <w:r w:rsidR="00622039">
        <w:rPr>
          <w:rFonts w:ascii="David" w:hAnsi="David" w:cs="David" w:hint="cs"/>
          <w:sz w:val="24"/>
          <w:szCs w:val="24"/>
          <w:rtl/>
        </w:rPr>
        <w:t>.</w:t>
      </w:r>
    </w:p>
    <w:p w:rsidR="0061410A" w:rsidRDefault="0061410A" w:rsidP="0061410A">
      <w:pPr>
        <w:spacing w:after="0" w:line="360" w:lineRule="auto"/>
        <w:jc w:val="both"/>
        <w:rPr>
          <w:rFonts w:ascii="David" w:hAnsi="David" w:cs="David"/>
          <w:sz w:val="24"/>
          <w:szCs w:val="24"/>
          <w:rtl/>
        </w:rPr>
      </w:pPr>
    </w:p>
    <w:p w:rsidR="0061410A" w:rsidRDefault="0061410A" w:rsidP="00927665">
      <w:pPr>
        <w:spacing w:after="0" w:line="360" w:lineRule="auto"/>
        <w:jc w:val="both"/>
        <w:rPr>
          <w:rFonts w:ascii="David" w:hAnsi="David" w:cs="David"/>
          <w:sz w:val="24"/>
          <w:szCs w:val="24"/>
          <w:rtl/>
        </w:rPr>
      </w:pPr>
      <w:r>
        <w:rPr>
          <w:rFonts w:ascii="David" w:hAnsi="David" w:cs="David" w:hint="cs"/>
          <w:sz w:val="24"/>
          <w:szCs w:val="24"/>
          <w:rtl/>
        </w:rPr>
        <w:t>בשני המסלולים י</w:t>
      </w:r>
      <w:r w:rsidR="004503CD">
        <w:rPr>
          <w:rFonts w:ascii="David" w:hAnsi="David" w:cs="David" w:hint="cs"/>
          <w:sz w:val="24"/>
          <w:szCs w:val="24"/>
          <w:rtl/>
        </w:rPr>
        <w:t>י</w:t>
      </w:r>
      <w:r>
        <w:rPr>
          <w:rFonts w:ascii="David" w:hAnsi="David" w:cs="David" w:hint="cs"/>
          <w:sz w:val="24"/>
          <w:szCs w:val="24"/>
          <w:rtl/>
        </w:rPr>
        <w:t xml:space="preserve">דרש </w:t>
      </w:r>
      <w:r w:rsidR="004503CD">
        <w:rPr>
          <w:rFonts w:ascii="David" w:hAnsi="David" w:cs="David" w:hint="cs"/>
          <w:sz w:val="24"/>
          <w:szCs w:val="24"/>
          <w:rtl/>
        </w:rPr>
        <w:t>נותן שירותי התשלום</w:t>
      </w:r>
      <w:r>
        <w:rPr>
          <w:rFonts w:ascii="David" w:hAnsi="David" w:cs="David" w:hint="cs"/>
          <w:sz w:val="24"/>
          <w:szCs w:val="24"/>
          <w:rtl/>
        </w:rPr>
        <w:t xml:space="preserve"> בנוסף, למלא הצהרה על </w:t>
      </w:r>
      <w:r w:rsidR="004503CD">
        <w:rPr>
          <w:rFonts w:ascii="David" w:hAnsi="David" w:cs="David" w:hint="cs"/>
          <w:sz w:val="24"/>
          <w:szCs w:val="24"/>
          <w:rtl/>
        </w:rPr>
        <w:t>עמיד</w:t>
      </w:r>
      <w:r w:rsidR="00927665">
        <w:rPr>
          <w:rFonts w:ascii="David" w:hAnsi="David" w:cs="David" w:hint="cs"/>
          <w:sz w:val="24"/>
          <w:szCs w:val="24"/>
          <w:rtl/>
        </w:rPr>
        <w:t>תו</w:t>
      </w:r>
      <w:r>
        <w:rPr>
          <w:rFonts w:ascii="David" w:hAnsi="David" w:cs="David" w:hint="cs"/>
          <w:sz w:val="24"/>
          <w:szCs w:val="24"/>
          <w:rtl/>
        </w:rPr>
        <w:t xml:space="preserve"> בתנאי הרישיון שהונפק</w:t>
      </w:r>
      <w:r w:rsidR="00927665">
        <w:rPr>
          <w:rFonts w:ascii="David" w:hAnsi="David" w:cs="David" w:hint="cs"/>
          <w:sz w:val="24"/>
          <w:szCs w:val="24"/>
          <w:rtl/>
        </w:rPr>
        <w:t xml:space="preserve"> לו</w:t>
      </w:r>
      <w:r>
        <w:rPr>
          <w:rFonts w:ascii="David" w:hAnsi="David" w:cs="David" w:hint="cs"/>
          <w:sz w:val="24"/>
          <w:szCs w:val="24"/>
          <w:rtl/>
        </w:rPr>
        <w:t xml:space="preserve"> בחו"ל.</w:t>
      </w:r>
    </w:p>
    <w:p w:rsidR="00DC47C6" w:rsidRDefault="00DC47C6" w:rsidP="00927665">
      <w:pPr>
        <w:spacing w:after="0" w:line="360" w:lineRule="auto"/>
        <w:jc w:val="both"/>
        <w:rPr>
          <w:rFonts w:ascii="David" w:hAnsi="David" w:cs="David"/>
          <w:sz w:val="24"/>
          <w:szCs w:val="24"/>
          <w:rtl/>
        </w:rPr>
      </w:pPr>
    </w:p>
    <w:p w:rsidR="0021452E" w:rsidRPr="006B5485" w:rsidRDefault="0021452E" w:rsidP="00304A0F">
      <w:pPr>
        <w:spacing w:after="0" w:line="360" w:lineRule="auto"/>
        <w:jc w:val="both"/>
        <w:rPr>
          <w:rFonts w:ascii="David" w:hAnsi="David" w:cs="David"/>
          <w:sz w:val="24"/>
          <w:szCs w:val="24"/>
        </w:rPr>
      </w:pPr>
      <w:r>
        <w:rPr>
          <w:rFonts w:ascii="David" w:hAnsi="David" w:cs="David" w:hint="cs"/>
          <w:sz w:val="24"/>
          <w:szCs w:val="24"/>
          <w:rtl/>
        </w:rPr>
        <w:t xml:space="preserve">בנק ישראל שומר לעצמו </w:t>
      </w:r>
      <w:r w:rsidR="002370D9">
        <w:rPr>
          <w:rFonts w:ascii="David" w:hAnsi="David" w:cs="David" w:hint="cs"/>
          <w:sz w:val="24"/>
          <w:szCs w:val="24"/>
          <w:rtl/>
        </w:rPr>
        <w:t>את ה</w:t>
      </w:r>
      <w:r>
        <w:rPr>
          <w:rFonts w:ascii="David" w:hAnsi="David" w:cs="David" w:hint="cs"/>
          <w:sz w:val="24"/>
          <w:szCs w:val="24"/>
          <w:rtl/>
        </w:rPr>
        <w:t>אפשרות לשנות</w:t>
      </w:r>
      <w:r w:rsidR="00FE6940">
        <w:rPr>
          <w:rFonts w:ascii="David" w:hAnsi="David" w:cs="David" w:hint="cs"/>
          <w:sz w:val="24"/>
          <w:szCs w:val="24"/>
          <w:rtl/>
        </w:rPr>
        <w:t xml:space="preserve"> </w:t>
      </w:r>
      <w:r w:rsidR="00DC47C6">
        <w:rPr>
          <w:rFonts w:ascii="David" w:hAnsi="David" w:cs="David" w:hint="cs"/>
          <w:sz w:val="24"/>
          <w:szCs w:val="24"/>
          <w:rtl/>
        </w:rPr>
        <w:t xml:space="preserve">את </w:t>
      </w:r>
      <w:r w:rsidR="00822976" w:rsidRPr="00084208">
        <w:rPr>
          <w:rFonts w:ascii="David" w:hAnsi="David" w:cs="David" w:hint="eastAsia"/>
          <w:sz w:val="24"/>
          <w:szCs w:val="24"/>
          <w:rtl/>
        </w:rPr>
        <w:t>תנאי</w:t>
      </w:r>
      <w:r w:rsidR="00822976" w:rsidRPr="00084208">
        <w:rPr>
          <w:rFonts w:ascii="David" w:hAnsi="David" w:cs="David"/>
          <w:sz w:val="24"/>
          <w:szCs w:val="24"/>
          <w:rtl/>
        </w:rPr>
        <w:t xml:space="preserve"> </w:t>
      </w:r>
      <w:r w:rsidR="00304A0F">
        <w:rPr>
          <w:rFonts w:ascii="David" w:hAnsi="David" w:cs="David" w:hint="cs"/>
          <w:sz w:val="24"/>
          <w:szCs w:val="24"/>
          <w:rtl/>
        </w:rPr>
        <w:t xml:space="preserve">הגישה למערכות התשלומים </w:t>
      </w:r>
      <w:r w:rsidR="00DC47C6">
        <w:rPr>
          <w:rFonts w:ascii="David" w:hAnsi="David" w:cs="David" w:hint="cs"/>
          <w:sz w:val="24"/>
          <w:szCs w:val="24"/>
          <w:rtl/>
        </w:rPr>
        <w:t>ככל שיתברר שלא ניתן ליישמם או שאינם אפקטיביים</w:t>
      </w:r>
      <w:r>
        <w:rPr>
          <w:rFonts w:ascii="David" w:hAnsi="David" w:cs="David" w:hint="cs"/>
          <w:sz w:val="24"/>
          <w:szCs w:val="24"/>
          <w:rtl/>
        </w:rPr>
        <w:t>.</w:t>
      </w:r>
    </w:p>
    <w:p w:rsidR="0061410A" w:rsidRPr="00A56F7C" w:rsidRDefault="0061410A" w:rsidP="00167E7E">
      <w:pPr>
        <w:spacing w:after="0" w:line="360" w:lineRule="auto"/>
        <w:jc w:val="both"/>
        <w:rPr>
          <w:rFonts w:ascii="David" w:hAnsi="David" w:cs="David"/>
          <w:sz w:val="24"/>
          <w:szCs w:val="24"/>
        </w:rPr>
      </w:pPr>
    </w:p>
    <w:p w:rsidR="0061410A" w:rsidRPr="0061410A" w:rsidRDefault="0061410A" w:rsidP="00981E26">
      <w:pPr>
        <w:spacing w:line="360" w:lineRule="auto"/>
      </w:pPr>
      <w:r>
        <w:rPr>
          <w:rFonts w:ascii="David" w:hAnsi="David" w:cs="David" w:hint="cs"/>
          <w:b/>
          <w:bCs/>
          <w:sz w:val="24"/>
          <w:szCs w:val="24"/>
          <w:rtl/>
        </w:rPr>
        <w:t>לאחר עמידה בתנאי</w:t>
      </w:r>
      <w:r w:rsidR="00044890">
        <w:rPr>
          <w:rFonts w:ascii="David" w:hAnsi="David" w:cs="David" w:hint="cs"/>
          <w:b/>
          <w:bCs/>
          <w:sz w:val="24"/>
          <w:szCs w:val="24"/>
          <w:rtl/>
        </w:rPr>
        <w:t>ם</w:t>
      </w:r>
      <w:r w:rsidR="000E287F">
        <w:rPr>
          <w:rFonts w:ascii="David" w:hAnsi="David" w:cs="David" w:hint="cs"/>
          <w:b/>
          <w:bCs/>
          <w:sz w:val="24"/>
          <w:szCs w:val="24"/>
          <w:rtl/>
        </w:rPr>
        <w:t xml:space="preserve"> להשתתפות</w:t>
      </w:r>
      <w:r>
        <w:rPr>
          <w:rFonts w:ascii="David" w:hAnsi="David" w:cs="David" w:hint="cs"/>
          <w:b/>
          <w:bCs/>
          <w:sz w:val="24"/>
          <w:szCs w:val="24"/>
          <w:rtl/>
        </w:rPr>
        <w:t xml:space="preserve"> </w:t>
      </w:r>
      <w:r w:rsidR="000E287F">
        <w:rPr>
          <w:rFonts w:ascii="David" w:hAnsi="David" w:cs="David" w:hint="cs"/>
          <w:b/>
          <w:bCs/>
          <w:sz w:val="24"/>
          <w:szCs w:val="24"/>
          <w:rtl/>
        </w:rPr>
        <w:t>ב</w:t>
      </w:r>
      <w:r>
        <w:rPr>
          <w:rFonts w:ascii="David" w:hAnsi="David" w:cs="David" w:hint="cs"/>
          <w:b/>
          <w:bCs/>
          <w:sz w:val="24"/>
          <w:szCs w:val="24"/>
          <w:rtl/>
        </w:rPr>
        <w:t xml:space="preserve">מסלול החיבור תועבר הבקשה לאישור </w:t>
      </w:r>
      <w:r w:rsidR="002F1891">
        <w:rPr>
          <w:rFonts w:ascii="David" w:hAnsi="David" w:cs="David" w:hint="cs"/>
          <w:b/>
          <w:bCs/>
          <w:sz w:val="24"/>
          <w:szCs w:val="24"/>
          <w:rtl/>
        </w:rPr>
        <w:t>נגיד בנק ישראל</w:t>
      </w:r>
      <w:r w:rsidR="0021452E">
        <w:rPr>
          <w:rFonts w:ascii="David" w:hAnsi="David" w:cs="David" w:hint="cs"/>
          <w:b/>
          <w:bCs/>
          <w:sz w:val="24"/>
          <w:szCs w:val="24"/>
          <w:rtl/>
        </w:rPr>
        <w:t xml:space="preserve"> </w:t>
      </w:r>
      <w:r w:rsidR="0021452E" w:rsidRPr="00167E7E">
        <w:rPr>
          <w:rFonts w:ascii="David" w:hAnsi="David" w:cs="David" w:hint="eastAsia"/>
          <w:b/>
          <w:bCs/>
          <w:sz w:val="24"/>
          <w:szCs w:val="24"/>
          <w:rtl/>
        </w:rPr>
        <w:t>כתנאי</w:t>
      </w:r>
      <w:r w:rsidR="0021452E" w:rsidRPr="00167E7E">
        <w:rPr>
          <w:rFonts w:ascii="David" w:hAnsi="David" w:cs="David"/>
          <w:b/>
          <w:bCs/>
          <w:sz w:val="24"/>
          <w:szCs w:val="24"/>
          <w:rtl/>
        </w:rPr>
        <w:t xml:space="preserve"> </w:t>
      </w:r>
      <w:r w:rsidR="0021452E" w:rsidRPr="00167E7E">
        <w:rPr>
          <w:rFonts w:ascii="David" w:hAnsi="David" w:cs="David" w:hint="eastAsia"/>
          <w:b/>
          <w:bCs/>
          <w:sz w:val="24"/>
          <w:szCs w:val="24"/>
          <w:rtl/>
        </w:rPr>
        <w:t>סופי</w:t>
      </w:r>
      <w:r w:rsidR="0021452E" w:rsidRPr="00167E7E">
        <w:rPr>
          <w:rFonts w:ascii="David" w:hAnsi="David" w:cs="David"/>
          <w:b/>
          <w:bCs/>
          <w:sz w:val="24"/>
          <w:szCs w:val="24"/>
          <w:rtl/>
        </w:rPr>
        <w:t xml:space="preserve"> </w:t>
      </w:r>
      <w:r w:rsidR="0021452E" w:rsidRPr="00167E7E">
        <w:rPr>
          <w:rFonts w:ascii="David" w:hAnsi="David" w:cs="David" w:hint="eastAsia"/>
          <w:b/>
          <w:bCs/>
          <w:sz w:val="24"/>
          <w:szCs w:val="24"/>
          <w:rtl/>
        </w:rPr>
        <w:t>לפני</w:t>
      </w:r>
      <w:r w:rsidR="0021452E" w:rsidRPr="00167E7E">
        <w:rPr>
          <w:rFonts w:ascii="David" w:hAnsi="David" w:cs="David"/>
          <w:b/>
          <w:bCs/>
          <w:sz w:val="24"/>
          <w:szCs w:val="24"/>
          <w:rtl/>
        </w:rPr>
        <w:t xml:space="preserve"> </w:t>
      </w:r>
      <w:r w:rsidR="00822976">
        <w:rPr>
          <w:rFonts w:ascii="David" w:hAnsi="David" w:cs="David" w:hint="cs"/>
          <w:b/>
          <w:bCs/>
          <w:sz w:val="24"/>
          <w:szCs w:val="24"/>
          <w:rtl/>
        </w:rPr>
        <w:t>החיבור</w:t>
      </w:r>
      <w:r>
        <w:rPr>
          <w:rFonts w:ascii="David" w:hAnsi="David" w:cs="David" w:hint="cs"/>
          <w:sz w:val="24"/>
          <w:szCs w:val="24"/>
          <w:rtl/>
        </w:rPr>
        <w:t>.</w:t>
      </w:r>
    </w:p>
    <w:sectPr w:rsidR="0061410A" w:rsidRPr="0061410A" w:rsidSect="003E408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A0" w:rsidRDefault="008637A0" w:rsidP="0061410A">
      <w:pPr>
        <w:spacing w:after="0" w:line="240" w:lineRule="auto"/>
      </w:pPr>
      <w:r>
        <w:separator/>
      </w:r>
    </w:p>
  </w:endnote>
  <w:endnote w:type="continuationSeparator" w:id="0">
    <w:p w:rsidR="008637A0" w:rsidRDefault="008637A0" w:rsidP="0061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B" w:rsidRDefault="0059473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B" w:rsidRDefault="0059473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B" w:rsidRDefault="0059473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A0" w:rsidRDefault="008637A0" w:rsidP="0061410A">
      <w:pPr>
        <w:spacing w:after="0" w:line="240" w:lineRule="auto"/>
      </w:pPr>
      <w:r>
        <w:separator/>
      </w:r>
    </w:p>
  </w:footnote>
  <w:footnote w:type="continuationSeparator" w:id="0">
    <w:p w:rsidR="008637A0" w:rsidRDefault="008637A0" w:rsidP="0061410A">
      <w:pPr>
        <w:spacing w:after="0" w:line="240" w:lineRule="auto"/>
      </w:pPr>
      <w:r>
        <w:continuationSeparator/>
      </w:r>
    </w:p>
  </w:footnote>
  <w:footnote w:id="1">
    <w:p w:rsidR="006056D0" w:rsidRPr="00D95461" w:rsidRDefault="006056D0" w:rsidP="00167E7E">
      <w:pPr>
        <w:pStyle w:val="a5"/>
        <w:jc w:val="both"/>
        <w:rPr>
          <w:rFonts w:ascii="David" w:hAnsi="David" w:cs="David"/>
        </w:rPr>
      </w:pPr>
      <w:r w:rsidRPr="00D95461">
        <w:rPr>
          <w:rStyle w:val="a6"/>
          <w:rFonts w:ascii="David" w:hAnsi="David" w:cs="David"/>
        </w:rPr>
        <w:footnoteRef/>
      </w:r>
      <w:r w:rsidRPr="00D95461">
        <w:rPr>
          <w:rFonts w:ascii="David" w:hAnsi="David" w:cs="David"/>
          <w:rtl/>
        </w:rPr>
        <w:t xml:space="preserve"> </w:t>
      </w:r>
      <w:r w:rsidR="00A65F34">
        <w:rPr>
          <w:rFonts w:ascii="David" w:hAnsi="David" w:cs="David" w:hint="cs"/>
          <w:rtl/>
        </w:rPr>
        <w:t>כמוגדר בתקנות</w:t>
      </w:r>
      <w:r w:rsidR="002370D9">
        <w:rPr>
          <w:rFonts w:ascii="David" w:hAnsi="David" w:cs="David" w:hint="cs"/>
          <w:rtl/>
        </w:rPr>
        <w:t xml:space="preserve"> שר האוצר</w:t>
      </w:r>
      <w:r w:rsidR="00A65F34">
        <w:rPr>
          <w:rFonts w:ascii="David" w:hAnsi="David" w:cs="David" w:hint="cs"/>
          <w:rtl/>
        </w:rPr>
        <w:t>: בריטניה,</w:t>
      </w:r>
      <w:r w:rsidRPr="00D95461">
        <w:rPr>
          <w:rFonts w:ascii="David" w:hAnsi="David" w:cs="David"/>
          <w:rtl/>
        </w:rPr>
        <w:t xml:space="preserve"> </w:t>
      </w:r>
      <w:r w:rsidR="002370D9">
        <w:rPr>
          <w:rFonts w:ascii="David" w:hAnsi="David" w:cs="David" w:hint="cs"/>
          <w:rtl/>
        </w:rPr>
        <w:t xml:space="preserve">מדינות </w:t>
      </w:r>
      <w:r w:rsidR="00772F72">
        <w:rPr>
          <w:rFonts w:ascii="David" w:hAnsi="David" w:cs="David" w:hint="cs"/>
          <w:rtl/>
        </w:rPr>
        <w:t>ה</w:t>
      </w:r>
      <w:r w:rsidRPr="00D95461">
        <w:rPr>
          <w:rFonts w:ascii="David" w:hAnsi="David" w:cs="David"/>
          <w:rtl/>
        </w:rPr>
        <w:t xml:space="preserve">איחוד </w:t>
      </w:r>
      <w:r w:rsidR="00772F72">
        <w:rPr>
          <w:rFonts w:ascii="David" w:hAnsi="David" w:cs="David" w:hint="cs"/>
          <w:rtl/>
        </w:rPr>
        <w:t>ה</w:t>
      </w:r>
      <w:r w:rsidRPr="00D95461">
        <w:rPr>
          <w:rFonts w:ascii="David" w:hAnsi="David" w:cs="David"/>
          <w:rtl/>
        </w:rPr>
        <w:t>אירופי</w:t>
      </w:r>
      <w:r w:rsidR="007E1C16" w:rsidRPr="00D95461">
        <w:rPr>
          <w:rFonts w:ascii="David" w:hAnsi="David" w:cs="David"/>
          <w:rtl/>
        </w:rPr>
        <w:t xml:space="preserve"> או</w:t>
      </w:r>
      <w:r w:rsidRPr="00D95461">
        <w:rPr>
          <w:rFonts w:ascii="David" w:hAnsi="David" w:cs="David"/>
          <w:rtl/>
        </w:rPr>
        <w:t xml:space="preserve"> ארה"ב.</w:t>
      </w:r>
    </w:p>
  </w:footnote>
  <w:footnote w:id="2">
    <w:p w:rsidR="0069282E" w:rsidRPr="0069282E" w:rsidRDefault="0069282E" w:rsidP="00167E7E">
      <w:pPr>
        <w:pStyle w:val="a5"/>
        <w:jc w:val="both"/>
        <w:rPr>
          <w:rFonts w:ascii="David" w:hAnsi="David" w:cs="David"/>
          <w:rtl/>
        </w:rPr>
      </w:pPr>
      <w:r w:rsidRPr="0069282E">
        <w:rPr>
          <w:rStyle w:val="a6"/>
          <w:rFonts w:ascii="David" w:hAnsi="David" w:cs="David"/>
        </w:rPr>
        <w:footnoteRef/>
      </w:r>
      <w:r w:rsidRPr="0069282E">
        <w:rPr>
          <w:rFonts w:ascii="David" w:hAnsi="David" w:cs="David"/>
          <w:rtl/>
        </w:rPr>
        <w:t xml:space="preserve"> סעיף 3 (7) לתקנות הפיקוח על שירותים פיננסיים (שירותים פיננסיים מוסדרים) </w:t>
      </w:r>
      <w:r>
        <w:rPr>
          <w:rFonts w:ascii="David" w:hAnsi="David" w:cs="David"/>
          <w:rtl/>
        </w:rPr>
        <w:t xml:space="preserve">(פטור מחובת רישוי), </w:t>
      </w:r>
      <w:r w:rsidR="00772F72">
        <w:rPr>
          <w:rFonts w:ascii="David" w:hAnsi="David" w:cs="David"/>
          <w:rtl/>
        </w:rPr>
        <w:t>התש</w:t>
      </w:r>
      <w:r w:rsidR="00772F72">
        <w:rPr>
          <w:rFonts w:ascii="David" w:hAnsi="David" w:cs="David" w:hint="cs"/>
          <w:rtl/>
        </w:rPr>
        <w:t>פ</w:t>
      </w:r>
      <w:r>
        <w:rPr>
          <w:rFonts w:ascii="David" w:hAnsi="David" w:cs="David"/>
          <w:rtl/>
        </w:rPr>
        <w:t>"ג-2022</w:t>
      </w:r>
      <w:r>
        <w:rPr>
          <w:rFonts w:ascii="David" w:hAnsi="David" w:cs="David" w:hint="cs"/>
          <w:rtl/>
        </w:rPr>
        <w:t xml:space="preserve"> אשר נכון להיום בתוקף עד 1.1.24.</w:t>
      </w:r>
    </w:p>
  </w:footnote>
  <w:footnote w:id="3">
    <w:p w:rsidR="0061410A" w:rsidRPr="0069282E" w:rsidRDefault="0061410A" w:rsidP="00167E7E">
      <w:pPr>
        <w:pStyle w:val="a5"/>
        <w:jc w:val="both"/>
        <w:rPr>
          <w:rFonts w:ascii="David" w:hAnsi="David" w:cs="David"/>
        </w:rPr>
      </w:pPr>
      <w:r w:rsidRPr="0069282E">
        <w:rPr>
          <w:rStyle w:val="a6"/>
          <w:rFonts w:ascii="David" w:hAnsi="David" w:cs="David"/>
        </w:rPr>
        <w:footnoteRef/>
      </w:r>
      <w:r w:rsidRPr="0069282E">
        <w:rPr>
          <w:rFonts w:ascii="David" w:hAnsi="David" w:cs="David"/>
          <w:rtl/>
        </w:rPr>
        <w:t xml:space="preserve"> הפנייה יכולה להיעשות, בין היתר, באמצעות דואר אלקטרוני - </w:t>
      </w:r>
      <w:hyperlink r:id="rId1" w:history="1">
        <w:r w:rsidRPr="0069282E">
          <w:rPr>
            <w:rStyle w:val="Hyperlink"/>
            <w:rFonts w:ascii="David" w:hAnsi="David" w:cs="David"/>
          </w:rPr>
          <w:t>payments-oversight@boi.org.il</w:t>
        </w:r>
      </w:hyperlink>
      <w:r w:rsidRPr="0069282E">
        <w:rPr>
          <w:rFonts w:ascii="David" w:hAnsi="David" w:cs="David"/>
          <w:rtl/>
        </w:rPr>
        <w:t>.</w:t>
      </w:r>
    </w:p>
  </w:footnote>
  <w:footnote w:id="4">
    <w:p w:rsidR="0021452E" w:rsidRPr="00A65F34" w:rsidRDefault="0021452E" w:rsidP="00596C99">
      <w:pPr>
        <w:pStyle w:val="a5"/>
        <w:jc w:val="both"/>
        <w:rPr>
          <w:rFonts w:ascii="David" w:hAnsi="David" w:cs="David"/>
          <w:rtl/>
        </w:rPr>
      </w:pPr>
      <w:r>
        <w:rPr>
          <w:rStyle w:val="a6"/>
        </w:rPr>
        <w:footnoteRef/>
      </w:r>
      <w:r>
        <w:rPr>
          <w:rtl/>
        </w:rPr>
        <w:t xml:space="preserve"> </w:t>
      </w:r>
      <w:r w:rsidRPr="00A65F34">
        <w:rPr>
          <w:rFonts w:ascii="David" w:hAnsi="David" w:cs="David"/>
          <w:rtl/>
        </w:rPr>
        <w:t xml:space="preserve">מערכת זה"ב המופעלת על-ידי בנק ישראל, </w:t>
      </w:r>
      <w:r w:rsidR="00253FC7">
        <w:rPr>
          <w:rFonts w:ascii="David" w:hAnsi="David" w:cs="David" w:hint="cs"/>
          <w:rtl/>
        </w:rPr>
        <w:t xml:space="preserve">מערכות המופעלות ע"י חברת שבא: </w:t>
      </w:r>
      <w:r w:rsidR="00253FC7" w:rsidRPr="00253FC7">
        <w:rPr>
          <w:rFonts w:ascii="David" w:hAnsi="David" w:cs="David"/>
          <w:rtl/>
        </w:rPr>
        <w:t>מערכת "</w:t>
      </w:r>
      <w:r w:rsidR="00596C99">
        <w:rPr>
          <w:rFonts w:ascii="David" w:hAnsi="David" w:cs="David" w:hint="cs"/>
          <w:rtl/>
        </w:rPr>
        <w:t>שירותים בכרטיסי חיוב</w:t>
      </w:r>
      <w:r w:rsidR="00253FC7" w:rsidRPr="00253FC7">
        <w:rPr>
          <w:rFonts w:ascii="David" w:hAnsi="David" w:cs="David"/>
          <w:rtl/>
        </w:rPr>
        <w:t>" ומערכת "מיתוג"</w:t>
      </w:r>
      <w:r w:rsidR="00253FC7" w:rsidRPr="00253FC7">
        <w:rPr>
          <w:rFonts w:ascii="David" w:hAnsi="David" w:cs="David"/>
        </w:rPr>
        <w:t>ATM</w:t>
      </w:r>
      <w:r w:rsidR="00253FC7">
        <w:rPr>
          <w:rFonts w:ascii="David" w:hAnsi="David" w:cs="David"/>
        </w:rPr>
        <w:t xml:space="preserve"> </w:t>
      </w:r>
      <w:r w:rsidR="00253FC7" w:rsidRPr="00253FC7">
        <w:rPr>
          <w:rFonts w:ascii="David" w:hAnsi="David" w:cs="David"/>
          <w:rtl/>
        </w:rPr>
        <w:t xml:space="preserve">  </w:t>
      </w:r>
      <w:r w:rsidR="00253FC7">
        <w:rPr>
          <w:rFonts w:ascii="David" w:hAnsi="David" w:cs="David" w:hint="cs"/>
          <w:rtl/>
        </w:rPr>
        <w:t xml:space="preserve">ומערכות המופעלות על ידי </w:t>
      </w:r>
      <w:proofErr w:type="spellStart"/>
      <w:r w:rsidR="00253FC7">
        <w:rPr>
          <w:rFonts w:ascii="David" w:hAnsi="David" w:cs="David" w:hint="cs"/>
          <w:rtl/>
        </w:rPr>
        <w:t>מס"ב</w:t>
      </w:r>
      <w:proofErr w:type="spellEnd"/>
      <w:r w:rsidR="00253FC7">
        <w:rPr>
          <w:rFonts w:ascii="David" w:hAnsi="David" w:cs="David" w:hint="cs"/>
          <w:rtl/>
        </w:rPr>
        <w:t>:</w:t>
      </w:r>
      <w:r w:rsidR="00253FC7" w:rsidRPr="00253FC7">
        <w:rPr>
          <w:rFonts w:ascii="David" w:hAnsi="David" w:cs="David"/>
          <w:rtl/>
        </w:rPr>
        <w:t xml:space="preserve"> "חיובים, זיכויים והעברות תשלומים (אצווה)" ו</w:t>
      </w:r>
      <w:r w:rsidR="00253FC7">
        <w:rPr>
          <w:rFonts w:ascii="David" w:hAnsi="David" w:cs="David" w:hint="cs"/>
          <w:rtl/>
        </w:rPr>
        <w:t>-</w:t>
      </w:r>
      <w:r w:rsidR="00253FC7" w:rsidRPr="00253FC7">
        <w:rPr>
          <w:rFonts w:ascii="David" w:hAnsi="David" w:cs="David"/>
          <w:rtl/>
        </w:rPr>
        <w:t xml:space="preserve"> "תשלומים מידיים (און ליין)</w:t>
      </w:r>
      <w:r w:rsidR="00253FC7">
        <w:rPr>
          <w:rFonts w:ascii="David" w:hAnsi="David" w:cs="David" w:hint="cs"/>
          <w:rtl/>
        </w:rPr>
        <w:t>".</w:t>
      </w:r>
    </w:p>
  </w:footnote>
  <w:footnote w:id="5">
    <w:p w:rsidR="00F445F3" w:rsidRPr="00A65F34" w:rsidRDefault="00F445F3" w:rsidP="00A65F34">
      <w:pPr>
        <w:pStyle w:val="a5"/>
        <w:jc w:val="both"/>
        <w:rPr>
          <w:rFonts w:ascii="David" w:hAnsi="David" w:cs="David"/>
        </w:rPr>
      </w:pPr>
      <w:r w:rsidRPr="00A65F34">
        <w:rPr>
          <w:rStyle w:val="a6"/>
          <w:rFonts w:ascii="David" w:hAnsi="David" w:cs="David"/>
        </w:rPr>
        <w:footnoteRef/>
      </w:r>
      <w:r w:rsidRPr="00A65F34">
        <w:rPr>
          <w:rFonts w:ascii="David" w:hAnsi="David" w:cs="David"/>
          <w:rtl/>
        </w:rPr>
        <w:t xml:space="preserve"> סעיף 3 (7) לתקנות הפיקוח על שירותים פיננסיים (שירותים פיננסיים מוסדרים) (פטור מחובת רישוי), התש</w:t>
      </w:r>
      <w:r w:rsidR="00772F72" w:rsidRPr="00A65F34">
        <w:rPr>
          <w:rFonts w:ascii="David" w:hAnsi="David" w:cs="David"/>
          <w:rtl/>
        </w:rPr>
        <w:t>פ</w:t>
      </w:r>
      <w:r w:rsidRPr="00A65F34">
        <w:rPr>
          <w:rFonts w:ascii="David" w:hAnsi="David" w:cs="David"/>
          <w:rtl/>
        </w:rPr>
        <w:t>"ג-2022 אשר נכון להיום בתוקף עד 1.1.24.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B" w:rsidRDefault="005947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B" w:rsidRDefault="0059473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B" w:rsidRDefault="0059473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861"/>
    <w:multiLevelType w:val="hybridMultilevel"/>
    <w:tmpl w:val="4A003D3C"/>
    <w:lvl w:ilvl="0" w:tplc="04090001">
      <w:start w:val="1"/>
      <w:numFmt w:val="bullet"/>
      <w:lvlText w:val=""/>
      <w:lvlJc w:val="left"/>
      <w:pPr>
        <w:ind w:left="1080" w:hanging="360"/>
      </w:pPr>
      <w:rPr>
        <w:rFonts w:ascii="Symbol" w:hAnsi="Symbol" w:hint="default"/>
      </w:rPr>
    </w:lvl>
    <w:lvl w:ilvl="1" w:tplc="EFD45550">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0635C"/>
    <w:multiLevelType w:val="hybridMultilevel"/>
    <w:tmpl w:val="2A62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671685"/>
    <w:multiLevelType w:val="hybridMultilevel"/>
    <w:tmpl w:val="1EB0945E"/>
    <w:lvl w:ilvl="0" w:tplc="EFD455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0A"/>
    <w:rsid w:val="00007E65"/>
    <w:rsid w:val="00013622"/>
    <w:rsid w:val="00013E8F"/>
    <w:rsid w:val="00016E2C"/>
    <w:rsid w:val="00044890"/>
    <w:rsid w:val="0005097D"/>
    <w:rsid w:val="00060143"/>
    <w:rsid w:val="000775B9"/>
    <w:rsid w:val="00082BAC"/>
    <w:rsid w:val="00084208"/>
    <w:rsid w:val="00087D7C"/>
    <w:rsid w:val="000A348F"/>
    <w:rsid w:val="000B1615"/>
    <w:rsid w:val="000B19A8"/>
    <w:rsid w:val="000C7808"/>
    <w:rsid w:val="000D5196"/>
    <w:rsid w:val="000E287F"/>
    <w:rsid w:val="000E6217"/>
    <w:rsid w:val="000E7D80"/>
    <w:rsid w:val="000F07F0"/>
    <w:rsid w:val="000F6B7C"/>
    <w:rsid w:val="00101168"/>
    <w:rsid w:val="001278BD"/>
    <w:rsid w:val="00142BD4"/>
    <w:rsid w:val="00144554"/>
    <w:rsid w:val="0015221C"/>
    <w:rsid w:val="00167E7E"/>
    <w:rsid w:val="001A066F"/>
    <w:rsid w:val="001A677D"/>
    <w:rsid w:val="00201EA1"/>
    <w:rsid w:val="00202691"/>
    <w:rsid w:val="0021452E"/>
    <w:rsid w:val="00221C75"/>
    <w:rsid w:val="002370D9"/>
    <w:rsid w:val="00253FC7"/>
    <w:rsid w:val="00280E75"/>
    <w:rsid w:val="00292F1F"/>
    <w:rsid w:val="002B0DB2"/>
    <w:rsid w:val="002F1891"/>
    <w:rsid w:val="002F2FB3"/>
    <w:rsid w:val="00304A0F"/>
    <w:rsid w:val="003160CB"/>
    <w:rsid w:val="003227E6"/>
    <w:rsid w:val="00336B05"/>
    <w:rsid w:val="00355909"/>
    <w:rsid w:val="00356713"/>
    <w:rsid w:val="003625F5"/>
    <w:rsid w:val="00383E34"/>
    <w:rsid w:val="0039022D"/>
    <w:rsid w:val="003A2E1B"/>
    <w:rsid w:val="003C3A0B"/>
    <w:rsid w:val="003E408D"/>
    <w:rsid w:val="00435677"/>
    <w:rsid w:val="004503CD"/>
    <w:rsid w:val="004738F7"/>
    <w:rsid w:val="004B1F75"/>
    <w:rsid w:val="004B480E"/>
    <w:rsid w:val="004B782A"/>
    <w:rsid w:val="004D3E3C"/>
    <w:rsid w:val="00507D7D"/>
    <w:rsid w:val="00510DC8"/>
    <w:rsid w:val="00521061"/>
    <w:rsid w:val="005223BD"/>
    <w:rsid w:val="00525BAE"/>
    <w:rsid w:val="00564849"/>
    <w:rsid w:val="00582993"/>
    <w:rsid w:val="005921C8"/>
    <w:rsid w:val="0059473B"/>
    <w:rsid w:val="00596C99"/>
    <w:rsid w:val="005A0268"/>
    <w:rsid w:val="005A13BB"/>
    <w:rsid w:val="005B0BF1"/>
    <w:rsid w:val="005E2572"/>
    <w:rsid w:val="006056D0"/>
    <w:rsid w:val="0061410A"/>
    <w:rsid w:val="0061692A"/>
    <w:rsid w:val="00622039"/>
    <w:rsid w:val="0064164F"/>
    <w:rsid w:val="00652F49"/>
    <w:rsid w:val="006532AE"/>
    <w:rsid w:val="00657BBF"/>
    <w:rsid w:val="00670A2C"/>
    <w:rsid w:val="0067668C"/>
    <w:rsid w:val="0069076D"/>
    <w:rsid w:val="0069282E"/>
    <w:rsid w:val="006A6A69"/>
    <w:rsid w:val="006F34E2"/>
    <w:rsid w:val="0071370F"/>
    <w:rsid w:val="00725B1F"/>
    <w:rsid w:val="00766BEC"/>
    <w:rsid w:val="00772765"/>
    <w:rsid w:val="00772F72"/>
    <w:rsid w:val="007937E8"/>
    <w:rsid w:val="007C6036"/>
    <w:rsid w:val="007E0B24"/>
    <w:rsid w:val="007E1C16"/>
    <w:rsid w:val="0080682D"/>
    <w:rsid w:val="00814972"/>
    <w:rsid w:val="00822976"/>
    <w:rsid w:val="00827589"/>
    <w:rsid w:val="0083435C"/>
    <w:rsid w:val="00857D65"/>
    <w:rsid w:val="008637A0"/>
    <w:rsid w:val="00891017"/>
    <w:rsid w:val="008A0CA0"/>
    <w:rsid w:val="008B6043"/>
    <w:rsid w:val="008E62C5"/>
    <w:rsid w:val="00902984"/>
    <w:rsid w:val="00926396"/>
    <w:rsid w:val="00927665"/>
    <w:rsid w:val="00931FE4"/>
    <w:rsid w:val="00943E3F"/>
    <w:rsid w:val="0095145C"/>
    <w:rsid w:val="00962EA5"/>
    <w:rsid w:val="0096632E"/>
    <w:rsid w:val="0096659B"/>
    <w:rsid w:val="00981E26"/>
    <w:rsid w:val="0098358C"/>
    <w:rsid w:val="00996DE6"/>
    <w:rsid w:val="009F05C0"/>
    <w:rsid w:val="009F4E1B"/>
    <w:rsid w:val="00A1449A"/>
    <w:rsid w:val="00A50280"/>
    <w:rsid w:val="00A65F34"/>
    <w:rsid w:val="00A75A56"/>
    <w:rsid w:val="00A802E0"/>
    <w:rsid w:val="00AC6C13"/>
    <w:rsid w:val="00AD14EC"/>
    <w:rsid w:val="00BB247D"/>
    <w:rsid w:val="00BD3079"/>
    <w:rsid w:val="00BD50B7"/>
    <w:rsid w:val="00BD578B"/>
    <w:rsid w:val="00BD6316"/>
    <w:rsid w:val="00BF2EA2"/>
    <w:rsid w:val="00C000AF"/>
    <w:rsid w:val="00C00F7C"/>
    <w:rsid w:val="00C1119B"/>
    <w:rsid w:val="00C66152"/>
    <w:rsid w:val="00C747FA"/>
    <w:rsid w:val="00C82AD3"/>
    <w:rsid w:val="00C924B7"/>
    <w:rsid w:val="00CA686F"/>
    <w:rsid w:val="00CB4969"/>
    <w:rsid w:val="00CD3E90"/>
    <w:rsid w:val="00CE5344"/>
    <w:rsid w:val="00D0712D"/>
    <w:rsid w:val="00D10EA6"/>
    <w:rsid w:val="00D242D1"/>
    <w:rsid w:val="00D24C2C"/>
    <w:rsid w:val="00D35948"/>
    <w:rsid w:val="00D46F19"/>
    <w:rsid w:val="00D5273E"/>
    <w:rsid w:val="00D87A81"/>
    <w:rsid w:val="00D95461"/>
    <w:rsid w:val="00DA78FF"/>
    <w:rsid w:val="00DC47C6"/>
    <w:rsid w:val="00DD1CBF"/>
    <w:rsid w:val="00DF6FEF"/>
    <w:rsid w:val="00E40E5A"/>
    <w:rsid w:val="00E42FCD"/>
    <w:rsid w:val="00E56CA7"/>
    <w:rsid w:val="00E627B0"/>
    <w:rsid w:val="00E64955"/>
    <w:rsid w:val="00ED468B"/>
    <w:rsid w:val="00EF0848"/>
    <w:rsid w:val="00EF3788"/>
    <w:rsid w:val="00F35DC7"/>
    <w:rsid w:val="00F43F3C"/>
    <w:rsid w:val="00F445F3"/>
    <w:rsid w:val="00F52236"/>
    <w:rsid w:val="00F95BB5"/>
    <w:rsid w:val="00F96647"/>
    <w:rsid w:val="00FA13E7"/>
    <w:rsid w:val="00FB2DC3"/>
    <w:rsid w:val="00FC29C8"/>
    <w:rsid w:val="00FD0B4C"/>
    <w:rsid w:val="00FE61F6"/>
    <w:rsid w:val="00FE6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D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1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0A"/>
    <w:pPr>
      <w:ind w:left="720"/>
      <w:contextualSpacing/>
    </w:pPr>
  </w:style>
  <w:style w:type="character" w:styleId="Hyperlink">
    <w:name w:val="Hyperlink"/>
    <w:basedOn w:val="a0"/>
    <w:uiPriority w:val="99"/>
    <w:unhideWhenUsed/>
    <w:rsid w:val="0061410A"/>
    <w:rPr>
      <w:color w:val="0563C1" w:themeColor="hyperlink"/>
      <w:u w:val="single"/>
    </w:rPr>
  </w:style>
  <w:style w:type="character" w:customStyle="1" w:styleId="a4">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5"/>
    <w:semiHidden/>
    <w:locked/>
    <w:rsid w:val="0061410A"/>
    <w:rPr>
      <w:rFonts w:ascii="Times New Roman" w:eastAsia="Times New Roman" w:hAnsi="Times New Roman" w:cs="Times New Roman"/>
      <w:sz w:val="20"/>
      <w:szCs w:val="20"/>
    </w:rPr>
  </w:style>
  <w:style w:type="paragraph" w:styleId="a5">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4"/>
    <w:semiHidden/>
    <w:unhideWhenUsed/>
    <w:rsid w:val="0061410A"/>
    <w:pPr>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61410A"/>
    <w:rPr>
      <w:sz w:val="20"/>
      <w:szCs w:val="20"/>
    </w:rPr>
  </w:style>
  <w:style w:type="character" w:styleId="a6">
    <w:name w:val="footnote reference"/>
    <w:semiHidden/>
    <w:unhideWhenUsed/>
    <w:rsid w:val="0061410A"/>
    <w:rPr>
      <w:vertAlign w:val="superscript"/>
    </w:rPr>
  </w:style>
  <w:style w:type="paragraph" w:styleId="a7">
    <w:name w:val="Balloon Text"/>
    <w:basedOn w:val="a"/>
    <w:link w:val="a8"/>
    <w:uiPriority w:val="99"/>
    <w:semiHidden/>
    <w:unhideWhenUsed/>
    <w:rsid w:val="0083435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3435C"/>
    <w:rPr>
      <w:rFonts w:ascii="Tahoma" w:hAnsi="Tahoma" w:cs="Tahoma"/>
      <w:sz w:val="18"/>
      <w:szCs w:val="18"/>
    </w:rPr>
  </w:style>
  <w:style w:type="character" w:styleId="a9">
    <w:name w:val="annotation reference"/>
    <w:basedOn w:val="a0"/>
    <w:uiPriority w:val="99"/>
    <w:semiHidden/>
    <w:unhideWhenUsed/>
    <w:rsid w:val="00670A2C"/>
    <w:rPr>
      <w:sz w:val="16"/>
      <w:szCs w:val="16"/>
    </w:rPr>
  </w:style>
  <w:style w:type="paragraph" w:styleId="aa">
    <w:name w:val="annotation text"/>
    <w:basedOn w:val="a"/>
    <w:link w:val="ab"/>
    <w:uiPriority w:val="99"/>
    <w:semiHidden/>
    <w:unhideWhenUsed/>
    <w:rsid w:val="00670A2C"/>
    <w:pPr>
      <w:spacing w:line="240" w:lineRule="auto"/>
    </w:pPr>
    <w:rPr>
      <w:sz w:val="20"/>
      <w:szCs w:val="20"/>
    </w:rPr>
  </w:style>
  <w:style w:type="character" w:customStyle="1" w:styleId="ab">
    <w:name w:val="טקסט הערה תו"/>
    <w:basedOn w:val="a0"/>
    <w:link w:val="aa"/>
    <w:uiPriority w:val="99"/>
    <w:semiHidden/>
    <w:rsid w:val="00670A2C"/>
    <w:rPr>
      <w:sz w:val="20"/>
      <w:szCs w:val="20"/>
    </w:rPr>
  </w:style>
  <w:style w:type="paragraph" w:styleId="ac">
    <w:name w:val="annotation subject"/>
    <w:basedOn w:val="aa"/>
    <w:next w:val="aa"/>
    <w:link w:val="ad"/>
    <w:uiPriority w:val="99"/>
    <w:semiHidden/>
    <w:unhideWhenUsed/>
    <w:rsid w:val="00670A2C"/>
    <w:rPr>
      <w:b/>
      <w:bCs/>
    </w:rPr>
  </w:style>
  <w:style w:type="character" w:customStyle="1" w:styleId="ad">
    <w:name w:val="נושא הערה תו"/>
    <w:basedOn w:val="ab"/>
    <w:link w:val="ac"/>
    <w:uiPriority w:val="99"/>
    <w:semiHidden/>
    <w:rsid w:val="00670A2C"/>
    <w:rPr>
      <w:b/>
      <w:bCs/>
      <w:sz w:val="20"/>
      <w:szCs w:val="20"/>
    </w:rPr>
  </w:style>
  <w:style w:type="paragraph" w:styleId="ae">
    <w:name w:val="header"/>
    <w:basedOn w:val="a"/>
    <w:link w:val="af"/>
    <w:uiPriority w:val="99"/>
    <w:unhideWhenUsed/>
    <w:rsid w:val="0059473B"/>
    <w:pPr>
      <w:tabs>
        <w:tab w:val="center" w:pos="4153"/>
        <w:tab w:val="right" w:pos="8306"/>
      </w:tabs>
      <w:spacing w:after="0" w:line="240" w:lineRule="auto"/>
    </w:pPr>
  </w:style>
  <w:style w:type="character" w:customStyle="1" w:styleId="af">
    <w:name w:val="כותרת עליונה תו"/>
    <w:basedOn w:val="a0"/>
    <w:link w:val="ae"/>
    <w:uiPriority w:val="99"/>
    <w:rsid w:val="0059473B"/>
  </w:style>
  <w:style w:type="paragraph" w:styleId="af0">
    <w:name w:val="footer"/>
    <w:basedOn w:val="a"/>
    <w:link w:val="af1"/>
    <w:uiPriority w:val="99"/>
    <w:unhideWhenUsed/>
    <w:rsid w:val="0059473B"/>
    <w:pPr>
      <w:tabs>
        <w:tab w:val="center" w:pos="4153"/>
        <w:tab w:val="right" w:pos="8306"/>
      </w:tabs>
      <w:spacing w:after="0" w:line="240" w:lineRule="auto"/>
    </w:pPr>
  </w:style>
  <w:style w:type="character" w:customStyle="1" w:styleId="af1">
    <w:name w:val="כותרת תחתונה תו"/>
    <w:basedOn w:val="a0"/>
    <w:link w:val="af0"/>
    <w:uiPriority w:val="99"/>
    <w:rsid w:val="0059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payments-oversight@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4E62-2AFE-415A-BBCE-EB430ABB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2410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2023-02-27T10:18:00Z</dcterms:created>
  <dcterms:modified xsi:type="dcterms:W3CDTF">2023-02-28T06:44:00Z</dcterms:modified>
</cp:coreProperties>
</file>