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8" w:rsidRPr="00A860B9" w:rsidRDefault="00A860B9" w:rsidP="00151D84">
      <w:pPr>
        <w:bidi w:val="0"/>
        <w:jc w:val="center"/>
        <w:rPr>
          <w:rFonts w:asciiTheme="minorHAnsi" w:hAnsiTheme="minorHAnsi" w:cstheme="minorHAnsi"/>
          <w:rtl/>
        </w:rPr>
      </w:pPr>
      <w:r w:rsidRPr="00A860B9">
        <w:rPr>
          <w:rFonts w:asciiTheme="minorHAnsi" w:hAnsiTheme="minorHAnsi" w:cstheme="minorHAnsi"/>
          <w:noProof/>
        </w:rPr>
        <w:drawing>
          <wp:inline distT="0" distB="0" distL="0" distR="0" wp14:anchorId="6F54CA5B" wp14:editId="22E3F78D">
            <wp:extent cx="1828800" cy="638175"/>
            <wp:effectExtent l="0" t="0" r="0" b="9525"/>
            <wp:docPr id="10" name="תמונה 1" descr="logo 70-eng"/>
            <wp:cNvGraphicFramePr/>
            <a:graphic xmlns:a="http://schemas.openxmlformats.org/drawingml/2006/main">
              <a:graphicData uri="http://schemas.openxmlformats.org/drawingml/2006/picture">
                <pic:pic xmlns:pic="http://schemas.openxmlformats.org/drawingml/2006/picture">
                  <pic:nvPicPr>
                    <pic:cNvPr id="10" name="תמונה 1" descr="logo 70-e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38175"/>
                    </a:xfrm>
                    <a:prstGeom prst="rect">
                      <a:avLst/>
                    </a:prstGeom>
                    <a:noFill/>
                    <a:ln>
                      <a:noFill/>
                    </a:ln>
                  </pic:spPr>
                </pic:pic>
              </a:graphicData>
            </a:graphic>
          </wp:inline>
        </w:drawing>
      </w:r>
    </w:p>
    <w:p w:rsidR="00760371" w:rsidRPr="00A860B9" w:rsidRDefault="00760371" w:rsidP="00151D84">
      <w:pPr>
        <w:pStyle w:val="regpar"/>
        <w:spacing w:line="300" w:lineRule="atLeast"/>
        <w:ind w:firstLine="0"/>
        <w:jc w:val="center"/>
        <w:rPr>
          <w:rFonts w:asciiTheme="minorHAnsi" w:hAnsiTheme="minorHAnsi" w:cstheme="minorHAnsi"/>
          <w:b/>
        </w:rPr>
      </w:pPr>
    </w:p>
    <w:p w:rsidR="00892A46" w:rsidRPr="00A860B9" w:rsidRDefault="00892A46" w:rsidP="00892A46">
      <w:pPr>
        <w:pStyle w:val="regpar"/>
        <w:spacing w:line="300" w:lineRule="atLeast"/>
        <w:ind w:firstLine="0"/>
        <w:jc w:val="center"/>
        <w:rPr>
          <w:rFonts w:asciiTheme="minorHAnsi" w:hAnsiTheme="minorHAnsi" w:cstheme="minorHAnsi"/>
          <w:b/>
        </w:rPr>
      </w:pPr>
      <w:r w:rsidRPr="00A860B9">
        <w:rPr>
          <w:rFonts w:asciiTheme="minorHAnsi" w:hAnsiTheme="minorHAnsi" w:cstheme="minorHAnsi"/>
          <w:b/>
        </w:rPr>
        <w:t>BANK OF ISRAEL</w:t>
      </w:r>
    </w:p>
    <w:p w:rsidR="00892A46" w:rsidRPr="00A860B9" w:rsidRDefault="00892A46" w:rsidP="00892A46">
      <w:pPr>
        <w:pStyle w:val="regpar"/>
        <w:spacing w:line="300" w:lineRule="atLeast"/>
        <w:ind w:firstLine="0"/>
        <w:jc w:val="center"/>
        <w:rPr>
          <w:rFonts w:asciiTheme="minorHAnsi" w:hAnsiTheme="minorHAnsi" w:cstheme="minorHAnsi"/>
          <w:b/>
        </w:rPr>
      </w:pPr>
      <w:r w:rsidRPr="00A860B9">
        <w:rPr>
          <w:rFonts w:asciiTheme="minorHAnsi" w:hAnsiTheme="minorHAnsi" w:cstheme="minorHAnsi"/>
        </w:rPr>
        <w:t>Office of the Spokesperson and Economic Information</w:t>
      </w:r>
    </w:p>
    <w:p w:rsidR="00892A46" w:rsidRPr="00A860B9" w:rsidRDefault="00892A46" w:rsidP="00892A46">
      <w:pPr>
        <w:bidi w:val="0"/>
        <w:jc w:val="center"/>
        <w:rPr>
          <w:rFonts w:asciiTheme="minorHAnsi" w:hAnsiTheme="minorHAnsi" w:cstheme="minorHAnsi"/>
          <w:b/>
          <w:bCs/>
        </w:rPr>
      </w:pPr>
    </w:p>
    <w:p w:rsidR="00892A46" w:rsidRPr="00A860B9" w:rsidRDefault="00892A46" w:rsidP="00892A46">
      <w:pPr>
        <w:bidi w:val="0"/>
        <w:jc w:val="right"/>
        <w:rPr>
          <w:rFonts w:asciiTheme="minorHAnsi" w:hAnsiTheme="minorHAnsi" w:cstheme="minorHAnsi"/>
        </w:rPr>
      </w:pPr>
    </w:p>
    <w:p w:rsidR="00892A46" w:rsidRPr="00A860B9" w:rsidRDefault="003F56DC" w:rsidP="00B6177E">
      <w:pPr>
        <w:bidi w:val="0"/>
        <w:rPr>
          <w:rFonts w:asciiTheme="minorHAnsi" w:hAnsiTheme="minorHAnsi" w:cstheme="minorHAnsi"/>
        </w:rPr>
      </w:pPr>
      <w:r w:rsidRPr="00A860B9">
        <w:rPr>
          <w:rFonts w:asciiTheme="minorHAnsi" w:hAnsiTheme="minorHAnsi" w:cstheme="minorHAnsi"/>
        </w:rPr>
        <w:t xml:space="preserve">March </w:t>
      </w:r>
      <w:r w:rsidR="00B6177E" w:rsidRPr="00A860B9">
        <w:rPr>
          <w:rFonts w:asciiTheme="minorHAnsi" w:hAnsiTheme="minorHAnsi" w:cstheme="minorHAnsi"/>
        </w:rPr>
        <w:t>31</w:t>
      </w:r>
      <w:r w:rsidRPr="00A860B9">
        <w:rPr>
          <w:rFonts w:asciiTheme="minorHAnsi" w:hAnsiTheme="minorHAnsi" w:cstheme="minorHAnsi"/>
        </w:rPr>
        <w:t>, 20</w:t>
      </w:r>
      <w:r w:rsidR="00B6177E" w:rsidRPr="00A860B9">
        <w:rPr>
          <w:rFonts w:asciiTheme="minorHAnsi" w:hAnsiTheme="minorHAnsi" w:cstheme="minorHAnsi"/>
        </w:rPr>
        <w:t>25</w:t>
      </w:r>
    </w:p>
    <w:p w:rsidR="00892A46" w:rsidRPr="00A860B9" w:rsidRDefault="00892A46" w:rsidP="00892A46">
      <w:pPr>
        <w:tabs>
          <w:tab w:val="center" w:pos="4156"/>
          <w:tab w:val="right" w:pos="8312"/>
        </w:tabs>
        <w:bidi w:val="0"/>
        <w:jc w:val="center"/>
        <w:rPr>
          <w:rFonts w:asciiTheme="minorHAnsi" w:hAnsiTheme="minorHAnsi" w:cstheme="minorHAnsi"/>
        </w:rPr>
      </w:pPr>
    </w:p>
    <w:p w:rsidR="00892A46" w:rsidRPr="00A860B9" w:rsidRDefault="00892A46" w:rsidP="00892A46">
      <w:pPr>
        <w:tabs>
          <w:tab w:val="center" w:pos="4156"/>
          <w:tab w:val="right" w:pos="8312"/>
        </w:tabs>
        <w:bidi w:val="0"/>
        <w:rPr>
          <w:rFonts w:asciiTheme="minorHAnsi" w:hAnsiTheme="minorHAnsi" w:cstheme="minorHAnsi"/>
        </w:rPr>
      </w:pPr>
      <w:r w:rsidRPr="00A860B9">
        <w:rPr>
          <w:rFonts w:asciiTheme="minorHAnsi" w:hAnsiTheme="minorHAnsi" w:cstheme="minorHAnsi"/>
        </w:rPr>
        <w:t>Press Release:</w:t>
      </w:r>
    </w:p>
    <w:p w:rsidR="00892A46" w:rsidRPr="00A860B9" w:rsidRDefault="00892A46" w:rsidP="00892A46">
      <w:pPr>
        <w:tabs>
          <w:tab w:val="center" w:pos="4156"/>
          <w:tab w:val="right" w:pos="8312"/>
        </w:tabs>
        <w:bidi w:val="0"/>
        <w:rPr>
          <w:rFonts w:asciiTheme="minorHAnsi" w:hAnsiTheme="minorHAnsi" w:cstheme="minorHAnsi"/>
        </w:rPr>
      </w:pPr>
    </w:p>
    <w:p w:rsidR="008D7BC7" w:rsidRPr="00A860B9" w:rsidRDefault="008D7BC7" w:rsidP="008D7BC7">
      <w:pPr>
        <w:pStyle w:val="PressReleaseTitle"/>
        <w:spacing w:line="300" w:lineRule="atLeast"/>
        <w:rPr>
          <w:rFonts w:asciiTheme="minorHAnsi" w:hAnsiTheme="minorHAnsi" w:cstheme="minorHAnsi"/>
          <w:sz w:val="24"/>
          <w:szCs w:val="24"/>
        </w:rPr>
      </w:pPr>
    </w:p>
    <w:p w:rsidR="008D7BC7" w:rsidRPr="00A860B9" w:rsidRDefault="008D7BC7" w:rsidP="00714C3E">
      <w:pPr>
        <w:pStyle w:val="PressReleaseTitle"/>
        <w:spacing w:line="300" w:lineRule="atLeast"/>
        <w:rPr>
          <w:rFonts w:asciiTheme="minorHAnsi" w:hAnsiTheme="minorHAnsi" w:cstheme="minorHAnsi"/>
          <w:sz w:val="28"/>
          <w:szCs w:val="28"/>
        </w:rPr>
      </w:pPr>
      <w:r w:rsidRPr="00A860B9">
        <w:rPr>
          <w:rFonts w:asciiTheme="minorHAnsi" w:hAnsiTheme="minorHAnsi" w:cstheme="minorHAnsi"/>
          <w:sz w:val="28"/>
          <w:szCs w:val="28"/>
        </w:rPr>
        <w:t xml:space="preserve">The Bank of Israel publishes its financial statements for </w:t>
      </w:r>
      <w:r w:rsidR="00714C3E" w:rsidRPr="00A860B9">
        <w:rPr>
          <w:rFonts w:asciiTheme="minorHAnsi" w:hAnsiTheme="minorHAnsi" w:cstheme="minorHAnsi"/>
          <w:sz w:val="28"/>
          <w:szCs w:val="28"/>
          <w:rtl/>
        </w:rPr>
        <w:t>2024</w:t>
      </w:r>
    </w:p>
    <w:p w:rsidR="008D7BC7" w:rsidRPr="00A860B9" w:rsidRDefault="008D7BC7" w:rsidP="008D7BC7">
      <w:pPr>
        <w:pStyle w:val="Pressreleaseheading2"/>
        <w:spacing w:line="300" w:lineRule="atLeast"/>
        <w:jc w:val="left"/>
        <w:rPr>
          <w:rFonts w:asciiTheme="minorHAnsi" w:hAnsiTheme="minorHAnsi" w:cstheme="minorHAnsi"/>
          <w:sz w:val="24"/>
          <w:szCs w:val="24"/>
        </w:rPr>
      </w:pPr>
    </w:p>
    <w:p w:rsidR="003F56DC" w:rsidRPr="00A860B9" w:rsidRDefault="00C50FF4" w:rsidP="00713A06">
      <w:pPr>
        <w:pStyle w:val="aa"/>
        <w:numPr>
          <w:ilvl w:val="0"/>
          <w:numId w:val="5"/>
        </w:numPr>
        <w:spacing w:line="300" w:lineRule="atLeast"/>
        <w:ind w:left="426"/>
        <w:jc w:val="both"/>
        <w:rPr>
          <w:rFonts w:asciiTheme="minorHAnsi" w:hAnsiTheme="minorHAnsi" w:cstheme="minorHAnsi"/>
          <w:szCs w:val="24"/>
        </w:rPr>
      </w:pPr>
      <w:bookmarkStart w:id="0" w:name="_GoBack"/>
      <w:r w:rsidRPr="00A860B9">
        <w:rPr>
          <w:rFonts w:asciiTheme="minorHAnsi" w:hAnsiTheme="minorHAnsi" w:cstheme="minorHAnsi"/>
          <w:szCs w:val="24"/>
        </w:rPr>
        <w:t xml:space="preserve">The Bank of Israel fulfills </w:t>
      </w:r>
      <w:r w:rsidR="00EF6BAC" w:rsidRPr="00A860B9">
        <w:rPr>
          <w:rFonts w:asciiTheme="minorHAnsi" w:hAnsiTheme="minorHAnsi" w:cstheme="minorHAnsi"/>
          <w:szCs w:val="24"/>
        </w:rPr>
        <w:t>the</w:t>
      </w:r>
      <w:r w:rsidRPr="00A860B9">
        <w:rPr>
          <w:rFonts w:asciiTheme="minorHAnsi" w:hAnsiTheme="minorHAnsi" w:cstheme="minorHAnsi"/>
          <w:szCs w:val="24"/>
        </w:rPr>
        <w:t xml:space="preserve"> functions imposed on it</w:t>
      </w:r>
      <w:r w:rsidR="00EF6BAC" w:rsidRPr="00A860B9">
        <w:rPr>
          <w:rFonts w:asciiTheme="minorHAnsi" w:hAnsiTheme="minorHAnsi" w:cstheme="minorHAnsi"/>
          <w:szCs w:val="24"/>
        </w:rPr>
        <w:t xml:space="preserve"> </w:t>
      </w:r>
      <w:r w:rsidRPr="00A860B9">
        <w:rPr>
          <w:rFonts w:asciiTheme="minorHAnsi" w:hAnsiTheme="minorHAnsi" w:cstheme="minorHAnsi"/>
          <w:szCs w:val="24"/>
        </w:rPr>
        <w:t xml:space="preserve">as a central bank, and acts to </w:t>
      </w:r>
      <w:r w:rsidR="00B4503A" w:rsidRPr="00A860B9">
        <w:rPr>
          <w:rFonts w:asciiTheme="minorHAnsi" w:hAnsiTheme="minorHAnsi" w:cstheme="minorHAnsi"/>
          <w:szCs w:val="24"/>
        </w:rPr>
        <w:t xml:space="preserve">achieve </w:t>
      </w:r>
      <w:r w:rsidRPr="00A860B9">
        <w:rPr>
          <w:rFonts w:asciiTheme="minorHAnsi" w:hAnsiTheme="minorHAnsi" w:cstheme="minorHAnsi"/>
          <w:szCs w:val="24"/>
        </w:rPr>
        <w:t xml:space="preserve">the objectives established for it under the Bank of Israel Law, 5770-2010: </w:t>
      </w:r>
      <w:r w:rsidR="00B4503A" w:rsidRPr="00A860B9">
        <w:rPr>
          <w:rFonts w:asciiTheme="minorHAnsi" w:hAnsiTheme="minorHAnsi" w:cstheme="minorHAnsi"/>
          <w:szCs w:val="24"/>
        </w:rPr>
        <w:t xml:space="preserve">maintaining </w:t>
      </w:r>
      <w:r w:rsidRPr="00A860B9">
        <w:rPr>
          <w:rFonts w:asciiTheme="minorHAnsi" w:hAnsiTheme="minorHAnsi" w:cstheme="minorHAnsi"/>
          <w:szCs w:val="24"/>
        </w:rPr>
        <w:t>price stability</w:t>
      </w:r>
      <w:r w:rsidR="00B4503A" w:rsidRPr="00A860B9">
        <w:rPr>
          <w:rFonts w:asciiTheme="minorHAnsi" w:hAnsiTheme="minorHAnsi" w:cstheme="minorHAnsi"/>
          <w:szCs w:val="24"/>
        </w:rPr>
        <w:t xml:space="preserve"> and supporting </w:t>
      </w:r>
      <w:r w:rsidRPr="00A860B9">
        <w:rPr>
          <w:rFonts w:asciiTheme="minorHAnsi" w:hAnsiTheme="minorHAnsi" w:cstheme="minorHAnsi"/>
          <w:szCs w:val="24"/>
        </w:rPr>
        <w:t>growth, employment</w:t>
      </w:r>
      <w:r w:rsidR="00B4503A" w:rsidRPr="00A860B9">
        <w:rPr>
          <w:rFonts w:asciiTheme="minorHAnsi" w:hAnsiTheme="minorHAnsi" w:cstheme="minorHAnsi"/>
          <w:szCs w:val="24"/>
        </w:rPr>
        <w:t xml:space="preserve">, the </w:t>
      </w:r>
      <w:r w:rsidRPr="00A860B9">
        <w:rPr>
          <w:rFonts w:asciiTheme="minorHAnsi" w:hAnsiTheme="minorHAnsi" w:cstheme="minorHAnsi"/>
          <w:szCs w:val="24"/>
        </w:rPr>
        <w:t xml:space="preserve">reducing </w:t>
      </w:r>
      <w:r w:rsidR="00B4503A" w:rsidRPr="00A860B9">
        <w:rPr>
          <w:rFonts w:asciiTheme="minorHAnsi" w:hAnsiTheme="minorHAnsi" w:cstheme="minorHAnsi"/>
          <w:szCs w:val="24"/>
        </w:rPr>
        <w:t xml:space="preserve">of </w:t>
      </w:r>
      <w:r w:rsidRPr="00A860B9">
        <w:rPr>
          <w:rFonts w:asciiTheme="minorHAnsi" w:hAnsiTheme="minorHAnsi" w:cstheme="minorHAnsi"/>
          <w:szCs w:val="24"/>
        </w:rPr>
        <w:t xml:space="preserve">social gaps, </w:t>
      </w:r>
      <w:r w:rsidR="00B4503A" w:rsidRPr="00A860B9">
        <w:rPr>
          <w:rFonts w:asciiTheme="minorHAnsi" w:hAnsiTheme="minorHAnsi" w:cstheme="minorHAnsi"/>
          <w:szCs w:val="24"/>
        </w:rPr>
        <w:t xml:space="preserve">and </w:t>
      </w:r>
      <w:r w:rsidRPr="00A860B9">
        <w:rPr>
          <w:rFonts w:asciiTheme="minorHAnsi" w:hAnsiTheme="minorHAnsi" w:cstheme="minorHAnsi"/>
          <w:szCs w:val="24"/>
        </w:rPr>
        <w:t>the stability of the financial system.</w:t>
      </w:r>
      <w:r w:rsidR="00B4503A" w:rsidRPr="00A860B9">
        <w:rPr>
          <w:rFonts w:asciiTheme="minorHAnsi" w:hAnsiTheme="minorHAnsi" w:cstheme="minorHAnsi"/>
          <w:szCs w:val="24"/>
        </w:rPr>
        <w:t xml:space="preserve"> The </w:t>
      </w:r>
      <w:r w:rsidR="003F56DC" w:rsidRPr="00A860B9">
        <w:rPr>
          <w:rFonts w:asciiTheme="minorHAnsi" w:hAnsiTheme="minorHAnsi" w:cstheme="minorHAnsi"/>
          <w:szCs w:val="24"/>
        </w:rPr>
        <w:t>B</w:t>
      </w:r>
      <w:r w:rsidR="00B4503A" w:rsidRPr="00A860B9">
        <w:rPr>
          <w:rFonts w:asciiTheme="minorHAnsi" w:hAnsiTheme="minorHAnsi" w:cstheme="minorHAnsi"/>
          <w:szCs w:val="24"/>
        </w:rPr>
        <w:t xml:space="preserve">ank’s activity to attain its objectives and to carry out its functions </w:t>
      </w:r>
      <w:r w:rsidR="00EF6BAC" w:rsidRPr="00A860B9">
        <w:rPr>
          <w:rFonts w:asciiTheme="minorHAnsi" w:hAnsiTheme="minorHAnsi" w:cstheme="minorHAnsi"/>
          <w:szCs w:val="24"/>
        </w:rPr>
        <w:t xml:space="preserve">is </w:t>
      </w:r>
      <w:r w:rsidR="00B4503A" w:rsidRPr="00A860B9">
        <w:rPr>
          <w:rFonts w:asciiTheme="minorHAnsi" w:hAnsiTheme="minorHAnsi" w:cstheme="minorHAnsi"/>
          <w:szCs w:val="24"/>
        </w:rPr>
        <w:t xml:space="preserve">not intended </w:t>
      </w:r>
      <w:r w:rsidR="00920090" w:rsidRPr="00A860B9">
        <w:rPr>
          <w:rFonts w:asciiTheme="minorHAnsi" w:hAnsiTheme="minorHAnsi" w:cstheme="minorHAnsi"/>
          <w:szCs w:val="24"/>
        </w:rPr>
        <w:t xml:space="preserve">only </w:t>
      </w:r>
      <w:r w:rsidR="00B4503A" w:rsidRPr="00A860B9">
        <w:rPr>
          <w:rFonts w:asciiTheme="minorHAnsi" w:hAnsiTheme="minorHAnsi" w:cstheme="minorHAnsi"/>
          <w:szCs w:val="24"/>
        </w:rPr>
        <w:t xml:space="preserve">to </w:t>
      </w:r>
      <w:r w:rsidR="00713A06" w:rsidRPr="00A860B9">
        <w:rPr>
          <w:rFonts w:asciiTheme="minorHAnsi" w:hAnsiTheme="minorHAnsi" w:cstheme="minorHAnsi"/>
          <w:szCs w:val="24"/>
        </w:rPr>
        <w:t xml:space="preserve">maximize </w:t>
      </w:r>
      <w:r w:rsidR="00B4503A" w:rsidRPr="00A860B9">
        <w:rPr>
          <w:rFonts w:asciiTheme="minorHAnsi" w:hAnsiTheme="minorHAnsi" w:cstheme="minorHAnsi"/>
          <w:szCs w:val="24"/>
        </w:rPr>
        <w:t xml:space="preserve">profits, but rather to achieve </w:t>
      </w:r>
      <w:r w:rsidR="00801648" w:rsidRPr="00A860B9">
        <w:rPr>
          <w:rFonts w:asciiTheme="minorHAnsi" w:hAnsiTheme="minorHAnsi" w:cstheme="minorHAnsi"/>
          <w:szCs w:val="24"/>
        </w:rPr>
        <w:t xml:space="preserve">these </w:t>
      </w:r>
      <w:r w:rsidR="00B4503A" w:rsidRPr="00A860B9">
        <w:rPr>
          <w:rFonts w:asciiTheme="minorHAnsi" w:hAnsiTheme="minorHAnsi" w:cstheme="minorHAnsi"/>
          <w:szCs w:val="24"/>
        </w:rPr>
        <w:t xml:space="preserve">economy-wide economic goals. </w:t>
      </w:r>
    </w:p>
    <w:p w:rsidR="000262DD" w:rsidRPr="00A860B9" w:rsidRDefault="000262DD" w:rsidP="008C4135">
      <w:pPr>
        <w:pStyle w:val="aa"/>
        <w:numPr>
          <w:ilvl w:val="0"/>
          <w:numId w:val="5"/>
        </w:numPr>
        <w:spacing w:line="300" w:lineRule="atLeast"/>
        <w:ind w:left="426"/>
        <w:jc w:val="both"/>
        <w:rPr>
          <w:rFonts w:asciiTheme="minorHAnsi" w:hAnsiTheme="minorHAnsi" w:cstheme="minorHAnsi"/>
          <w:szCs w:val="24"/>
        </w:rPr>
      </w:pPr>
      <w:r w:rsidRPr="00A860B9">
        <w:rPr>
          <w:rFonts w:asciiTheme="minorHAnsi" w:hAnsiTheme="minorHAnsi" w:cstheme="minorHAnsi"/>
          <w:szCs w:val="24"/>
        </w:rPr>
        <w:t>In 2024, the Bank of Israel recorded an annual profit of NIS 8.2 billion according to the International Financial Reporting Standards (IFRS).</w:t>
      </w:r>
    </w:p>
    <w:p w:rsidR="00131231" w:rsidRPr="00A860B9" w:rsidRDefault="008C4135" w:rsidP="00A14B3E">
      <w:pPr>
        <w:pStyle w:val="aa"/>
        <w:spacing w:line="300" w:lineRule="atLeast"/>
        <w:ind w:left="426"/>
        <w:jc w:val="both"/>
        <w:rPr>
          <w:rFonts w:asciiTheme="minorHAnsi" w:hAnsiTheme="minorHAnsi" w:cstheme="minorHAnsi"/>
          <w:szCs w:val="24"/>
        </w:rPr>
      </w:pPr>
      <w:r w:rsidRPr="00A860B9">
        <w:rPr>
          <w:rFonts w:asciiTheme="minorHAnsi" w:hAnsiTheme="minorHAnsi" w:cstheme="minorHAnsi"/>
          <w:szCs w:val="24"/>
        </w:rPr>
        <w:t>R</w:t>
      </w:r>
      <w:r w:rsidR="00670812" w:rsidRPr="00A860B9">
        <w:rPr>
          <w:rFonts w:asciiTheme="minorHAnsi" w:hAnsiTheme="minorHAnsi" w:cstheme="minorHAnsi"/>
          <w:szCs w:val="24"/>
        </w:rPr>
        <w:t>evenue</w:t>
      </w:r>
      <w:r w:rsidRPr="00A860B9">
        <w:rPr>
          <w:rFonts w:asciiTheme="minorHAnsi" w:hAnsiTheme="minorHAnsi" w:cstheme="minorHAnsi"/>
          <w:szCs w:val="24"/>
        </w:rPr>
        <w:t>s</w:t>
      </w:r>
      <w:r w:rsidR="00670812" w:rsidRPr="00A860B9">
        <w:rPr>
          <w:rFonts w:asciiTheme="minorHAnsi" w:hAnsiTheme="minorHAnsi" w:cstheme="minorHAnsi"/>
          <w:szCs w:val="24"/>
        </w:rPr>
        <w:t xml:space="preserve"> derived mainly fr</w:t>
      </w:r>
      <w:r w:rsidR="00827F79" w:rsidRPr="00A860B9">
        <w:rPr>
          <w:rFonts w:asciiTheme="minorHAnsi" w:hAnsiTheme="minorHAnsi" w:cstheme="minorHAnsi"/>
          <w:szCs w:val="24"/>
        </w:rPr>
        <w:t>o</w:t>
      </w:r>
      <w:r w:rsidR="00670812" w:rsidRPr="00A860B9">
        <w:rPr>
          <w:rFonts w:asciiTheme="minorHAnsi" w:hAnsiTheme="minorHAnsi" w:cstheme="minorHAnsi"/>
          <w:szCs w:val="24"/>
        </w:rPr>
        <w:t>m high profit</w:t>
      </w:r>
      <w:r w:rsidRPr="00A860B9">
        <w:rPr>
          <w:rFonts w:asciiTheme="minorHAnsi" w:hAnsiTheme="minorHAnsi" w:cstheme="minorHAnsi"/>
          <w:szCs w:val="24"/>
        </w:rPr>
        <w:t xml:space="preserve">s of NIS 49.8 billion </w:t>
      </w:r>
      <w:r w:rsidR="00827F79" w:rsidRPr="00A860B9">
        <w:rPr>
          <w:rFonts w:asciiTheme="minorHAnsi" w:hAnsiTheme="minorHAnsi" w:cstheme="minorHAnsi"/>
          <w:szCs w:val="24"/>
        </w:rPr>
        <w:t xml:space="preserve">on </w:t>
      </w:r>
      <w:r w:rsidR="00670812" w:rsidRPr="00A860B9">
        <w:rPr>
          <w:rFonts w:asciiTheme="minorHAnsi" w:hAnsiTheme="minorHAnsi" w:cstheme="minorHAnsi"/>
          <w:szCs w:val="24"/>
        </w:rPr>
        <w:t xml:space="preserve">the investment of the foreign exchange reserves, mostly </w:t>
      </w:r>
      <w:r w:rsidR="00131231" w:rsidRPr="00A860B9">
        <w:rPr>
          <w:rFonts w:asciiTheme="minorHAnsi" w:hAnsiTheme="minorHAnsi" w:cstheme="minorHAnsi"/>
          <w:szCs w:val="24"/>
        </w:rPr>
        <w:t xml:space="preserve">mark to market </w:t>
      </w:r>
      <w:r w:rsidR="00670812" w:rsidRPr="00A860B9">
        <w:rPr>
          <w:rFonts w:asciiTheme="minorHAnsi" w:hAnsiTheme="minorHAnsi" w:cstheme="minorHAnsi"/>
          <w:szCs w:val="24"/>
        </w:rPr>
        <w:t xml:space="preserve">gains </w:t>
      </w:r>
      <w:r w:rsidR="00131231" w:rsidRPr="00A860B9">
        <w:rPr>
          <w:rFonts w:asciiTheme="minorHAnsi" w:hAnsiTheme="minorHAnsi" w:cstheme="minorHAnsi"/>
          <w:szCs w:val="24"/>
        </w:rPr>
        <w:t xml:space="preserve">from equity holdings and interest income on bond holdings. This is against the background of </w:t>
      </w:r>
      <w:r w:rsidR="00E733D7" w:rsidRPr="00A860B9">
        <w:rPr>
          <w:rFonts w:asciiTheme="minorHAnsi" w:hAnsiTheme="minorHAnsi" w:cstheme="minorHAnsi"/>
          <w:szCs w:val="24"/>
        </w:rPr>
        <w:t xml:space="preserve">the </w:t>
      </w:r>
      <w:r w:rsidR="007D280C" w:rsidRPr="00A860B9">
        <w:rPr>
          <w:rFonts w:asciiTheme="minorHAnsi" w:hAnsiTheme="minorHAnsi" w:cstheme="minorHAnsi"/>
          <w:szCs w:val="24"/>
        </w:rPr>
        <w:t xml:space="preserve">increase in </w:t>
      </w:r>
      <w:r w:rsidR="00131231" w:rsidRPr="00A860B9">
        <w:rPr>
          <w:rFonts w:asciiTheme="minorHAnsi" w:hAnsiTheme="minorHAnsi" w:cstheme="minorHAnsi"/>
          <w:szCs w:val="24"/>
        </w:rPr>
        <w:t xml:space="preserve">equity indices around the world, </w:t>
      </w:r>
      <w:r w:rsidRPr="00A860B9">
        <w:rPr>
          <w:rFonts w:asciiTheme="minorHAnsi" w:hAnsiTheme="minorHAnsi" w:cstheme="minorHAnsi"/>
          <w:szCs w:val="24"/>
        </w:rPr>
        <w:t xml:space="preserve">and the high interest rate environment worldwide. </w:t>
      </w:r>
    </w:p>
    <w:p w:rsidR="00DD0F13" w:rsidRPr="00A860B9" w:rsidRDefault="002C652D" w:rsidP="00A14B3E">
      <w:pPr>
        <w:pStyle w:val="aa"/>
        <w:spacing w:line="300" w:lineRule="atLeast"/>
        <w:ind w:left="426"/>
        <w:jc w:val="both"/>
        <w:rPr>
          <w:rFonts w:asciiTheme="minorHAnsi" w:hAnsiTheme="minorHAnsi" w:cstheme="minorHAnsi"/>
          <w:szCs w:val="24"/>
        </w:rPr>
      </w:pPr>
      <w:r w:rsidRPr="00A860B9">
        <w:rPr>
          <w:rFonts w:asciiTheme="minorHAnsi" w:hAnsiTheme="minorHAnsi" w:cstheme="minorHAnsi"/>
          <w:szCs w:val="24"/>
        </w:rPr>
        <w:t xml:space="preserve">In contrast, the Bank’s expenses from its activity in Israel, most of which are interest expenses in respect of the monetary absorption instruments—Makam and </w:t>
      </w:r>
      <w:r w:rsidR="008F1216" w:rsidRPr="00A860B9">
        <w:rPr>
          <w:rFonts w:asciiTheme="minorHAnsi" w:hAnsiTheme="minorHAnsi" w:cstheme="minorHAnsi"/>
          <w:szCs w:val="24"/>
        </w:rPr>
        <w:t>t</w:t>
      </w:r>
      <w:r w:rsidR="00907E40" w:rsidRPr="00A860B9">
        <w:rPr>
          <w:rFonts w:asciiTheme="minorHAnsi" w:hAnsiTheme="minorHAnsi" w:cstheme="minorHAnsi"/>
          <w:szCs w:val="24"/>
        </w:rPr>
        <w:t xml:space="preserve">ime </w:t>
      </w:r>
      <w:r w:rsidRPr="00A860B9">
        <w:rPr>
          <w:rFonts w:asciiTheme="minorHAnsi" w:hAnsiTheme="minorHAnsi" w:cstheme="minorHAnsi"/>
          <w:szCs w:val="24"/>
        </w:rPr>
        <w:t xml:space="preserve">deposits—totaled about NIS </w:t>
      </w:r>
      <w:r w:rsidR="008C4135" w:rsidRPr="00A860B9">
        <w:rPr>
          <w:rFonts w:asciiTheme="minorHAnsi" w:hAnsiTheme="minorHAnsi" w:cstheme="minorHAnsi"/>
          <w:szCs w:val="24"/>
        </w:rPr>
        <w:t xml:space="preserve">26.4 </w:t>
      </w:r>
      <w:r w:rsidRPr="00A860B9">
        <w:rPr>
          <w:rFonts w:asciiTheme="minorHAnsi" w:hAnsiTheme="minorHAnsi" w:cstheme="minorHAnsi"/>
          <w:szCs w:val="24"/>
        </w:rPr>
        <w:t xml:space="preserve">billion this year, the result of </w:t>
      </w:r>
      <w:r w:rsidR="001E0743" w:rsidRPr="00A860B9">
        <w:rPr>
          <w:rFonts w:asciiTheme="minorHAnsi" w:hAnsiTheme="minorHAnsi" w:cstheme="minorHAnsi"/>
          <w:szCs w:val="24"/>
        </w:rPr>
        <w:t xml:space="preserve">the high level of the </w:t>
      </w:r>
      <w:r w:rsidRPr="00A860B9">
        <w:rPr>
          <w:rFonts w:asciiTheme="minorHAnsi" w:hAnsiTheme="minorHAnsi" w:cstheme="minorHAnsi"/>
          <w:szCs w:val="24"/>
        </w:rPr>
        <w:t>shekel interest rate.</w:t>
      </w:r>
    </w:p>
    <w:p w:rsidR="00396046" w:rsidRPr="00A860B9" w:rsidRDefault="00710F6F" w:rsidP="00A14B3E">
      <w:pPr>
        <w:pStyle w:val="aa"/>
        <w:spacing w:line="300" w:lineRule="atLeast"/>
        <w:ind w:left="426"/>
        <w:jc w:val="both"/>
        <w:rPr>
          <w:rFonts w:asciiTheme="minorHAnsi" w:hAnsiTheme="minorHAnsi" w:cstheme="minorHAnsi"/>
          <w:szCs w:val="24"/>
        </w:rPr>
      </w:pPr>
      <w:r w:rsidRPr="00A860B9">
        <w:rPr>
          <w:rFonts w:asciiTheme="minorHAnsi" w:hAnsiTheme="minorHAnsi" w:cstheme="minorHAnsi"/>
          <w:szCs w:val="24"/>
        </w:rPr>
        <w:t xml:space="preserve">Expenses </w:t>
      </w:r>
      <w:r w:rsidR="00396046" w:rsidRPr="00A860B9">
        <w:rPr>
          <w:rFonts w:asciiTheme="minorHAnsi" w:hAnsiTheme="minorHAnsi" w:cstheme="minorHAnsi"/>
          <w:szCs w:val="24"/>
        </w:rPr>
        <w:t>from exchange rate differentials on balances denominated in foreign currency totaled NIS 13.7 billion</w:t>
      </w:r>
      <w:r w:rsidR="002C6041" w:rsidRPr="00A860B9">
        <w:rPr>
          <w:rFonts w:asciiTheme="minorHAnsi" w:hAnsiTheme="minorHAnsi" w:cstheme="minorHAnsi"/>
          <w:szCs w:val="24"/>
        </w:rPr>
        <w:t xml:space="preserve"> in 2024</w:t>
      </w:r>
      <w:r w:rsidR="00396046" w:rsidRPr="00A860B9">
        <w:rPr>
          <w:rFonts w:asciiTheme="minorHAnsi" w:hAnsiTheme="minorHAnsi" w:cstheme="minorHAnsi"/>
          <w:szCs w:val="24"/>
        </w:rPr>
        <w:t xml:space="preserve">, a result of the strengthening of the shekel vis-à-vis major </w:t>
      </w:r>
      <w:r w:rsidR="0015719F" w:rsidRPr="00A860B9">
        <w:rPr>
          <w:rFonts w:asciiTheme="minorHAnsi" w:hAnsiTheme="minorHAnsi" w:cstheme="minorHAnsi"/>
          <w:szCs w:val="24"/>
        </w:rPr>
        <w:t>currencies</w:t>
      </w:r>
      <w:r w:rsidR="00396046" w:rsidRPr="00A860B9">
        <w:rPr>
          <w:rFonts w:asciiTheme="minorHAnsi" w:hAnsiTheme="minorHAnsi" w:cstheme="minorHAnsi"/>
          <w:szCs w:val="24"/>
        </w:rPr>
        <w:t xml:space="preserve"> in the </w:t>
      </w:r>
      <w:r w:rsidR="0015719F" w:rsidRPr="00A860B9">
        <w:rPr>
          <w:rFonts w:asciiTheme="minorHAnsi" w:hAnsiTheme="minorHAnsi" w:cstheme="minorHAnsi"/>
          <w:szCs w:val="24"/>
        </w:rPr>
        <w:t>foreign</w:t>
      </w:r>
      <w:r w:rsidR="00396046" w:rsidRPr="00A860B9">
        <w:rPr>
          <w:rFonts w:asciiTheme="minorHAnsi" w:hAnsiTheme="minorHAnsi" w:cstheme="minorHAnsi"/>
          <w:szCs w:val="24"/>
        </w:rPr>
        <w:t xml:space="preserve"> exchange rese</w:t>
      </w:r>
      <w:r w:rsidR="0015719F" w:rsidRPr="00A860B9">
        <w:rPr>
          <w:rFonts w:asciiTheme="minorHAnsi" w:hAnsiTheme="minorHAnsi" w:cstheme="minorHAnsi"/>
          <w:szCs w:val="24"/>
        </w:rPr>
        <w:t xml:space="preserve">rves </w:t>
      </w:r>
      <w:r w:rsidR="00396046" w:rsidRPr="00A860B9">
        <w:rPr>
          <w:rFonts w:asciiTheme="minorHAnsi" w:hAnsiTheme="minorHAnsi" w:cstheme="minorHAnsi"/>
          <w:szCs w:val="24"/>
        </w:rPr>
        <w:t xml:space="preserve">portfolio. The decline in the intensity of </w:t>
      </w:r>
      <w:r w:rsidR="002C6041" w:rsidRPr="00A860B9">
        <w:rPr>
          <w:rFonts w:asciiTheme="minorHAnsi" w:hAnsiTheme="minorHAnsi" w:cstheme="minorHAnsi"/>
          <w:szCs w:val="24"/>
        </w:rPr>
        <w:t xml:space="preserve">the </w:t>
      </w:r>
      <w:r w:rsidR="0015719F" w:rsidRPr="00A860B9">
        <w:rPr>
          <w:rFonts w:asciiTheme="minorHAnsi" w:hAnsiTheme="minorHAnsi" w:cstheme="minorHAnsi"/>
          <w:szCs w:val="24"/>
        </w:rPr>
        <w:t xml:space="preserve">fighting </w:t>
      </w:r>
      <w:r w:rsidR="00396046" w:rsidRPr="00A860B9">
        <w:rPr>
          <w:rFonts w:asciiTheme="minorHAnsi" w:hAnsiTheme="minorHAnsi" w:cstheme="minorHAnsi"/>
          <w:szCs w:val="24"/>
        </w:rPr>
        <w:t xml:space="preserve">and the cease fire </w:t>
      </w:r>
      <w:r w:rsidR="0015719F" w:rsidRPr="00A860B9">
        <w:rPr>
          <w:rFonts w:asciiTheme="minorHAnsi" w:hAnsiTheme="minorHAnsi" w:cstheme="minorHAnsi"/>
          <w:szCs w:val="24"/>
        </w:rPr>
        <w:t>agreements</w:t>
      </w:r>
      <w:r w:rsidR="00396046" w:rsidRPr="00A860B9">
        <w:rPr>
          <w:rFonts w:asciiTheme="minorHAnsi" w:hAnsiTheme="minorHAnsi" w:cstheme="minorHAnsi"/>
          <w:szCs w:val="24"/>
        </w:rPr>
        <w:t xml:space="preserve"> </w:t>
      </w:r>
      <w:r w:rsidR="0015719F" w:rsidRPr="00A860B9">
        <w:rPr>
          <w:rFonts w:asciiTheme="minorHAnsi" w:hAnsiTheme="minorHAnsi" w:cstheme="minorHAnsi"/>
          <w:szCs w:val="24"/>
        </w:rPr>
        <w:t>toward</w:t>
      </w:r>
      <w:r w:rsidR="00396046" w:rsidRPr="00A860B9">
        <w:rPr>
          <w:rFonts w:asciiTheme="minorHAnsi" w:hAnsiTheme="minorHAnsi" w:cstheme="minorHAnsi"/>
          <w:szCs w:val="24"/>
        </w:rPr>
        <w:t xml:space="preserve"> the end of the </w:t>
      </w:r>
      <w:r w:rsidR="0015719F" w:rsidRPr="00A860B9">
        <w:rPr>
          <w:rFonts w:asciiTheme="minorHAnsi" w:hAnsiTheme="minorHAnsi" w:cstheme="minorHAnsi"/>
          <w:szCs w:val="24"/>
        </w:rPr>
        <w:t>year</w:t>
      </w:r>
      <w:r w:rsidR="00396046" w:rsidRPr="00A860B9">
        <w:rPr>
          <w:rFonts w:asciiTheme="minorHAnsi" w:hAnsiTheme="minorHAnsi" w:cstheme="minorHAnsi"/>
          <w:szCs w:val="24"/>
        </w:rPr>
        <w:t xml:space="preserve"> </w:t>
      </w:r>
      <w:r w:rsidR="0015719F" w:rsidRPr="00A860B9">
        <w:rPr>
          <w:rFonts w:asciiTheme="minorHAnsi" w:hAnsiTheme="minorHAnsi" w:cstheme="minorHAnsi"/>
          <w:szCs w:val="24"/>
        </w:rPr>
        <w:t>reduced</w:t>
      </w:r>
      <w:r w:rsidR="00396046" w:rsidRPr="00A860B9">
        <w:rPr>
          <w:rFonts w:asciiTheme="minorHAnsi" w:hAnsiTheme="minorHAnsi" w:cstheme="minorHAnsi"/>
          <w:szCs w:val="24"/>
        </w:rPr>
        <w:t xml:space="preserve"> </w:t>
      </w:r>
      <w:r w:rsidR="0015719F" w:rsidRPr="00A860B9">
        <w:rPr>
          <w:rFonts w:asciiTheme="minorHAnsi" w:hAnsiTheme="minorHAnsi" w:cstheme="minorHAnsi"/>
          <w:szCs w:val="24"/>
        </w:rPr>
        <w:t>Israel’s risk prem</w:t>
      </w:r>
      <w:r w:rsidR="00396046" w:rsidRPr="00A860B9">
        <w:rPr>
          <w:rFonts w:asciiTheme="minorHAnsi" w:hAnsiTheme="minorHAnsi" w:cstheme="minorHAnsi"/>
          <w:szCs w:val="24"/>
        </w:rPr>
        <w:t xml:space="preserve">ium, </w:t>
      </w:r>
      <w:r w:rsidR="0015719F" w:rsidRPr="00A860B9">
        <w:rPr>
          <w:rFonts w:asciiTheme="minorHAnsi" w:hAnsiTheme="minorHAnsi" w:cstheme="minorHAnsi"/>
          <w:szCs w:val="24"/>
        </w:rPr>
        <w:t>which</w:t>
      </w:r>
      <w:r w:rsidR="00396046" w:rsidRPr="00A860B9">
        <w:rPr>
          <w:rFonts w:asciiTheme="minorHAnsi" w:hAnsiTheme="minorHAnsi" w:cstheme="minorHAnsi"/>
          <w:szCs w:val="24"/>
        </w:rPr>
        <w:t xml:space="preserve"> among other </w:t>
      </w:r>
      <w:r w:rsidR="0015719F" w:rsidRPr="00A860B9">
        <w:rPr>
          <w:rFonts w:asciiTheme="minorHAnsi" w:hAnsiTheme="minorHAnsi" w:cstheme="minorHAnsi"/>
          <w:szCs w:val="24"/>
        </w:rPr>
        <w:t>things</w:t>
      </w:r>
      <w:r w:rsidR="00396046" w:rsidRPr="00A860B9">
        <w:rPr>
          <w:rFonts w:asciiTheme="minorHAnsi" w:hAnsiTheme="minorHAnsi" w:cstheme="minorHAnsi"/>
          <w:szCs w:val="24"/>
        </w:rPr>
        <w:t xml:space="preserve"> led to the </w:t>
      </w:r>
      <w:r w:rsidR="0015719F" w:rsidRPr="00A860B9">
        <w:rPr>
          <w:rFonts w:asciiTheme="minorHAnsi" w:hAnsiTheme="minorHAnsi" w:cstheme="minorHAnsi"/>
          <w:szCs w:val="24"/>
        </w:rPr>
        <w:t>strengthening</w:t>
      </w:r>
      <w:r w:rsidR="00396046" w:rsidRPr="00A860B9">
        <w:rPr>
          <w:rFonts w:asciiTheme="minorHAnsi" w:hAnsiTheme="minorHAnsi" w:cstheme="minorHAnsi"/>
          <w:szCs w:val="24"/>
        </w:rPr>
        <w:t xml:space="preserve"> of the </w:t>
      </w:r>
      <w:r w:rsidR="0015719F" w:rsidRPr="00A860B9">
        <w:rPr>
          <w:rFonts w:asciiTheme="minorHAnsi" w:hAnsiTheme="minorHAnsi" w:cstheme="minorHAnsi"/>
          <w:szCs w:val="24"/>
        </w:rPr>
        <w:t>shekel</w:t>
      </w:r>
      <w:r w:rsidR="00396046" w:rsidRPr="00A860B9">
        <w:rPr>
          <w:rFonts w:asciiTheme="minorHAnsi" w:hAnsiTheme="minorHAnsi" w:cstheme="minorHAnsi"/>
          <w:szCs w:val="24"/>
        </w:rPr>
        <w:t xml:space="preserve"> vis-à-vis </w:t>
      </w:r>
      <w:r w:rsidR="0015719F" w:rsidRPr="00A860B9">
        <w:rPr>
          <w:rFonts w:asciiTheme="minorHAnsi" w:hAnsiTheme="minorHAnsi" w:cstheme="minorHAnsi"/>
          <w:szCs w:val="24"/>
        </w:rPr>
        <w:t>other</w:t>
      </w:r>
      <w:r w:rsidR="00396046" w:rsidRPr="00A860B9">
        <w:rPr>
          <w:rFonts w:asciiTheme="minorHAnsi" w:hAnsiTheme="minorHAnsi" w:cstheme="minorHAnsi"/>
          <w:szCs w:val="24"/>
        </w:rPr>
        <w:t xml:space="preserve"> currencies </w:t>
      </w:r>
      <w:r w:rsidR="002C6041" w:rsidRPr="00A860B9">
        <w:rPr>
          <w:rFonts w:asciiTheme="minorHAnsi" w:hAnsiTheme="minorHAnsi" w:cstheme="minorHAnsi"/>
          <w:szCs w:val="24"/>
        </w:rPr>
        <w:t>a</w:t>
      </w:r>
      <w:r w:rsidR="00396046" w:rsidRPr="00A860B9">
        <w:rPr>
          <w:rFonts w:asciiTheme="minorHAnsi" w:hAnsiTheme="minorHAnsi" w:cstheme="minorHAnsi"/>
          <w:szCs w:val="24"/>
        </w:rPr>
        <w:t xml:space="preserve">round the </w:t>
      </w:r>
      <w:r w:rsidR="0015719F" w:rsidRPr="00A860B9">
        <w:rPr>
          <w:rFonts w:asciiTheme="minorHAnsi" w:hAnsiTheme="minorHAnsi" w:cstheme="minorHAnsi"/>
          <w:szCs w:val="24"/>
        </w:rPr>
        <w:t xml:space="preserve">world. </w:t>
      </w:r>
    </w:p>
    <w:p w:rsidR="003D7025" w:rsidRPr="00A860B9" w:rsidRDefault="003D7025" w:rsidP="003D7025">
      <w:pPr>
        <w:pStyle w:val="aa"/>
        <w:numPr>
          <w:ilvl w:val="0"/>
          <w:numId w:val="5"/>
        </w:numPr>
        <w:spacing w:line="300" w:lineRule="atLeast"/>
        <w:ind w:left="426"/>
        <w:jc w:val="both"/>
        <w:rPr>
          <w:rFonts w:asciiTheme="minorHAnsi" w:hAnsiTheme="minorHAnsi" w:cstheme="minorHAnsi"/>
          <w:szCs w:val="24"/>
        </w:rPr>
      </w:pPr>
      <w:r w:rsidRPr="00A860B9">
        <w:rPr>
          <w:rFonts w:asciiTheme="minorHAnsi" w:hAnsiTheme="minorHAnsi" w:cstheme="minorHAnsi"/>
          <w:szCs w:val="24"/>
        </w:rPr>
        <w:t>The Bank’s balance sheet at the end of 2024 was approximately NIS 881.9 billion, an increase of around NIS 26.5 billion (3 percent) compared with the balance at the end of 2023.</w:t>
      </w:r>
    </w:p>
    <w:p w:rsidR="003D7025" w:rsidRPr="00A860B9" w:rsidRDefault="003D7025" w:rsidP="003D7025">
      <w:pPr>
        <w:pStyle w:val="aa"/>
        <w:spacing w:line="300" w:lineRule="atLeast"/>
        <w:ind w:left="426"/>
        <w:jc w:val="both"/>
        <w:rPr>
          <w:rFonts w:asciiTheme="minorHAnsi" w:hAnsiTheme="minorHAnsi" w:cstheme="minorHAnsi"/>
          <w:szCs w:val="24"/>
        </w:rPr>
      </w:pPr>
      <w:r w:rsidRPr="00A860B9">
        <w:rPr>
          <w:rFonts w:asciiTheme="minorHAnsi" w:hAnsiTheme="minorHAnsi" w:cstheme="minorHAnsi"/>
          <w:szCs w:val="24"/>
        </w:rPr>
        <w:t>The increase on the assets side derived primarily from the increase of NIS 39 billion in the assets abroad item, due to an increase in the mark to market adjustment and a decrease in their shekel value due to the strengthening of the shekel vis-à-vis most foreign currencies in the reserves portfolio.</w:t>
      </w:r>
    </w:p>
    <w:p w:rsidR="003D7025" w:rsidRPr="00A860B9" w:rsidRDefault="003D7025" w:rsidP="003D7025">
      <w:pPr>
        <w:pStyle w:val="aa"/>
        <w:spacing w:line="300" w:lineRule="atLeast"/>
        <w:ind w:left="426"/>
        <w:jc w:val="both"/>
        <w:rPr>
          <w:rFonts w:asciiTheme="minorHAnsi" w:hAnsiTheme="minorHAnsi" w:cstheme="minorHAnsi"/>
          <w:szCs w:val="24"/>
        </w:rPr>
      </w:pPr>
      <w:r w:rsidRPr="00A860B9">
        <w:rPr>
          <w:rFonts w:asciiTheme="minorHAnsi" w:hAnsiTheme="minorHAnsi" w:cstheme="minorHAnsi"/>
          <w:szCs w:val="24"/>
        </w:rPr>
        <w:t>In contrast, there was a decrease in the balance of assets in Israel, totaling approximately NIS 12.5 billion, mainly due to the repayment of monetary loans extended to banking corporations against the background of the COVID-19 crisis.</w:t>
      </w:r>
    </w:p>
    <w:p w:rsidR="003D7025" w:rsidRPr="00A860B9" w:rsidRDefault="003D7025" w:rsidP="003D7025">
      <w:pPr>
        <w:pStyle w:val="aa"/>
        <w:spacing w:line="300" w:lineRule="atLeast"/>
        <w:ind w:left="426"/>
        <w:jc w:val="both"/>
        <w:rPr>
          <w:rFonts w:asciiTheme="minorHAnsi" w:hAnsiTheme="minorHAnsi" w:cstheme="minorHAnsi"/>
          <w:szCs w:val="24"/>
        </w:rPr>
      </w:pPr>
      <w:r w:rsidRPr="00A860B9">
        <w:rPr>
          <w:rFonts w:asciiTheme="minorHAnsi" w:hAnsiTheme="minorHAnsi" w:cstheme="minorHAnsi"/>
          <w:szCs w:val="24"/>
        </w:rPr>
        <w:t xml:space="preserve">The balance of the Bank’s liabilities at the end of 2024 was approximately NIS 863 billion, an increase of around NIS 18.1 billion (about 2 percent) compared to 2023, </w:t>
      </w:r>
      <w:r w:rsidRPr="00A860B9">
        <w:rPr>
          <w:rFonts w:asciiTheme="minorHAnsi" w:hAnsiTheme="minorHAnsi" w:cstheme="minorHAnsi"/>
          <w:szCs w:val="24"/>
        </w:rPr>
        <w:lastRenderedPageBreak/>
        <w:t>due mainly to an increase in the balances of the Bank’s customers as of the year end.</w:t>
      </w:r>
    </w:p>
    <w:p w:rsidR="00556F11" w:rsidRPr="00A860B9" w:rsidRDefault="00556F11" w:rsidP="00556F11">
      <w:pPr>
        <w:pStyle w:val="aa"/>
        <w:numPr>
          <w:ilvl w:val="0"/>
          <w:numId w:val="5"/>
        </w:numPr>
        <w:spacing w:line="300" w:lineRule="atLeast"/>
        <w:ind w:left="426"/>
        <w:jc w:val="both"/>
        <w:rPr>
          <w:rFonts w:asciiTheme="minorHAnsi" w:hAnsiTheme="minorHAnsi" w:cstheme="minorHAnsi"/>
          <w:szCs w:val="24"/>
        </w:rPr>
      </w:pPr>
      <w:r w:rsidRPr="00A860B9">
        <w:rPr>
          <w:rFonts w:asciiTheme="minorHAnsi" w:hAnsiTheme="minorHAnsi" w:cstheme="minorHAnsi"/>
          <w:szCs w:val="24"/>
        </w:rPr>
        <w:t>The distribution of the Banks’ profits is determined in accordance with Section 76(a) of the Bank of Israel Law, 5770-2010, which establishes that the Bank’s profits are not to include unrealized profits based on the annual financial report.</w:t>
      </w:r>
    </w:p>
    <w:p w:rsidR="00556F11" w:rsidRPr="00A860B9" w:rsidRDefault="00556F11" w:rsidP="001775B9">
      <w:pPr>
        <w:bidi w:val="0"/>
        <w:spacing w:line="300" w:lineRule="atLeast"/>
        <w:ind w:left="426"/>
        <w:jc w:val="both"/>
        <w:rPr>
          <w:rFonts w:asciiTheme="minorHAnsi" w:hAnsiTheme="minorHAnsi" w:cstheme="minorHAnsi"/>
        </w:rPr>
      </w:pPr>
      <w:r w:rsidRPr="00A860B9">
        <w:rPr>
          <w:rFonts w:asciiTheme="minorHAnsi" w:hAnsiTheme="minorHAnsi" w:cstheme="minorHAnsi"/>
        </w:rPr>
        <w:t xml:space="preserve">After attributing the unrealized gains totaling NIS 12.4 billion to the revaluation reserves, the Bank’s adjusted net loss in accordance with the Law totaled NIS 4.2 billion. This led to an increase in the Bank’s accumulated deficit </w:t>
      </w:r>
      <w:r w:rsidR="001775B9" w:rsidRPr="00A860B9">
        <w:rPr>
          <w:rFonts w:asciiTheme="minorHAnsi" w:hAnsiTheme="minorHAnsi" w:cstheme="minorHAnsi"/>
        </w:rPr>
        <w:t>to</w:t>
      </w:r>
      <w:r w:rsidRPr="00A860B9">
        <w:rPr>
          <w:rFonts w:asciiTheme="minorHAnsi" w:hAnsiTheme="minorHAnsi" w:cstheme="minorHAnsi"/>
        </w:rPr>
        <w:t xml:space="preserve"> about NIS</w:t>
      </w:r>
      <w:r w:rsidR="001775B9" w:rsidRPr="00A860B9">
        <w:rPr>
          <w:rFonts w:asciiTheme="minorHAnsi" w:hAnsiTheme="minorHAnsi" w:cstheme="minorHAnsi"/>
        </w:rPr>
        <w:t xml:space="preserve"> -</w:t>
      </w:r>
      <w:r w:rsidRPr="00A860B9">
        <w:rPr>
          <w:rFonts w:asciiTheme="minorHAnsi" w:hAnsiTheme="minorHAnsi" w:cstheme="minorHAnsi"/>
        </w:rPr>
        <w:t>118.1 billion at the end of 2024. In accordance with the Law, an accumulated deficit will be offset against future profits to transfer.</w:t>
      </w:r>
    </w:p>
    <w:p w:rsidR="008C4135" w:rsidRPr="00A860B9" w:rsidRDefault="00DD0F13" w:rsidP="00DF3C5D">
      <w:pPr>
        <w:pStyle w:val="aa"/>
        <w:numPr>
          <w:ilvl w:val="0"/>
          <w:numId w:val="5"/>
        </w:numPr>
        <w:spacing w:line="300" w:lineRule="atLeast"/>
        <w:ind w:left="426"/>
        <w:jc w:val="both"/>
        <w:rPr>
          <w:rFonts w:asciiTheme="minorHAnsi" w:hAnsiTheme="minorHAnsi" w:cstheme="minorHAnsi"/>
          <w:szCs w:val="24"/>
        </w:rPr>
      </w:pPr>
      <w:r w:rsidRPr="00A860B9">
        <w:rPr>
          <w:rFonts w:asciiTheme="minorHAnsi" w:hAnsiTheme="minorHAnsi" w:cstheme="minorHAnsi"/>
          <w:szCs w:val="24"/>
        </w:rPr>
        <w:t xml:space="preserve">The Bank’s total </w:t>
      </w:r>
      <w:r w:rsidR="00907E40" w:rsidRPr="00A860B9">
        <w:rPr>
          <w:rFonts w:asciiTheme="minorHAnsi" w:hAnsiTheme="minorHAnsi" w:cstheme="minorHAnsi"/>
          <w:szCs w:val="24"/>
        </w:rPr>
        <w:t xml:space="preserve">equity </w:t>
      </w:r>
      <w:r w:rsidRPr="00A860B9">
        <w:rPr>
          <w:rFonts w:asciiTheme="minorHAnsi" w:hAnsiTheme="minorHAnsi" w:cstheme="minorHAnsi"/>
          <w:szCs w:val="24"/>
        </w:rPr>
        <w:t xml:space="preserve">and revaluation </w:t>
      </w:r>
      <w:r w:rsidR="004E58CB" w:rsidRPr="00A860B9">
        <w:rPr>
          <w:rFonts w:asciiTheme="minorHAnsi" w:hAnsiTheme="minorHAnsi" w:cstheme="minorHAnsi"/>
          <w:szCs w:val="24"/>
        </w:rPr>
        <w:t xml:space="preserve">reserves </w:t>
      </w:r>
      <w:r w:rsidR="008C4A96" w:rsidRPr="00A860B9">
        <w:rPr>
          <w:rFonts w:asciiTheme="minorHAnsi" w:hAnsiTheme="minorHAnsi" w:cstheme="minorHAnsi"/>
          <w:szCs w:val="24"/>
        </w:rPr>
        <w:t xml:space="preserve">remained </w:t>
      </w:r>
      <w:r w:rsidRPr="00A860B9">
        <w:rPr>
          <w:rFonts w:asciiTheme="minorHAnsi" w:hAnsiTheme="minorHAnsi" w:cstheme="minorHAnsi"/>
          <w:szCs w:val="24"/>
        </w:rPr>
        <w:t>positive in 202</w:t>
      </w:r>
      <w:r w:rsidR="008C4A96" w:rsidRPr="00A860B9">
        <w:rPr>
          <w:rFonts w:asciiTheme="minorHAnsi" w:hAnsiTheme="minorHAnsi" w:cstheme="minorHAnsi"/>
          <w:szCs w:val="24"/>
        </w:rPr>
        <w:t>4</w:t>
      </w:r>
      <w:r w:rsidRPr="00A860B9">
        <w:rPr>
          <w:rFonts w:asciiTheme="minorHAnsi" w:hAnsiTheme="minorHAnsi" w:cstheme="minorHAnsi"/>
          <w:szCs w:val="24"/>
        </w:rPr>
        <w:t xml:space="preserve">, totaling </w:t>
      </w:r>
      <w:r w:rsidR="00695833" w:rsidRPr="00A860B9">
        <w:rPr>
          <w:rFonts w:asciiTheme="minorHAnsi" w:hAnsiTheme="minorHAnsi" w:cstheme="minorHAnsi"/>
          <w:szCs w:val="24"/>
        </w:rPr>
        <w:t xml:space="preserve">NIS </w:t>
      </w:r>
      <w:r w:rsidR="008C4A96" w:rsidRPr="00A860B9">
        <w:rPr>
          <w:rFonts w:asciiTheme="minorHAnsi" w:hAnsiTheme="minorHAnsi" w:cstheme="minorHAnsi"/>
          <w:szCs w:val="24"/>
        </w:rPr>
        <w:t xml:space="preserve">18.9 </w:t>
      </w:r>
      <w:r w:rsidR="00695833" w:rsidRPr="00A860B9">
        <w:rPr>
          <w:rFonts w:asciiTheme="minorHAnsi" w:hAnsiTheme="minorHAnsi" w:cstheme="minorHAnsi"/>
          <w:szCs w:val="24"/>
        </w:rPr>
        <w:t xml:space="preserve">billion, representing </w:t>
      </w:r>
      <w:r w:rsidR="008F1216" w:rsidRPr="00A860B9">
        <w:rPr>
          <w:rFonts w:asciiTheme="minorHAnsi" w:hAnsiTheme="minorHAnsi" w:cstheme="minorHAnsi"/>
          <w:szCs w:val="24"/>
        </w:rPr>
        <w:t>an a</w:t>
      </w:r>
      <w:r w:rsidR="004E58CB" w:rsidRPr="00A860B9">
        <w:rPr>
          <w:rFonts w:asciiTheme="minorHAnsi" w:hAnsiTheme="minorHAnsi" w:cstheme="minorHAnsi"/>
          <w:szCs w:val="24"/>
        </w:rPr>
        <w:t>ccumu</w:t>
      </w:r>
      <w:r w:rsidR="00B34AF5" w:rsidRPr="00A860B9">
        <w:rPr>
          <w:rFonts w:asciiTheme="minorHAnsi" w:hAnsiTheme="minorHAnsi" w:cstheme="minorHAnsi"/>
          <w:szCs w:val="24"/>
        </w:rPr>
        <w:t xml:space="preserve">lated </w:t>
      </w:r>
      <w:r w:rsidR="00695833" w:rsidRPr="00A860B9">
        <w:rPr>
          <w:rFonts w:asciiTheme="minorHAnsi" w:hAnsiTheme="minorHAnsi" w:cstheme="minorHAnsi"/>
          <w:szCs w:val="24"/>
        </w:rPr>
        <w:t xml:space="preserve">deficit </w:t>
      </w:r>
      <w:r w:rsidR="00C3011A" w:rsidRPr="00A860B9">
        <w:rPr>
          <w:rFonts w:asciiTheme="minorHAnsi" w:hAnsiTheme="minorHAnsi" w:cstheme="minorHAnsi"/>
          <w:szCs w:val="24"/>
        </w:rPr>
        <w:t xml:space="preserve">equity </w:t>
      </w:r>
      <w:r w:rsidR="00695833" w:rsidRPr="00A860B9">
        <w:rPr>
          <w:rFonts w:asciiTheme="minorHAnsi" w:hAnsiTheme="minorHAnsi" w:cstheme="minorHAnsi"/>
          <w:szCs w:val="24"/>
        </w:rPr>
        <w:t>balance of NIS -</w:t>
      </w:r>
      <w:r w:rsidR="008C4A96" w:rsidRPr="00A860B9">
        <w:rPr>
          <w:rFonts w:asciiTheme="minorHAnsi" w:hAnsiTheme="minorHAnsi" w:cstheme="minorHAnsi"/>
          <w:szCs w:val="24"/>
        </w:rPr>
        <w:t xml:space="preserve">114.1 </w:t>
      </w:r>
      <w:r w:rsidR="00695833" w:rsidRPr="00A860B9">
        <w:rPr>
          <w:rFonts w:asciiTheme="minorHAnsi" w:hAnsiTheme="minorHAnsi" w:cstheme="minorHAnsi"/>
          <w:szCs w:val="24"/>
        </w:rPr>
        <w:t xml:space="preserve">billion, while the revaluation </w:t>
      </w:r>
      <w:r w:rsidR="004E58CB" w:rsidRPr="00A860B9">
        <w:rPr>
          <w:rFonts w:asciiTheme="minorHAnsi" w:hAnsiTheme="minorHAnsi" w:cstheme="minorHAnsi"/>
          <w:szCs w:val="24"/>
        </w:rPr>
        <w:t xml:space="preserve">reserves </w:t>
      </w:r>
      <w:r w:rsidR="00695833" w:rsidRPr="00A860B9">
        <w:rPr>
          <w:rFonts w:asciiTheme="minorHAnsi" w:hAnsiTheme="minorHAnsi" w:cstheme="minorHAnsi"/>
          <w:szCs w:val="24"/>
        </w:rPr>
        <w:t xml:space="preserve">in respect of unrealized gains was </w:t>
      </w:r>
      <w:r w:rsidR="008C4A96" w:rsidRPr="00A860B9">
        <w:rPr>
          <w:rFonts w:asciiTheme="minorHAnsi" w:hAnsiTheme="minorHAnsi" w:cstheme="minorHAnsi"/>
          <w:szCs w:val="24"/>
        </w:rPr>
        <w:t>approximately</w:t>
      </w:r>
      <w:r w:rsidR="00CF04F4" w:rsidRPr="00A860B9">
        <w:rPr>
          <w:rFonts w:asciiTheme="minorHAnsi" w:hAnsiTheme="minorHAnsi" w:cstheme="minorHAnsi"/>
          <w:szCs w:val="24"/>
        </w:rPr>
        <w:t xml:space="preserve"> </w:t>
      </w:r>
      <w:r w:rsidR="00695833" w:rsidRPr="00A860B9">
        <w:rPr>
          <w:rFonts w:asciiTheme="minorHAnsi" w:hAnsiTheme="minorHAnsi" w:cstheme="minorHAnsi"/>
          <w:szCs w:val="24"/>
        </w:rPr>
        <w:t xml:space="preserve">NIS </w:t>
      </w:r>
      <w:r w:rsidR="008C4A96" w:rsidRPr="00A860B9">
        <w:rPr>
          <w:rFonts w:asciiTheme="minorHAnsi" w:hAnsiTheme="minorHAnsi" w:cstheme="minorHAnsi"/>
          <w:szCs w:val="24"/>
        </w:rPr>
        <w:t xml:space="preserve">133 </w:t>
      </w:r>
      <w:r w:rsidR="00695833" w:rsidRPr="00A860B9">
        <w:rPr>
          <w:rFonts w:asciiTheme="minorHAnsi" w:hAnsiTheme="minorHAnsi" w:cstheme="minorHAnsi"/>
          <w:szCs w:val="24"/>
        </w:rPr>
        <w:t>billion.</w:t>
      </w:r>
      <w:r w:rsidR="00DF3C5D" w:rsidRPr="00A860B9">
        <w:rPr>
          <w:rFonts w:asciiTheme="minorHAnsi" w:hAnsiTheme="minorHAnsi" w:cstheme="minorHAnsi"/>
          <w:szCs w:val="24"/>
        </w:rPr>
        <w:t xml:space="preserve"> T</w:t>
      </w:r>
      <w:r w:rsidR="00695833" w:rsidRPr="00A860B9">
        <w:rPr>
          <w:rFonts w:asciiTheme="minorHAnsi" w:hAnsiTheme="minorHAnsi" w:cstheme="minorHAnsi"/>
          <w:szCs w:val="24"/>
        </w:rPr>
        <w:t>his balance mainly includes unrealized gains from exchange rate differentials that accumulated on balances denominated in foreign currency and revaluation gains on securities in foreign currency to fair value.</w:t>
      </w:r>
      <w:bookmarkEnd w:id="0"/>
    </w:p>
    <w:sectPr w:rsidR="008C4135" w:rsidRPr="00A860B9" w:rsidSect="00D114C9">
      <w:headerReference w:type="even" r:id="rId9"/>
      <w:headerReference w:type="default" r:id="rId10"/>
      <w:footerReference w:type="even" r:id="rId11"/>
      <w:footerReference w:type="default" r:id="rId12"/>
      <w:headerReference w:type="first" r:id="rId13"/>
      <w:footerReference w:type="first" r:id="rId14"/>
      <w:pgSz w:w="11906" w:h="16838"/>
      <w:pgMar w:top="510" w:right="1797" w:bottom="624" w:left="1797" w:header="397" w:footer="28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072" w:rsidRDefault="001F3072" w:rsidP="00E64B36">
      <w:r>
        <w:separator/>
      </w:r>
    </w:p>
  </w:endnote>
  <w:endnote w:type="continuationSeparator" w:id="0">
    <w:p w:rsidR="001F3072" w:rsidRDefault="001F3072" w:rsidP="00E6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022" w:rsidRPr="00986270" w:rsidRDefault="00986270" w:rsidP="00EB0782">
    <w:pPr>
      <w:bidi w:val="0"/>
      <w:ind w:right="-52"/>
      <w:rPr>
        <w:b/>
        <w:bCs/>
        <w:sz w:val="26"/>
        <w:szCs w:val="26"/>
        <w:u w:val="single"/>
        <w:rtl/>
        <w:cs/>
      </w:rPr>
    </w:pPr>
    <w:r w:rsidRPr="00986270">
      <w:rPr>
        <w:sz w:val="18"/>
        <w:szCs w:val="18"/>
      </w:rPr>
      <w:t>Bank of Israel</w:t>
    </w:r>
    <w:r>
      <w:rPr>
        <w:sz w:val="18"/>
        <w:szCs w:val="18"/>
      </w:rPr>
      <w:tab/>
    </w:r>
    <w:r w:rsidR="00596FB4" w:rsidRPr="00CD0A35">
      <w:rPr>
        <w:sz w:val="18"/>
        <w:szCs w:val="18"/>
      </w:rPr>
      <w:tab/>
    </w:r>
    <w:r w:rsidR="00B96022" w:rsidRPr="00CD0A35">
      <w:rPr>
        <w:sz w:val="18"/>
        <w:szCs w:val="18"/>
      </w:rPr>
      <w:t>Page</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PAGE</w:instrText>
    </w:r>
    <w:r w:rsidR="00B96022" w:rsidRPr="00CD0A35">
      <w:rPr>
        <w:b/>
        <w:bCs/>
        <w:sz w:val="18"/>
        <w:szCs w:val="18"/>
      </w:rPr>
      <w:fldChar w:fldCharType="separate"/>
    </w:r>
    <w:r w:rsidR="00A860B9">
      <w:rPr>
        <w:b/>
        <w:bCs/>
        <w:noProof/>
        <w:sz w:val="18"/>
        <w:szCs w:val="18"/>
      </w:rPr>
      <w:t>2</w:t>
    </w:r>
    <w:r w:rsidR="00B96022" w:rsidRPr="00CD0A35">
      <w:rPr>
        <w:b/>
        <w:bCs/>
        <w:sz w:val="18"/>
        <w:szCs w:val="18"/>
      </w:rPr>
      <w:fldChar w:fldCharType="end"/>
    </w:r>
    <w:r w:rsidR="00B96022" w:rsidRPr="00CD0A35">
      <w:rPr>
        <w:sz w:val="18"/>
        <w:szCs w:val="18"/>
      </w:rPr>
      <w:t xml:space="preserve"> Of</w:t>
    </w:r>
    <w:r w:rsidR="00B96022" w:rsidRPr="00CD0A35">
      <w:rPr>
        <w:sz w:val="18"/>
        <w:szCs w:val="18"/>
        <w:rtl/>
        <w:cs/>
        <w:lang w:val="he-IL"/>
      </w:rPr>
      <w:t xml:space="preserve"> </w:t>
    </w:r>
    <w:r w:rsidR="00B96022" w:rsidRPr="00CD0A35">
      <w:rPr>
        <w:b/>
        <w:bCs/>
        <w:sz w:val="18"/>
        <w:szCs w:val="18"/>
      </w:rPr>
      <w:fldChar w:fldCharType="begin"/>
    </w:r>
    <w:r w:rsidR="00B96022" w:rsidRPr="00CD0A35">
      <w:rPr>
        <w:b/>
        <w:bCs/>
        <w:sz w:val="18"/>
        <w:szCs w:val="18"/>
        <w:rtl/>
        <w:cs/>
      </w:rPr>
      <w:instrText>NUMPAGES</w:instrText>
    </w:r>
    <w:r w:rsidR="00B96022" w:rsidRPr="00CD0A35">
      <w:rPr>
        <w:b/>
        <w:bCs/>
        <w:sz w:val="18"/>
        <w:szCs w:val="18"/>
      </w:rPr>
      <w:fldChar w:fldCharType="separate"/>
    </w:r>
    <w:r w:rsidR="00A860B9">
      <w:rPr>
        <w:b/>
        <w:bCs/>
        <w:noProof/>
        <w:sz w:val="18"/>
        <w:szCs w:val="18"/>
      </w:rPr>
      <w:t>2</w:t>
    </w:r>
    <w:r w:rsidR="00B96022" w:rsidRPr="00CD0A35">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072" w:rsidRDefault="001F3072" w:rsidP="00E64B36">
      <w:r>
        <w:separator/>
      </w:r>
    </w:p>
  </w:footnote>
  <w:footnote w:type="continuationSeparator" w:id="0">
    <w:p w:rsidR="001F3072" w:rsidRDefault="001F3072" w:rsidP="00E64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55D" w:rsidRDefault="0046455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A26"/>
    <w:multiLevelType w:val="hybridMultilevel"/>
    <w:tmpl w:val="A40E20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25C20"/>
    <w:multiLevelType w:val="hybridMultilevel"/>
    <w:tmpl w:val="06309BCE"/>
    <w:lvl w:ilvl="0" w:tplc="04090001">
      <w:start w:val="1"/>
      <w:numFmt w:val="bullet"/>
      <w:lvlText w:val=""/>
      <w:lvlJc w:val="left"/>
      <w:pPr>
        <w:ind w:left="654" w:hanging="360"/>
      </w:pPr>
      <w:rPr>
        <w:rFonts w:ascii="Symbol" w:hAnsi="Symbol" w:hint="default"/>
      </w:rPr>
    </w:lvl>
    <w:lvl w:ilvl="1" w:tplc="04090003">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 w15:restartNumberingAfterBreak="0">
    <w:nsid w:val="5FCF55FD"/>
    <w:multiLevelType w:val="hybridMultilevel"/>
    <w:tmpl w:val="1CF6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9796A"/>
    <w:multiLevelType w:val="hybridMultilevel"/>
    <w:tmpl w:val="E89A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E95DB1"/>
    <w:multiLevelType w:val="hybridMultilevel"/>
    <w:tmpl w:val="1AB63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a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D0"/>
    <w:rsid w:val="00000A06"/>
    <w:rsid w:val="000024CA"/>
    <w:rsid w:val="00006AB5"/>
    <w:rsid w:val="00007AD8"/>
    <w:rsid w:val="00007FFE"/>
    <w:rsid w:val="0001385E"/>
    <w:rsid w:val="0001413F"/>
    <w:rsid w:val="00016984"/>
    <w:rsid w:val="00022A98"/>
    <w:rsid w:val="00022DA8"/>
    <w:rsid w:val="000262DD"/>
    <w:rsid w:val="00033569"/>
    <w:rsid w:val="00051247"/>
    <w:rsid w:val="000517DC"/>
    <w:rsid w:val="000526A0"/>
    <w:rsid w:val="0005726E"/>
    <w:rsid w:val="00066660"/>
    <w:rsid w:val="00072FC8"/>
    <w:rsid w:val="00082038"/>
    <w:rsid w:val="00085D36"/>
    <w:rsid w:val="000A4447"/>
    <w:rsid w:val="000A520E"/>
    <w:rsid w:val="000A79AA"/>
    <w:rsid w:val="000C41CB"/>
    <w:rsid w:val="000C476B"/>
    <w:rsid w:val="000C4933"/>
    <w:rsid w:val="000C710C"/>
    <w:rsid w:val="000D472F"/>
    <w:rsid w:val="000F48F6"/>
    <w:rsid w:val="000F4BF2"/>
    <w:rsid w:val="001001A2"/>
    <w:rsid w:val="00101B55"/>
    <w:rsid w:val="00126B9E"/>
    <w:rsid w:val="00130245"/>
    <w:rsid w:val="00131231"/>
    <w:rsid w:val="001428C4"/>
    <w:rsid w:val="00143F3A"/>
    <w:rsid w:val="00151D84"/>
    <w:rsid w:val="0015719F"/>
    <w:rsid w:val="00160B25"/>
    <w:rsid w:val="00162F5E"/>
    <w:rsid w:val="00164818"/>
    <w:rsid w:val="00166888"/>
    <w:rsid w:val="00170202"/>
    <w:rsid w:val="001775B9"/>
    <w:rsid w:val="001815E1"/>
    <w:rsid w:val="00182CF0"/>
    <w:rsid w:val="00184AA9"/>
    <w:rsid w:val="00184D01"/>
    <w:rsid w:val="00190AB8"/>
    <w:rsid w:val="001963C6"/>
    <w:rsid w:val="001A6A56"/>
    <w:rsid w:val="001B4E73"/>
    <w:rsid w:val="001C1BC1"/>
    <w:rsid w:val="001C388F"/>
    <w:rsid w:val="001C71E8"/>
    <w:rsid w:val="001D1D79"/>
    <w:rsid w:val="001D381C"/>
    <w:rsid w:val="001D4ACD"/>
    <w:rsid w:val="001E0743"/>
    <w:rsid w:val="001E3806"/>
    <w:rsid w:val="001F3072"/>
    <w:rsid w:val="001F57DE"/>
    <w:rsid w:val="00202E77"/>
    <w:rsid w:val="002111FE"/>
    <w:rsid w:val="0021137D"/>
    <w:rsid w:val="002117DC"/>
    <w:rsid w:val="0021327F"/>
    <w:rsid w:val="0021631B"/>
    <w:rsid w:val="002235F5"/>
    <w:rsid w:val="00226569"/>
    <w:rsid w:val="002271A2"/>
    <w:rsid w:val="00237CE5"/>
    <w:rsid w:val="00247387"/>
    <w:rsid w:val="00252C62"/>
    <w:rsid w:val="00271C27"/>
    <w:rsid w:val="00273AE1"/>
    <w:rsid w:val="00281C70"/>
    <w:rsid w:val="00283FB7"/>
    <w:rsid w:val="00284417"/>
    <w:rsid w:val="00295623"/>
    <w:rsid w:val="0029640A"/>
    <w:rsid w:val="00297100"/>
    <w:rsid w:val="00297AE8"/>
    <w:rsid w:val="002A0D2A"/>
    <w:rsid w:val="002A34FC"/>
    <w:rsid w:val="002B48CC"/>
    <w:rsid w:val="002C5D66"/>
    <w:rsid w:val="002C6041"/>
    <w:rsid w:val="002C652D"/>
    <w:rsid w:val="002D02FA"/>
    <w:rsid w:val="002D0996"/>
    <w:rsid w:val="002E503F"/>
    <w:rsid w:val="002F7EEF"/>
    <w:rsid w:val="0030279B"/>
    <w:rsid w:val="003129D6"/>
    <w:rsid w:val="003136EE"/>
    <w:rsid w:val="00321832"/>
    <w:rsid w:val="00322E89"/>
    <w:rsid w:val="00326D58"/>
    <w:rsid w:val="003365E0"/>
    <w:rsid w:val="00336FDE"/>
    <w:rsid w:val="00344E60"/>
    <w:rsid w:val="0034625F"/>
    <w:rsid w:val="00347D10"/>
    <w:rsid w:val="00353800"/>
    <w:rsid w:val="00360B5C"/>
    <w:rsid w:val="00364C08"/>
    <w:rsid w:val="003657D5"/>
    <w:rsid w:val="003727EE"/>
    <w:rsid w:val="003772AF"/>
    <w:rsid w:val="00385CB3"/>
    <w:rsid w:val="00387840"/>
    <w:rsid w:val="0039059D"/>
    <w:rsid w:val="00390CA5"/>
    <w:rsid w:val="00394A02"/>
    <w:rsid w:val="00396046"/>
    <w:rsid w:val="003A335C"/>
    <w:rsid w:val="003A3813"/>
    <w:rsid w:val="003A5633"/>
    <w:rsid w:val="003B034E"/>
    <w:rsid w:val="003B39ED"/>
    <w:rsid w:val="003B715F"/>
    <w:rsid w:val="003B7DC3"/>
    <w:rsid w:val="003C7815"/>
    <w:rsid w:val="003D6F31"/>
    <w:rsid w:val="003D7025"/>
    <w:rsid w:val="003D7860"/>
    <w:rsid w:val="003E219D"/>
    <w:rsid w:val="003E3F4C"/>
    <w:rsid w:val="003E4823"/>
    <w:rsid w:val="003F0FDD"/>
    <w:rsid w:val="003F14E5"/>
    <w:rsid w:val="003F2739"/>
    <w:rsid w:val="003F482D"/>
    <w:rsid w:val="003F56DC"/>
    <w:rsid w:val="00403D99"/>
    <w:rsid w:val="00411BA4"/>
    <w:rsid w:val="00412846"/>
    <w:rsid w:val="00413339"/>
    <w:rsid w:val="004147FC"/>
    <w:rsid w:val="004232B5"/>
    <w:rsid w:val="00430365"/>
    <w:rsid w:val="004309C6"/>
    <w:rsid w:val="0043204C"/>
    <w:rsid w:val="00440CCB"/>
    <w:rsid w:val="00443044"/>
    <w:rsid w:val="00445B15"/>
    <w:rsid w:val="00447E5A"/>
    <w:rsid w:val="0046455D"/>
    <w:rsid w:val="00474107"/>
    <w:rsid w:val="00482E08"/>
    <w:rsid w:val="00492391"/>
    <w:rsid w:val="00497ECA"/>
    <w:rsid w:val="004A20A5"/>
    <w:rsid w:val="004B5C69"/>
    <w:rsid w:val="004C7BBD"/>
    <w:rsid w:val="004D32A7"/>
    <w:rsid w:val="004D5D6F"/>
    <w:rsid w:val="004E25DD"/>
    <w:rsid w:val="004E4AEC"/>
    <w:rsid w:val="004E58CB"/>
    <w:rsid w:val="004F0143"/>
    <w:rsid w:val="0050183E"/>
    <w:rsid w:val="00503423"/>
    <w:rsid w:val="00513B9F"/>
    <w:rsid w:val="00514B9B"/>
    <w:rsid w:val="005207F7"/>
    <w:rsid w:val="005221FC"/>
    <w:rsid w:val="005406F8"/>
    <w:rsid w:val="00540B03"/>
    <w:rsid w:val="005462D0"/>
    <w:rsid w:val="00552C9D"/>
    <w:rsid w:val="0055455A"/>
    <w:rsid w:val="00555C8A"/>
    <w:rsid w:val="00556F11"/>
    <w:rsid w:val="005576E1"/>
    <w:rsid w:val="00567B00"/>
    <w:rsid w:val="00567CB8"/>
    <w:rsid w:val="005713A8"/>
    <w:rsid w:val="00574B7C"/>
    <w:rsid w:val="00583DAD"/>
    <w:rsid w:val="00585B3D"/>
    <w:rsid w:val="005866CF"/>
    <w:rsid w:val="0059277F"/>
    <w:rsid w:val="00596FB4"/>
    <w:rsid w:val="00597EED"/>
    <w:rsid w:val="005A0A87"/>
    <w:rsid w:val="005A2991"/>
    <w:rsid w:val="005B0E0E"/>
    <w:rsid w:val="005B1334"/>
    <w:rsid w:val="005B4465"/>
    <w:rsid w:val="005C0442"/>
    <w:rsid w:val="005C4B3E"/>
    <w:rsid w:val="005D02C7"/>
    <w:rsid w:val="005D0AF8"/>
    <w:rsid w:val="005D42E1"/>
    <w:rsid w:val="005D6166"/>
    <w:rsid w:val="005E15F7"/>
    <w:rsid w:val="005F3A83"/>
    <w:rsid w:val="005F3E47"/>
    <w:rsid w:val="005F49F5"/>
    <w:rsid w:val="0060215A"/>
    <w:rsid w:val="00603386"/>
    <w:rsid w:val="0061038E"/>
    <w:rsid w:val="0061692C"/>
    <w:rsid w:val="006216F9"/>
    <w:rsid w:val="00621BB5"/>
    <w:rsid w:val="00624B90"/>
    <w:rsid w:val="0062658F"/>
    <w:rsid w:val="00626E9B"/>
    <w:rsid w:val="00640EEA"/>
    <w:rsid w:val="00652D53"/>
    <w:rsid w:val="00662FB1"/>
    <w:rsid w:val="00663742"/>
    <w:rsid w:val="00666B93"/>
    <w:rsid w:val="00670812"/>
    <w:rsid w:val="0067516F"/>
    <w:rsid w:val="0068096D"/>
    <w:rsid w:val="006908BD"/>
    <w:rsid w:val="00695833"/>
    <w:rsid w:val="006A36CC"/>
    <w:rsid w:val="006A66C5"/>
    <w:rsid w:val="006B466F"/>
    <w:rsid w:val="006B4683"/>
    <w:rsid w:val="006B679C"/>
    <w:rsid w:val="006C6841"/>
    <w:rsid w:val="006C714C"/>
    <w:rsid w:val="006D3582"/>
    <w:rsid w:val="006E0386"/>
    <w:rsid w:val="006E1B6A"/>
    <w:rsid w:val="006E2B47"/>
    <w:rsid w:val="006F135C"/>
    <w:rsid w:val="0070010B"/>
    <w:rsid w:val="00701734"/>
    <w:rsid w:val="00710373"/>
    <w:rsid w:val="00710F6F"/>
    <w:rsid w:val="00713A06"/>
    <w:rsid w:val="00714C3E"/>
    <w:rsid w:val="00721560"/>
    <w:rsid w:val="00726036"/>
    <w:rsid w:val="0074341E"/>
    <w:rsid w:val="00745008"/>
    <w:rsid w:val="00751F08"/>
    <w:rsid w:val="00760371"/>
    <w:rsid w:val="00760A69"/>
    <w:rsid w:val="007666A8"/>
    <w:rsid w:val="00774B85"/>
    <w:rsid w:val="00776466"/>
    <w:rsid w:val="007806C5"/>
    <w:rsid w:val="0078291B"/>
    <w:rsid w:val="00786563"/>
    <w:rsid w:val="00787142"/>
    <w:rsid w:val="00793399"/>
    <w:rsid w:val="007969C0"/>
    <w:rsid w:val="007B2769"/>
    <w:rsid w:val="007B76A7"/>
    <w:rsid w:val="007C6400"/>
    <w:rsid w:val="007D153D"/>
    <w:rsid w:val="007D280C"/>
    <w:rsid w:val="007D57EE"/>
    <w:rsid w:val="007E1CB3"/>
    <w:rsid w:val="007E7C95"/>
    <w:rsid w:val="007F7993"/>
    <w:rsid w:val="008003A6"/>
    <w:rsid w:val="00801648"/>
    <w:rsid w:val="0080701C"/>
    <w:rsid w:val="0081026B"/>
    <w:rsid w:val="008201C1"/>
    <w:rsid w:val="00825A6A"/>
    <w:rsid w:val="00827F79"/>
    <w:rsid w:val="008403F1"/>
    <w:rsid w:val="00842057"/>
    <w:rsid w:val="00842BAF"/>
    <w:rsid w:val="00844C03"/>
    <w:rsid w:val="00844CD4"/>
    <w:rsid w:val="00853E3A"/>
    <w:rsid w:val="0086005B"/>
    <w:rsid w:val="00864C55"/>
    <w:rsid w:val="00871B6E"/>
    <w:rsid w:val="00872380"/>
    <w:rsid w:val="0087791D"/>
    <w:rsid w:val="00884167"/>
    <w:rsid w:val="00884E78"/>
    <w:rsid w:val="00890EC7"/>
    <w:rsid w:val="008914B1"/>
    <w:rsid w:val="00892440"/>
    <w:rsid w:val="00892A46"/>
    <w:rsid w:val="008A7212"/>
    <w:rsid w:val="008B257A"/>
    <w:rsid w:val="008B6168"/>
    <w:rsid w:val="008C082F"/>
    <w:rsid w:val="008C366C"/>
    <w:rsid w:val="008C4135"/>
    <w:rsid w:val="008C4A96"/>
    <w:rsid w:val="008C6A23"/>
    <w:rsid w:val="008D07C7"/>
    <w:rsid w:val="008D390B"/>
    <w:rsid w:val="008D4A8E"/>
    <w:rsid w:val="008D6FB6"/>
    <w:rsid w:val="008D7BC7"/>
    <w:rsid w:val="008E38F1"/>
    <w:rsid w:val="008E4D8E"/>
    <w:rsid w:val="008F1216"/>
    <w:rsid w:val="008F1FCF"/>
    <w:rsid w:val="00900453"/>
    <w:rsid w:val="0090462E"/>
    <w:rsid w:val="00905463"/>
    <w:rsid w:val="00906954"/>
    <w:rsid w:val="00907E40"/>
    <w:rsid w:val="0091307F"/>
    <w:rsid w:val="00920090"/>
    <w:rsid w:val="00933EF4"/>
    <w:rsid w:val="00934376"/>
    <w:rsid w:val="0093574D"/>
    <w:rsid w:val="00936705"/>
    <w:rsid w:val="00937E97"/>
    <w:rsid w:val="00940221"/>
    <w:rsid w:val="00951B40"/>
    <w:rsid w:val="00951F31"/>
    <w:rsid w:val="00960509"/>
    <w:rsid w:val="00961BD6"/>
    <w:rsid w:val="009624D9"/>
    <w:rsid w:val="00970321"/>
    <w:rsid w:val="0097278E"/>
    <w:rsid w:val="009727A9"/>
    <w:rsid w:val="009744A0"/>
    <w:rsid w:val="0097514F"/>
    <w:rsid w:val="00976781"/>
    <w:rsid w:val="00986270"/>
    <w:rsid w:val="00987A39"/>
    <w:rsid w:val="00994999"/>
    <w:rsid w:val="009A34DD"/>
    <w:rsid w:val="009B3693"/>
    <w:rsid w:val="009B66C8"/>
    <w:rsid w:val="009C0127"/>
    <w:rsid w:val="009C21B3"/>
    <w:rsid w:val="009C2C42"/>
    <w:rsid w:val="009C2EBE"/>
    <w:rsid w:val="009C7FC6"/>
    <w:rsid w:val="009D30CA"/>
    <w:rsid w:val="009E3D4E"/>
    <w:rsid w:val="009E6A28"/>
    <w:rsid w:val="009F010F"/>
    <w:rsid w:val="00A1095A"/>
    <w:rsid w:val="00A117D2"/>
    <w:rsid w:val="00A14B3E"/>
    <w:rsid w:val="00A220F3"/>
    <w:rsid w:val="00A239A7"/>
    <w:rsid w:val="00A263F9"/>
    <w:rsid w:val="00A374AC"/>
    <w:rsid w:val="00A37869"/>
    <w:rsid w:val="00A44A88"/>
    <w:rsid w:val="00A4738A"/>
    <w:rsid w:val="00A72122"/>
    <w:rsid w:val="00A74752"/>
    <w:rsid w:val="00A749E1"/>
    <w:rsid w:val="00A81B6C"/>
    <w:rsid w:val="00A84B4B"/>
    <w:rsid w:val="00A860B9"/>
    <w:rsid w:val="00A9154F"/>
    <w:rsid w:val="00A94775"/>
    <w:rsid w:val="00AB02DF"/>
    <w:rsid w:val="00AB75B4"/>
    <w:rsid w:val="00AC2085"/>
    <w:rsid w:val="00AD0B5C"/>
    <w:rsid w:val="00AD7CC8"/>
    <w:rsid w:val="00AE5F9B"/>
    <w:rsid w:val="00AE6E25"/>
    <w:rsid w:val="00AF0216"/>
    <w:rsid w:val="00AF6B3A"/>
    <w:rsid w:val="00B108AE"/>
    <w:rsid w:val="00B126C1"/>
    <w:rsid w:val="00B13C9D"/>
    <w:rsid w:val="00B17FB6"/>
    <w:rsid w:val="00B2426C"/>
    <w:rsid w:val="00B34AF5"/>
    <w:rsid w:val="00B35F9A"/>
    <w:rsid w:val="00B40E49"/>
    <w:rsid w:val="00B4503A"/>
    <w:rsid w:val="00B47C6E"/>
    <w:rsid w:val="00B541A0"/>
    <w:rsid w:val="00B54F09"/>
    <w:rsid w:val="00B6177E"/>
    <w:rsid w:val="00B621C0"/>
    <w:rsid w:val="00B625CC"/>
    <w:rsid w:val="00B65AC2"/>
    <w:rsid w:val="00B71972"/>
    <w:rsid w:val="00B77C68"/>
    <w:rsid w:val="00B84789"/>
    <w:rsid w:val="00B85769"/>
    <w:rsid w:val="00B87F00"/>
    <w:rsid w:val="00B9176B"/>
    <w:rsid w:val="00B96022"/>
    <w:rsid w:val="00B97165"/>
    <w:rsid w:val="00BB0C7E"/>
    <w:rsid w:val="00BC1010"/>
    <w:rsid w:val="00BC113A"/>
    <w:rsid w:val="00BC2C7F"/>
    <w:rsid w:val="00BC53F2"/>
    <w:rsid w:val="00BC6ADC"/>
    <w:rsid w:val="00BC71FF"/>
    <w:rsid w:val="00BD0FFD"/>
    <w:rsid w:val="00BE27B4"/>
    <w:rsid w:val="00BE4CAF"/>
    <w:rsid w:val="00BE52BF"/>
    <w:rsid w:val="00BF3B1A"/>
    <w:rsid w:val="00C00BB8"/>
    <w:rsid w:val="00C02233"/>
    <w:rsid w:val="00C05BED"/>
    <w:rsid w:val="00C106C2"/>
    <w:rsid w:val="00C15121"/>
    <w:rsid w:val="00C171FF"/>
    <w:rsid w:val="00C21009"/>
    <w:rsid w:val="00C21363"/>
    <w:rsid w:val="00C23BE6"/>
    <w:rsid w:val="00C3011A"/>
    <w:rsid w:val="00C32D15"/>
    <w:rsid w:val="00C3391F"/>
    <w:rsid w:val="00C349B9"/>
    <w:rsid w:val="00C37129"/>
    <w:rsid w:val="00C47A56"/>
    <w:rsid w:val="00C50FF4"/>
    <w:rsid w:val="00C51093"/>
    <w:rsid w:val="00C52224"/>
    <w:rsid w:val="00C52FC2"/>
    <w:rsid w:val="00C54D07"/>
    <w:rsid w:val="00C573A4"/>
    <w:rsid w:val="00C57D2C"/>
    <w:rsid w:val="00C634C1"/>
    <w:rsid w:val="00C67CE0"/>
    <w:rsid w:val="00C74F11"/>
    <w:rsid w:val="00C7649E"/>
    <w:rsid w:val="00C76E10"/>
    <w:rsid w:val="00C8417A"/>
    <w:rsid w:val="00C91720"/>
    <w:rsid w:val="00C93A46"/>
    <w:rsid w:val="00CB5D78"/>
    <w:rsid w:val="00CB6236"/>
    <w:rsid w:val="00CC0030"/>
    <w:rsid w:val="00CC58F8"/>
    <w:rsid w:val="00CD02B7"/>
    <w:rsid w:val="00CD06BC"/>
    <w:rsid w:val="00CD0A35"/>
    <w:rsid w:val="00CD5F91"/>
    <w:rsid w:val="00CD6927"/>
    <w:rsid w:val="00CD6D0D"/>
    <w:rsid w:val="00CE0B40"/>
    <w:rsid w:val="00CE2295"/>
    <w:rsid w:val="00CF04F4"/>
    <w:rsid w:val="00CF77F1"/>
    <w:rsid w:val="00D01EB8"/>
    <w:rsid w:val="00D114C9"/>
    <w:rsid w:val="00D11BDC"/>
    <w:rsid w:val="00D13C47"/>
    <w:rsid w:val="00D21685"/>
    <w:rsid w:val="00D26D43"/>
    <w:rsid w:val="00D326DC"/>
    <w:rsid w:val="00D353EC"/>
    <w:rsid w:val="00D354E8"/>
    <w:rsid w:val="00D43110"/>
    <w:rsid w:val="00D44122"/>
    <w:rsid w:val="00D51D25"/>
    <w:rsid w:val="00D53BC0"/>
    <w:rsid w:val="00D554DA"/>
    <w:rsid w:val="00D60BFC"/>
    <w:rsid w:val="00D60FF3"/>
    <w:rsid w:val="00D63951"/>
    <w:rsid w:val="00D655F5"/>
    <w:rsid w:val="00D67C46"/>
    <w:rsid w:val="00D70252"/>
    <w:rsid w:val="00D70591"/>
    <w:rsid w:val="00D801A4"/>
    <w:rsid w:val="00D907A2"/>
    <w:rsid w:val="00D93C84"/>
    <w:rsid w:val="00D95877"/>
    <w:rsid w:val="00DA6116"/>
    <w:rsid w:val="00DB09A1"/>
    <w:rsid w:val="00DC6BEB"/>
    <w:rsid w:val="00DD0F13"/>
    <w:rsid w:val="00DD4976"/>
    <w:rsid w:val="00DE01A0"/>
    <w:rsid w:val="00DE0699"/>
    <w:rsid w:val="00DE2955"/>
    <w:rsid w:val="00DF3C5D"/>
    <w:rsid w:val="00DF4CC2"/>
    <w:rsid w:val="00DF6966"/>
    <w:rsid w:val="00E04222"/>
    <w:rsid w:val="00E1281F"/>
    <w:rsid w:val="00E14BA2"/>
    <w:rsid w:val="00E2177F"/>
    <w:rsid w:val="00E2493A"/>
    <w:rsid w:val="00E300CF"/>
    <w:rsid w:val="00E369B9"/>
    <w:rsid w:val="00E57B81"/>
    <w:rsid w:val="00E64B36"/>
    <w:rsid w:val="00E660F1"/>
    <w:rsid w:val="00E67F2A"/>
    <w:rsid w:val="00E7204F"/>
    <w:rsid w:val="00E733D7"/>
    <w:rsid w:val="00E8008F"/>
    <w:rsid w:val="00E85DB1"/>
    <w:rsid w:val="00E93668"/>
    <w:rsid w:val="00E94185"/>
    <w:rsid w:val="00E96198"/>
    <w:rsid w:val="00EA0CAB"/>
    <w:rsid w:val="00EB0782"/>
    <w:rsid w:val="00EB0DEC"/>
    <w:rsid w:val="00EB173D"/>
    <w:rsid w:val="00EB44F5"/>
    <w:rsid w:val="00EB669A"/>
    <w:rsid w:val="00EC126C"/>
    <w:rsid w:val="00EC13FB"/>
    <w:rsid w:val="00EC48D4"/>
    <w:rsid w:val="00ED5226"/>
    <w:rsid w:val="00ED697D"/>
    <w:rsid w:val="00ED79D7"/>
    <w:rsid w:val="00EE2AA0"/>
    <w:rsid w:val="00EE3596"/>
    <w:rsid w:val="00EF1554"/>
    <w:rsid w:val="00EF1AC2"/>
    <w:rsid w:val="00EF6BAC"/>
    <w:rsid w:val="00F012C8"/>
    <w:rsid w:val="00F033FC"/>
    <w:rsid w:val="00F105B2"/>
    <w:rsid w:val="00F1304A"/>
    <w:rsid w:val="00F1403F"/>
    <w:rsid w:val="00F146F7"/>
    <w:rsid w:val="00F15E93"/>
    <w:rsid w:val="00F24C91"/>
    <w:rsid w:val="00F45972"/>
    <w:rsid w:val="00F53236"/>
    <w:rsid w:val="00F53494"/>
    <w:rsid w:val="00F56917"/>
    <w:rsid w:val="00F576F6"/>
    <w:rsid w:val="00F6462D"/>
    <w:rsid w:val="00F765CF"/>
    <w:rsid w:val="00F768D8"/>
    <w:rsid w:val="00F806F6"/>
    <w:rsid w:val="00F959F2"/>
    <w:rsid w:val="00FA13BA"/>
    <w:rsid w:val="00FA4548"/>
    <w:rsid w:val="00FB0ACF"/>
    <w:rsid w:val="00FB2B74"/>
    <w:rsid w:val="00FB5D83"/>
    <w:rsid w:val="00FC0EB3"/>
    <w:rsid w:val="00FC2A67"/>
    <w:rsid w:val="00FF5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2AF"/>
    <w:pPr>
      <w:bidi/>
    </w:pPr>
    <w:rPr>
      <w:sz w:val="24"/>
      <w:szCs w:val="24"/>
    </w:rPr>
  </w:style>
  <w:style w:type="paragraph" w:styleId="1">
    <w:name w:val="heading 1"/>
    <w:basedOn w:val="a"/>
    <w:next w:val="a"/>
    <w:qFormat/>
    <w:rsid w:val="0081026B"/>
    <w:pPr>
      <w:keepNext/>
      <w:spacing w:before="240" w:after="60"/>
      <w:outlineLvl w:val="0"/>
    </w:pPr>
    <w:rPr>
      <w:b/>
      <w:bCs/>
      <w:kern w:val="32"/>
      <w:sz w:val="32"/>
      <w:szCs w:val="32"/>
    </w:rPr>
  </w:style>
  <w:style w:type="paragraph" w:styleId="2">
    <w:name w:val="heading 2"/>
    <w:basedOn w:val="a"/>
    <w:next w:val="a"/>
    <w:qFormat/>
    <w:rsid w:val="0081026B"/>
    <w:pPr>
      <w:keepNext/>
      <w:spacing w:before="240" w:after="60"/>
      <w:outlineLvl w:val="1"/>
    </w:pPr>
    <w:rPr>
      <w:b/>
      <w:bCs/>
      <w:i/>
      <w:iCs/>
      <w:sz w:val="28"/>
      <w:szCs w:val="28"/>
    </w:rPr>
  </w:style>
  <w:style w:type="paragraph" w:styleId="3">
    <w:name w:val="heading 3"/>
    <w:basedOn w:val="a"/>
    <w:next w:val="a"/>
    <w:qFormat/>
    <w:rsid w:val="0081026B"/>
    <w:pPr>
      <w:keepNext/>
      <w:spacing w:before="240" w:after="60"/>
      <w:outlineLvl w:val="2"/>
    </w:pPr>
    <w:rPr>
      <w:b/>
      <w:bCs/>
      <w:sz w:val="26"/>
      <w:szCs w:val="26"/>
    </w:rPr>
  </w:style>
  <w:style w:type="paragraph" w:styleId="4">
    <w:name w:val="heading 4"/>
    <w:basedOn w:val="a"/>
    <w:next w:val="a"/>
    <w:qFormat/>
    <w:rsid w:val="0081026B"/>
    <w:pPr>
      <w:keepNext/>
      <w:spacing w:before="240" w:after="60"/>
      <w:outlineLvl w:val="3"/>
    </w:pPr>
    <w:rPr>
      <w:b/>
      <w:bCs/>
      <w:sz w:val="28"/>
      <w:szCs w:val="28"/>
    </w:rPr>
  </w:style>
  <w:style w:type="paragraph" w:styleId="5">
    <w:name w:val="heading 5"/>
    <w:basedOn w:val="a"/>
    <w:next w:val="a"/>
    <w:qFormat/>
    <w:rsid w:val="0081026B"/>
    <w:pPr>
      <w:spacing w:before="240" w:after="60"/>
      <w:outlineLvl w:val="4"/>
    </w:pPr>
    <w:rPr>
      <w:b/>
      <w:bCs/>
      <w:i/>
      <w:iCs/>
      <w:sz w:val="26"/>
      <w:szCs w:val="26"/>
    </w:rPr>
  </w:style>
  <w:style w:type="paragraph" w:styleId="6">
    <w:name w:val="heading 6"/>
    <w:basedOn w:val="a"/>
    <w:next w:val="a"/>
    <w:qFormat/>
    <w:rsid w:val="0081026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62D0"/>
    <w:pPr>
      <w:tabs>
        <w:tab w:val="center" w:pos="4153"/>
        <w:tab w:val="right" w:pos="8306"/>
      </w:tabs>
    </w:pPr>
  </w:style>
  <w:style w:type="paragraph" w:customStyle="1" w:styleId="regpar">
    <w:name w:val="regpar"/>
    <w:basedOn w:val="a"/>
    <w:rsid w:val="005462D0"/>
    <w:pPr>
      <w:bidi w:val="0"/>
      <w:spacing w:line="300" w:lineRule="exact"/>
      <w:ind w:firstLine="240"/>
      <w:jc w:val="both"/>
    </w:pPr>
    <w:rPr>
      <w:rFonts w:ascii="Times" w:hAnsi="Times" w:cs="Times"/>
    </w:rPr>
  </w:style>
  <w:style w:type="table" w:styleId="a5">
    <w:name w:val="Table Theme"/>
    <w:basedOn w:val="a1"/>
    <w:rsid w:val="0081026B"/>
    <w:pPr>
      <w:bidi/>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yperlink">
    <w:name w:val="Hyperlink"/>
    <w:rsid w:val="0081026B"/>
    <w:rPr>
      <w:color w:val="0000FF"/>
      <w:u w:val="single"/>
    </w:rPr>
  </w:style>
  <w:style w:type="character" w:styleId="FollowedHyperlink">
    <w:name w:val="FollowedHyperlink"/>
    <w:rsid w:val="0081026B"/>
    <w:rPr>
      <w:color w:val="606420"/>
      <w:u w:val="single"/>
    </w:rPr>
  </w:style>
  <w:style w:type="paragraph" w:styleId="a6">
    <w:name w:val="footer"/>
    <w:basedOn w:val="a"/>
    <w:link w:val="a7"/>
    <w:uiPriority w:val="99"/>
    <w:rsid w:val="00E64B36"/>
    <w:pPr>
      <w:tabs>
        <w:tab w:val="center" w:pos="4153"/>
        <w:tab w:val="right" w:pos="8306"/>
      </w:tabs>
    </w:pPr>
  </w:style>
  <w:style w:type="character" w:customStyle="1" w:styleId="a7">
    <w:name w:val="כותרת תחתונה תו"/>
    <w:link w:val="a6"/>
    <w:uiPriority w:val="99"/>
    <w:rsid w:val="00E64B36"/>
    <w:rPr>
      <w:sz w:val="24"/>
      <w:szCs w:val="24"/>
    </w:rPr>
  </w:style>
  <w:style w:type="character" w:customStyle="1" w:styleId="a4">
    <w:name w:val="כותרת עליונה תו"/>
    <w:link w:val="a3"/>
    <w:uiPriority w:val="99"/>
    <w:rsid w:val="00E64B36"/>
    <w:rPr>
      <w:sz w:val="24"/>
      <w:szCs w:val="24"/>
    </w:rPr>
  </w:style>
  <w:style w:type="paragraph" w:styleId="a8">
    <w:name w:val="Balloon Text"/>
    <w:basedOn w:val="a"/>
    <w:link w:val="a9"/>
    <w:rsid w:val="00E64B36"/>
    <w:rPr>
      <w:rFonts w:ascii="Tahoma" w:hAnsi="Tahoma" w:cs="Tahoma"/>
      <w:sz w:val="16"/>
      <w:szCs w:val="16"/>
    </w:rPr>
  </w:style>
  <w:style w:type="character" w:customStyle="1" w:styleId="a9">
    <w:name w:val="טקסט בלונים תו"/>
    <w:link w:val="a8"/>
    <w:rsid w:val="00E64B36"/>
    <w:rPr>
      <w:rFonts w:ascii="Tahoma" w:hAnsi="Tahoma" w:cs="Tahoma"/>
      <w:sz w:val="16"/>
      <w:szCs w:val="16"/>
    </w:rPr>
  </w:style>
  <w:style w:type="paragraph" w:styleId="aa">
    <w:name w:val="List Paragraph"/>
    <w:basedOn w:val="a"/>
    <w:uiPriority w:val="34"/>
    <w:qFormat/>
    <w:rsid w:val="00961BD6"/>
    <w:pPr>
      <w:bidi w:val="0"/>
      <w:ind w:left="720"/>
      <w:contextualSpacing/>
    </w:pPr>
    <w:rPr>
      <w:rFonts w:eastAsia="Calibri" w:cs="Arial"/>
      <w:szCs w:val="22"/>
    </w:rPr>
  </w:style>
  <w:style w:type="paragraph" w:styleId="ab">
    <w:name w:val="footnote text"/>
    <w:basedOn w:val="a"/>
    <w:link w:val="ac"/>
    <w:unhideWhenUsed/>
    <w:rsid w:val="00596FB4"/>
    <w:pPr>
      <w:bidi w:val="0"/>
      <w:spacing w:line="300" w:lineRule="exact"/>
      <w:jc w:val="both"/>
    </w:pPr>
    <w:rPr>
      <w:rFonts w:ascii="Times" w:hAnsi="Times" w:cs="Times"/>
      <w:sz w:val="20"/>
      <w:szCs w:val="20"/>
    </w:rPr>
  </w:style>
  <w:style w:type="character" w:customStyle="1" w:styleId="ac">
    <w:name w:val="טקסט הערת שוליים תו"/>
    <w:link w:val="ab"/>
    <w:rsid w:val="00596FB4"/>
    <w:rPr>
      <w:rFonts w:ascii="Times" w:hAnsi="Times" w:cs="Times"/>
    </w:rPr>
  </w:style>
  <w:style w:type="character" w:styleId="ad">
    <w:name w:val="footnote reference"/>
    <w:unhideWhenUsed/>
    <w:rsid w:val="00596FB4"/>
    <w:rPr>
      <w:vertAlign w:val="superscript"/>
    </w:rPr>
  </w:style>
  <w:style w:type="paragraph" w:customStyle="1" w:styleId="LetterheadBOI">
    <w:name w:val="Letterhead BOI"/>
    <w:basedOn w:val="regpar"/>
    <w:link w:val="LetterheadBOIChar"/>
    <w:qFormat/>
    <w:rsid w:val="008D7BC7"/>
    <w:pPr>
      <w:spacing w:line="300" w:lineRule="atLeast"/>
      <w:ind w:firstLine="0"/>
      <w:jc w:val="center"/>
    </w:pPr>
    <w:rPr>
      <w:rFonts w:ascii="Times New Roman" w:hAnsi="Times New Roman" w:cs="David"/>
      <w:b/>
    </w:rPr>
  </w:style>
  <w:style w:type="paragraph" w:customStyle="1" w:styleId="Letterhead2">
    <w:name w:val="Letterhead 2"/>
    <w:basedOn w:val="regpar"/>
    <w:link w:val="Letterhead2Char"/>
    <w:qFormat/>
    <w:rsid w:val="008D7BC7"/>
    <w:pPr>
      <w:spacing w:line="300" w:lineRule="atLeast"/>
      <w:ind w:firstLine="0"/>
      <w:jc w:val="center"/>
    </w:pPr>
    <w:rPr>
      <w:rFonts w:ascii="Times New Roman" w:hAnsi="Times New Roman" w:cs="Times New Roman"/>
      <w:sz w:val="26"/>
      <w:szCs w:val="26"/>
    </w:rPr>
  </w:style>
  <w:style w:type="character" w:customStyle="1" w:styleId="LetterheadBOIChar">
    <w:name w:val="Letterhead BOI Char"/>
    <w:basedOn w:val="a0"/>
    <w:link w:val="LetterheadBOI"/>
    <w:rsid w:val="008D7BC7"/>
    <w:rPr>
      <w:rFonts w:cs="David"/>
      <w:b/>
      <w:sz w:val="24"/>
      <w:szCs w:val="24"/>
    </w:rPr>
  </w:style>
  <w:style w:type="paragraph" w:customStyle="1" w:styleId="PressReleaseTitle">
    <w:name w:val="Press Release Title"/>
    <w:basedOn w:val="a"/>
    <w:link w:val="PressReleaseTitleChar"/>
    <w:qFormat/>
    <w:rsid w:val="008D7BC7"/>
    <w:pPr>
      <w:tabs>
        <w:tab w:val="center" w:pos="4156"/>
        <w:tab w:val="right" w:pos="8312"/>
      </w:tabs>
      <w:bidi w:val="0"/>
      <w:jc w:val="center"/>
    </w:pPr>
    <w:rPr>
      <w:rFonts w:cs="David"/>
      <w:b/>
      <w:bCs/>
      <w:sz w:val="26"/>
      <w:szCs w:val="26"/>
    </w:rPr>
  </w:style>
  <w:style w:type="character" w:customStyle="1" w:styleId="Letterhead2Char">
    <w:name w:val="Letterhead 2 Char"/>
    <w:basedOn w:val="a0"/>
    <w:link w:val="Letterhead2"/>
    <w:rsid w:val="008D7BC7"/>
    <w:rPr>
      <w:sz w:val="26"/>
      <w:szCs w:val="26"/>
    </w:rPr>
  </w:style>
  <w:style w:type="paragraph" w:customStyle="1" w:styleId="Pressreleaseheading2">
    <w:name w:val="Press release heading 2"/>
    <w:basedOn w:val="PressReleaseTitle"/>
    <w:link w:val="Pressreleaseheading2Char"/>
    <w:qFormat/>
    <w:rsid w:val="008D7BC7"/>
    <w:rPr>
      <w:b w:val="0"/>
      <w:bCs w:val="0"/>
    </w:rPr>
  </w:style>
  <w:style w:type="character" w:customStyle="1" w:styleId="PressReleaseTitleChar">
    <w:name w:val="Press Release Title Char"/>
    <w:basedOn w:val="a0"/>
    <w:link w:val="PressReleaseTitle"/>
    <w:rsid w:val="008D7BC7"/>
    <w:rPr>
      <w:rFonts w:cs="David"/>
      <w:b/>
      <w:bCs/>
      <w:sz w:val="26"/>
      <w:szCs w:val="26"/>
    </w:rPr>
  </w:style>
  <w:style w:type="character" w:customStyle="1" w:styleId="Pressreleaseheading2Char">
    <w:name w:val="Press release heading 2 Char"/>
    <w:basedOn w:val="PressReleaseTitleChar"/>
    <w:link w:val="Pressreleaseheading2"/>
    <w:rsid w:val="008D7BC7"/>
    <w:rPr>
      <w:rFonts w:cs="David"/>
      <w:b w:val="0"/>
      <w:bCs w:val="0"/>
      <w:sz w:val="26"/>
      <w:szCs w:val="26"/>
    </w:rPr>
  </w:style>
  <w:style w:type="character" w:styleId="ae">
    <w:name w:val="annotation reference"/>
    <w:basedOn w:val="a0"/>
    <w:semiHidden/>
    <w:unhideWhenUsed/>
    <w:rsid w:val="00F765CF"/>
    <w:rPr>
      <w:sz w:val="16"/>
      <w:szCs w:val="16"/>
    </w:rPr>
  </w:style>
  <w:style w:type="paragraph" w:styleId="af">
    <w:name w:val="annotation text"/>
    <w:basedOn w:val="a"/>
    <w:link w:val="af0"/>
    <w:semiHidden/>
    <w:unhideWhenUsed/>
    <w:rsid w:val="00F765CF"/>
    <w:rPr>
      <w:sz w:val="20"/>
      <w:szCs w:val="20"/>
    </w:rPr>
  </w:style>
  <w:style w:type="character" w:customStyle="1" w:styleId="af0">
    <w:name w:val="טקסט הערה תו"/>
    <w:basedOn w:val="a0"/>
    <w:link w:val="af"/>
    <w:semiHidden/>
    <w:rsid w:val="00F765CF"/>
  </w:style>
  <w:style w:type="paragraph" w:styleId="af1">
    <w:name w:val="annotation subject"/>
    <w:basedOn w:val="af"/>
    <w:next w:val="af"/>
    <w:link w:val="af2"/>
    <w:semiHidden/>
    <w:unhideWhenUsed/>
    <w:rsid w:val="00F765CF"/>
    <w:rPr>
      <w:b/>
      <w:bCs/>
    </w:rPr>
  </w:style>
  <w:style w:type="character" w:customStyle="1" w:styleId="af2">
    <w:name w:val="נושא הערה תו"/>
    <w:basedOn w:val="af0"/>
    <w:link w:val="af1"/>
    <w:semiHidden/>
    <w:rsid w:val="00F76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3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C7AC-1912-4935-B5A7-B2904D66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632</Words>
  <Characters>3325</Characters>
  <Application>Microsoft Office Word</Application>
  <DocSecurity>4</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3950</CharactersWithSpaces>
  <SharedDoc>false</SharedDoc>
  <HLinks>
    <vt:vector size="6" baseType="variant">
      <vt:variant>
        <vt:i4>4980745</vt:i4>
      </vt:variant>
      <vt:variant>
        <vt:i4>0</vt:i4>
      </vt:variant>
      <vt:variant>
        <vt:i4>0</vt:i4>
      </vt:variant>
      <vt:variant>
        <vt:i4>5</vt:i4>
      </vt:variant>
      <vt:variant>
        <vt:lpwstr>http://www.boi.org.il/en/Research/Pages/ind.aspx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2025-03-31T12:11:00Z</dcterms:created>
  <dcterms:modified xsi:type="dcterms:W3CDTF">2025-03-31T12:11:00Z</dcterms:modified>
</cp:coreProperties>
</file>