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C5B" w:rsidRDefault="00595C5B" w:rsidP="0020276C">
      <w:pPr>
        <w:spacing w:line="360" w:lineRule="auto"/>
        <w:jc w:val="both"/>
        <w:rPr>
          <w:rFonts w:ascii="David" w:hAnsi="David" w:cs="David"/>
          <w:b/>
          <w:bCs/>
          <w:sz w:val="46"/>
          <w:szCs w:val="46"/>
          <w:u w:val="single"/>
          <w:rtl/>
        </w:rPr>
      </w:pPr>
    </w:p>
    <w:tbl>
      <w:tblPr>
        <w:tblpPr w:leftFromText="180" w:rightFromText="180" w:vertAnchor="page" w:horzAnchor="margin" w:tblpXSpec="center" w:tblpY="991"/>
        <w:bidiVisual/>
        <w:tblW w:w="9530" w:type="dxa"/>
        <w:tblLayout w:type="fixed"/>
        <w:tblLook w:val="0000" w:firstRow="0" w:lastRow="0" w:firstColumn="0" w:lastColumn="0" w:noHBand="0" w:noVBand="0"/>
      </w:tblPr>
      <w:tblGrid>
        <w:gridCol w:w="3343"/>
        <w:gridCol w:w="2596"/>
        <w:gridCol w:w="3591"/>
      </w:tblGrid>
      <w:tr w:rsidR="00595C5B" w:rsidRPr="001D3673" w:rsidTr="00191C88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C5B" w:rsidRPr="001D3673" w:rsidRDefault="00595C5B" w:rsidP="0020276C">
            <w:pPr>
              <w:spacing w:line="480" w:lineRule="auto"/>
              <w:ind w:left="97"/>
              <w:jc w:val="both"/>
              <w:rPr>
                <w:rFonts w:cs="David"/>
                <w:b/>
                <w:bCs/>
                <w:sz w:val="24"/>
                <w:szCs w:val="24"/>
              </w:rPr>
            </w:pPr>
            <w:r w:rsidRPr="001D3673">
              <w:rPr>
                <w:rFonts w:cs="David"/>
                <w:b/>
                <w:bCs/>
                <w:sz w:val="28"/>
                <w:szCs w:val="28"/>
                <w:rtl/>
              </w:rPr>
              <w:t>בנ</w:t>
            </w:r>
            <w:r w:rsidRPr="001D3673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ק </w:t>
            </w:r>
            <w:r w:rsidRPr="001D3673">
              <w:rPr>
                <w:rFonts w:cs="David"/>
                <w:b/>
                <w:bCs/>
                <w:sz w:val="28"/>
                <w:szCs w:val="28"/>
                <w:rtl/>
              </w:rPr>
              <w:t>יש</w:t>
            </w:r>
            <w:r w:rsidRPr="001D3673">
              <w:rPr>
                <w:rFonts w:cs="David" w:hint="cs"/>
                <w:b/>
                <w:bCs/>
                <w:sz w:val="28"/>
                <w:szCs w:val="28"/>
                <w:rtl/>
              </w:rPr>
              <w:t>ראל</w:t>
            </w:r>
          </w:p>
          <w:p w:rsidR="00595C5B" w:rsidRPr="001D3673" w:rsidRDefault="00595C5B" w:rsidP="0020276C">
            <w:pPr>
              <w:spacing w:line="480" w:lineRule="auto"/>
              <w:ind w:left="97" w:right="-101"/>
              <w:jc w:val="both"/>
              <w:rPr>
                <w:sz w:val="24"/>
                <w:szCs w:val="24"/>
              </w:rPr>
            </w:pPr>
            <w:r w:rsidRPr="001D3673">
              <w:rPr>
                <w:rFonts w:cs="David"/>
                <w:sz w:val="24"/>
                <w:szCs w:val="24"/>
                <w:rtl/>
              </w:rPr>
              <w:t>דו</w:t>
            </w:r>
            <w:r w:rsidRPr="001D3673">
              <w:rPr>
                <w:rFonts w:cs="David" w:hint="cs"/>
                <w:sz w:val="24"/>
                <w:szCs w:val="24"/>
                <w:rtl/>
              </w:rPr>
              <w:t>בר</w:t>
            </w:r>
            <w:r w:rsidRPr="001D3673">
              <w:rPr>
                <w:rFonts w:cs="David"/>
                <w:sz w:val="24"/>
                <w:szCs w:val="24"/>
                <w:rtl/>
              </w:rPr>
              <w:t>ות</w:t>
            </w:r>
            <w:r w:rsidRPr="001D3673">
              <w:rPr>
                <w:rFonts w:cs="David" w:hint="cs"/>
                <w:sz w:val="24"/>
                <w:szCs w:val="24"/>
                <w:rtl/>
              </w:rPr>
              <w:t xml:space="preserve"> והסברה כלכלית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5C5B" w:rsidRPr="001D3673" w:rsidRDefault="00595C5B" w:rsidP="0020276C">
            <w:pPr>
              <w:jc w:val="both"/>
              <w:rPr>
                <w:sz w:val="24"/>
                <w:szCs w:val="24"/>
              </w:rPr>
            </w:pPr>
            <w:r w:rsidRPr="001D3673">
              <w:rPr>
                <w:noProof/>
                <w:sz w:val="24"/>
                <w:szCs w:val="24"/>
              </w:rPr>
              <w:drawing>
                <wp:inline distT="0" distB="0" distL="0" distR="0" wp14:anchorId="4535171B" wp14:editId="20C448E4">
                  <wp:extent cx="945515" cy="945515"/>
                  <wp:effectExtent l="0" t="0" r="6985" b="6985"/>
                  <wp:docPr id="3" name="תמונה 3" descr="לוגו בנק ישראל" title="לוג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945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C5B" w:rsidRPr="001D3673" w:rsidRDefault="00595C5B" w:rsidP="0020276C">
            <w:pPr>
              <w:spacing w:line="480" w:lineRule="auto"/>
              <w:jc w:val="both"/>
              <w:rPr>
                <w:rFonts w:cs="David"/>
                <w:sz w:val="24"/>
                <w:szCs w:val="24"/>
              </w:rPr>
            </w:pPr>
            <w:r w:rsidRPr="001D3673">
              <w:rPr>
                <w:rFonts w:cs="David" w:hint="eastAsia"/>
                <w:sz w:val="24"/>
                <w:szCs w:val="24"/>
                <w:rtl/>
              </w:rPr>
              <w:t>‏</w:t>
            </w:r>
            <w:r w:rsidRPr="001D3673">
              <w:rPr>
                <w:rFonts w:cs="David" w:hint="cs"/>
                <w:sz w:val="24"/>
                <w:szCs w:val="24"/>
                <w:rtl/>
              </w:rPr>
              <w:t xml:space="preserve">ירושלים, </w:t>
            </w:r>
            <w:r>
              <w:rPr>
                <w:rFonts w:cs="David" w:hint="cs"/>
                <w:sz w:val="24"/>
                <w:szCs w:val="24"/>
                <w:rtl/>
              </w:rPr>
              <w:t>ז'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>באדר</w:t>
            </w:r>
            <w:r w:rsidRPr="001D3673">
              <w:rPr>
                <w:rFonts w:cs="David"/>
                <w:sz w:val="24"/>
                <w:szCs w:val="24"/>
                <w:rtl/>
              </w:rPr>
              <w:t>, תש</w:t>
            </w:r>
            <w:r>
              <w:rPr>
                <w:rFonts w:cs="David" w:hint="cs"/>
                <w:sz w:val="24"/>
                <w:szCs w:val="24"/>
                <w:rtl/>
              </w:rPr>
              <w:t>פ</w:t>
            </w:r>
            <w:r w:rsidRPr="001D3673">
              <w:rPr>
                <w:rFonts w:cs="David" w:hint="cs"/>
                <w:sz w:val="24"/>
                <w:szCs w:val="24"/>
                <w:rtl/>
              </w:rPr>
              <w:t>"</w:t>
            </w:r>
            <w:r>
              <w:rPr>
                <w:rFonts w:cs="David" w:hint="cs"/>
                <w:sz w:val="24"/>
                <w:szCs w:val="24"/>
                <w:rtl/>
              </w:rPr>
              <w:t>ג</w:t>
            </w:r>
          </w:p>
          <w:p w:rsidR="00595C5B" w:rsidRPr="001D3673" w:rsidRDefault="00595C5B" w:rsidP="0020276C">
            <w:pPr>
              <w:spacing w:line="480" w:lineRule="auto"/>
              <w:jc w:val="both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28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>בפברואר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2022</w:t>
            </w:r>
          </w:p>
        </w:tc>
      </w:tr>
    </w:tbl>
    <w:p w:rsidR="00595C5B" w:rsidRDefault="00595C5B" w:rsidP="0020276C">
      <w:pPr>
        <w:spacing w:line="360" w:lineRule="auto"/>
        <w:jc w:val="both"/>
        <w:rPr>
          <w:rFonts w:asciiTheme="minorBidi" w:hAnsiTheme="minorBidi" w:cs="David"/>
          <w:color w:val="000000" w:themeColor="text1"/>
          <w:sz w:val="24"/>
          <w:szCs w:val="24"/>
          <w:rtl/>
        </w:rPr>
      </w:pPr>
      <w:bookmarkStart w:id="0" w:name="_GoBack"/>
      <w:r w:rsidRPr="0083233A">
        <w:rPr>
          <w:rFonts w:asciiTheme="minorBidi" w:hAnsiTheme="minorBidi" w:cs="David"/>
          <w:color w:val="000000" w:themeColor="text1"/>
          <w:sz w:val="24"/>
          <w:szCs w:val="24"/>
          <w:rtl/>
        </w:rPr>
        <w:t>הודעה לעיתונות:</w:t>
      </w:r>
    </w:p>
    <w:p w:rsidR="00595C5B" w:rsidRPr="0005440B" w:rsidRDefault="00595C5B" w:rsidP="0005440B">
      <w:pPr>
        <w:spacing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05440B">
        <w:rPr>
          <w:rFonts w:ascii="David" w:hAnsi="David" w:cs="David"/>
          <w:b/>
          <w:bCs/>
          <w:sz w:val="28"/>
          <w:szCs w:val="28"/>
          <w:rtl/>
        </w:rPr>
        <w:t xml:space="preserve">דברי הנגיד </w:t>
      </w:r>
      <w:r w:rsidRPr="0005440B">
        <w:rPr>
          <w:rFonts w:ascii="David" w:hAnsi="David" w:cs="David"/>
          <w:b/>
          <w:bCs/>
          <w:sz w:val="28"/>
          <w:szCs w:val="28"/>
          <w:rtl/>
        </w:rPr>
        <w:t>ב</w:t>
      </w:r>
      <w:r w:rsidR="0005440B">
        <w:rPr>
          <w:rFonts w:ascii="David" w:hAnsi="David" w:cs="David"/>
          <w:b/>
          <w:bCs/>
          <w:sz w:val="28"/>
          <w:szCs w:val="28"/>
          <w:rtl/>
        </w:rPr>
        <w:t>סמינר חינוך פיננסי</w:t>
      </w:r>
      <w:r w:rsidR="0005440B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20276C" w:rsidRPr="0005440B">
        <w:rPr>
          <w:rFonts w:ascii="David" w:hAnsi="David" w:cs="David"/>
          <w:b/>
          <w:bCs/>
          <w:sz w:val="28"/>
          <w:szCs w:val="28"/>
          <w:rtl/>
        </w:rPr>
        <w:t>של בנק ישראל</w:t>
      </w:r>
    </w:p>
    <w:bookmarkEnd w:id="0"/>
    <w:p w:rsidR="00595C5B" w:rsidRPr="0020276C" w:rsidRDefault="00595C5B" w:rsidP="0077258A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20276C">
        <w:rPr>
          <w:rFonts w:ascii="David" w:hAnsi="David" w:cs="David"/>
          <w:sz w:val="24"/>
          <w:szCs w:val="24"/>
          <w:rtl/>
        </w:rPr>
        <w:t xml:space="preserve">נגיד בנק ישראל, פרופ' אמיר ירון, נשא דברים </w:t>
      </w:r>
      <w:r w:rsidR="0020276C" w:rsidRPr="0020276C">
        <w:rPr>
          <w:rFonts w:ascii="David" w:hAnsi="David" w:cs="David"/>
          <w:sz w:val="24"/>
          <w:szCs w:val="24"/>
          <w:rtl/>
        </w:rPr>
        <w:t xml:space="preserve">בסמינר חינוך פיננסי </w:t>
      </w:r>
      <w:r w:rsidR="00DD5E8C">
        <w:rPr>
          <w:rFonts w:ascii="David" w:hAnsi="David" w:cs="David" w:hint="cs"/>
          <w:sz w:val="24"/>
          <w:szCs w:val="24"/>
          <w:rtl/>
        </w:rPr>
        <w:t>שקיים בנק ישראל</w:t>
      </w:r>
      <w:r w:rsidR="0020276C" w:rsidRPr="0020276C">
        <w:rPr>
          <w:rFonts w:ascii="David" w:hAnsi="David" w:cs="David"/>
          <w:sz w:val="24"/>
          <w:szCs w:val="24"/>
          <w:rtl/>
        </w:rPr>
        <w:t xml:space="preserve"> </w:t>
      </w:r>
      <w:r w:rsidR="00DD5E8C">
        <w:rPr>
          <w:rFonts w:ascii="David" w:hAnsi="David" w:cs="David" w:hint="cs"/>
          <w:sz w:val="24"/>
          <w:szCs w:val="24"/>
          <w:rtl/>
        </w:rPr>
        <w:t xml:space="preserve"> </w:t>
      </w:r>
      <w:r w:rsidR="0077258A">
        <w:rPr>
          <w:rFonts w:ascii="David" w:hAnsi="David" w:cs="David" w:hint="cs"/>
          <w:sz w:val="24"/>
          <w:szCs w:val="24"/>
          <w:rtl/>
        </w:rPr>
        <w:t xml:space="preserve">היום. להלן </w:t>
      </w:r>
      <w:r w:rsidR="0020276C" w:rsidRPr="0020276C">
        <w:rPr>
          <w:rFonts w:ascii="David" w:hAnsi="David" w:cs="David"/>
          <w:sz w:val="24"/>
          <w:szCs w:val="24"/>
          <w:rtl/>
        </w:rPr>
        <w:t>דבריו:</w:t>
      </w:r>
    </w:p>
    <w:p w:rsidR="00DA6100" w:rsidRPr="0020276C" w:rsidRDefault="005814C3" w:rsidP="0020276C">
      <w:pPr>
        <w:spacing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20276C">
        <w:rPr>
          <w:rFonts w:ascii="David" w:eastAsia="Times New Roman" w:hAnsi="David" w:cs="David"/>
          <w:sz w:val="24"/>
          <w:szCs w:val="24"/>
          <w:rtl/>
        </w:rPr>
        <w:t xml:space="preserve">שלום לכולם, </w:t>
      </w:r>
    </w:p>
    <w:p w:rsidR="00C16797" w:rsidRPr="0020276C" w:rsidRDefault="00DA6100" w:rsidP="0020276C">
      <w:pPr>
        <w:spacing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20276C">
        <w:rPr>
          <w:rFonts w:ascii="David" w:eastAsia="Times New Roman" w:hAnsi="David" w:cs="David"/>
          <w:sz w:val="24"/>
          <w:szCs w:val="24"/>
          <w:rtl/>
        </w:rPr>
        <w:t>ראשית</w:t>
      </w:r>
      <w:r w:rsidR="00C16797" w:rsidRPr="0020276C">
        <w:rPr>
          <w:rFonts w:ascii="David" w:eastAsia="Times New Roman" w:hAnsi="David" w:cs="David"/>
          <w:sz w:val="24"/>
          <w:szCs w:val="24"/>
          <w:rtl/>
        </w:rPr>
        <w:t>,</w:t>
      </w:r>
      <w:r w:rsidRPr="0020276C">
        <w:rPr>
          <w:rFonts w:ascii="David" w:eastAsia="Times New Roman" w:hAnsi="David" w:cs="David"/>
          <w:sz w:val="24"/>
          <w:szCs w:val="24"/>
          <w:rtl/>
        </w:rPr>
        <w:t xml:space="preserve"> אני רוצה להודות</w:t>
      </w:r>
      <w:r w:rsidR="00C16797" w:rsidRPr="0020276C">
        <w:rPr>
          <w:rFonts w:ascii="David" w:eastAsia="Times New Roman" w:hAnsi="David" w:cs="David"/>
          <w:sz w:val="24"/>
          <w:szCs w:val="24"/>
          <w:rtl/>
        </w:rPr>
        <w:t xml:space="preserve"> לכל השותפות והשותפים</w:t>
      </w:r>
      <w:r w:rsidRPr="0020276C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="00C16797" w:rsidRPr="0020276C">
        <w:rPr>
          <w:rFonts w:ascii="David" w:eastAsia="Times New Roman" w:hAnsi="David" w:cs="David"/>
          <w:sz w:val="24"/>
          <w:szCs w:val="24"/>
          <w:rtl/>
        </w:rPr>
        <w:t>ב</w:t>
      </w:r>
      <w:r w:rsidRPr="0020276C">
        <w:rPr>
          <w:rFonts w:ascii="David" w:eastAsia="Times New Roman" w:hAnsi="David" w:cs="David"/>
          <w:sz w:val="24"/>
          <w:szCs w:val="24"/>
          <w:rtl/>
        </w:rPr>
        <w:t xml:space="preserve">ארגון אירוע חשוב זה. </w:t>
      </w:r>
    </w:p>
    <w:p w:rsidR="00DA6100" w:rsidRPr="0020276C" w:rsidRDefault="00DA6100" w:rsidP="0020276C">
      <w:pPr>
        <w:spacing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20276C">
        <w:rPr>
          <w:rFonts w:ascii="David" w:eastAsia="Times New Roman" w:hAnsi="David" w:cs="David"/>
          <w:sz w:val="24"/>
          <w:szCs w:val="24"/>
          <w:rtl/>
        </w:rPr>
        <w:t xml:space="preserve">חינוך פיננסי הוא מאבני היסוד לפיתוחה של הכלכלה והוא </w:t>
      </w:r>
      <w:r w:rsidR="002B003B" w:rsidRPr="0020276C">
        <w:rPr>
          <w:rFonts w:ascii="David" w:eastAsia="Times New Roman" w:hAnsi="David" w:cs="David"/>
          <w:sz w:val="24"/>
          <w:szCs w:val="24"/>
          <w:rtl/>
        </w:rPr>
        <w:t xml:space="preserve">גם </w:t>
      </w:r>
      <w:r w:rsidRPr="0020276C">
        <w:rPr>
          <w:rFonts w:ascii="David" w:eastAsia="Times New Roman" w:hAnsi="David" w:cs="David"/>
          <w:sz w:val="24"/>
          <w:szCs w:val="24"/>
          <w:rtl/>
        </w:rPr>
        <w:t>הצוהר שלנו, אלו העוסקים בפיננסים, בשווקים ובכלכלה בכלל לגשת אל הציבור ולחשוף בפניהם את החשיבות הגדולה של נושאים אלו על חייהם הפרטיים ועל עתידם.</w:t>
      </w:r>
    </w:p>
    <w:p w:rsidR="00C16797" w:rsidRPr="0020276C" w:rsidRDefault="001D06EC" w:rsidP="0020276C">
      <w:pPr>
        <w:spacing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20276C">
        <w:rPr>
          <w:rFonts w:ascii="David" w:eastAsia="Calibri" w:hAnsi="David" w:cs="David"/>
          <w:sz w:val="24"/>
          <w:szCs w:val="24"/>
          <w:rtl/>
        </w:rPr>
        <w:t>ה-</w:t>
      </w:r>
      <w:r w:rsidRPr="0020276C">
        <w:rPr>
          <w:rFonts w:ascii="David" w:eastAsia="Calibri" w:hAnsi="David" w:cs="David"/>
          <w:sz w:val="24"/>
          <w:szCs w:val="24"/>
        </w:rPr>
        <w:t>OECD</w:t>
      </w:r>
      <w:r w:rsidRPr="0020276C">
        <w:rPr>
          <w:rFonts w:ascii="David" w:eastAsia="Calibri" w:hAnsi="David" w:cs="David"/>
          <w:sz w:val="24"/>
          <w:szCs w:val="24"/>
          <w:rtl/>
        </w:rPr>
        <w:t xml:space="preserve"> מגדיר </w:t>
      </w:r>
      <w:r w:rsidRPr="0020276C">
        <w:rPr>
          <w:rFonts w:ascii="David" w:eastAsia="Calibri" w:hAnsi="David" w:cs="David"/>
          <w:b/>
          <w:bCs/>
          <w:sz w:val="24"/>
          <w:szCs w:val="24"/>
          <w:rtl/>
        </w:rPr>
        <w:t>אוריינות</w:t>
      </w:r>
      <w:r w:rsidRPr="0020276C">
        <w:rPr>
          <w:rFonts w:ascii="David" w:eastAsia="Calibri" w:hAnsi="David" w:cs="David"/>
          <w:sz w:val="24"/>
          <w:szCs w:val="24"/>
          <w:rtl/>
        </w:rPr>
        <w:t xml:space="preserve"> פיננסית כשילוב של ידע, מיומנות, גישה והתנהגות הדרושים לקבלת החלטות פיננסיות נכונות שמובילות לרווחה של הפרט.</w:t>
      </w:r>
      <w:r w:rsidRPr="0020276C">
        <w:rPr>
          <w:rFonts w:ascii="David" w:eastAsia="Times New Roman" w:hAnsi="David" w:cs="David"/>
          <w:sz w:val="24"/>
          <w:szCs w:val="24"/>
          <w:rtl/>
        </w:rPr>
        <w:t xml:space="preserve"> </w:t>
      </w:r>
    </w:p>
    <w:p w:rsidR="001D06EC" w:rsidRPr="0020276C" w:rsidRDefault="001D06EC" w:rsidP="0020276C">
      <w:pPr>
        <w:spacing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20276C">
        <w:rPr>
          <w:rFonts w:ascii="David" w:eastAsia="Times New Roman" w:hAnsi="David" w:cs="David"/>
          <w:sz w:val="24"/>
          <w:szCs w:val="24"/>
          <w:rtl/>
        </w:rPr>
        <w:t xml:space="preserve">כלומר, אוריינות פיננסית מתייחסת הן </w:t>
      </w:r>
      <w:r w:rsidRPr="0020276C">
        <w:rPr>
          <w:rFonts w:ascii="David" w:eastAsia="Times New Roman" w:hAnsi="David" w:cs="David"/>
          <w:b/>
          <w:bCs/>
          <w:sz w:val="24"/>
          <w:szCs w:val="24"/>
          <w:rtl/>
        </w:rPr>
        <w:t>להבנה של רעיונות</w:t>
      </w:r>
      <w:r w:rsidRPr="0020276C">
        <w:rPr>
          <w:rFonts w:ascii="David" w:eastAsia="Times New Roman" w:hAnsi="David" w:cs="David"/>
          <w:sz w:val="24"/>
          <w:szCs w:val="24"/>
          <w:rtl/>
        </w:rPr>
        <w:t xml:space="preserve"> ומושגים פיננסים והן </w:t>
      </w:r>
      <w:r w:rsidRPr="0020276C">
        <w:rPr>
          <w:rFonts w:ascii="David" w:eastAsia="Times New Roman" w:hAnsi="David" w:cs="David"/>
          <w:b/>
          <w:bCs/>
          <w:sz w:val="24"/>
          <w:szCs w:val="24"/>
          <w:rtl/>
        </w:rPr>
        <w:t>לרכישת מיומנויות "רכות" שמאפשרות</w:t>
      </w:r>
      <w:r w:rsidRPr="0020276C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20276C">
        <w:rPr>
          <w:rFonts w:ascii="David" w:eastAsia="Times New Roman" w:hAnsi="David" w:cs="David"/>
          <w:b/>
          <w:bCs/>
          <w:sz w:val="24"/>
          <w:szCs w:val="24"/>
          <w:rtl/>
        </w:rPr>
        <w:t>לקבל החלטות פיננסיות</w:t>
      </w:r>
      <w:r w:rsidRPr="0020276C">
        <w:rPr>
          <w:rFonts w:ascii="David" w:eastAsia="Times New Roman" w:hAnsi="David" w:cs="David"/>
          <w:sz w:val="24"/>
          <w:szCs w:val="24"/>
          <w:rtl/>
        </w:rPr>
        <w:t xml:space="preserve"> נכונות יותר. </w:t>
      </w:r>
    </w:p>
    <w:p w:rsidR="00C16797" w:rsidRPr="0020276C" w:rsidRDefault="00867BEE" w:rsidP="0020276C">
      <w:pPr>
        <w:spacing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20276C">
        <w:rPr>
          <w:rFonts w:ascii="David" w:eastAsia="Times New Roman" w:hAnsi="David" w:cs="David"/>
          <w:sz w:val="24"/>
          <w:szCs w:val="24"/>
          <w:rtl/>
        </w:rPr>
        <w:t>בשנים האחרונות</w:t>
      </w:r>
      <w:r w:rsidR="0011091D" w:rsidRPr="0020276C">
        <w:rPr>
          <w:rFonts w:ascii="David" w:eastAsia="Times New Roman" w:hAnsi="David" w:cs="David"/>
          <w:sz w:val="24"/>
          <w:szCs w:val="24"/>
          <w:rtl/>
        </w:rPr>
        <w:t xml:space="preserve"> התרחשו </w:t>
      </w:r>
      <w:r w:rsidR="001140C6" w:rsidRPr="0020276C">
        <w:rPr>
          <w:rFonts w:ascii="David" w:eastAsia="Times New Roman" w:hAnsi="David" w:cs="David"/>
          <w:sz w:val="24"/>
          <w:szCs w:val="24"/>
          <w:rtl/>
        </w:rPr>
        <w:t xml:space="preserve">בעולם </w:t>
      </w:r>
      <w:r w:rsidR="0011091D" w:rsidRPr="0020276C">
        <w:rPr>
          <w:rFonts w:ascii="David" w:eastAsia="Times New Roman" w:hAnsi="David" w:cs="David"/>
          <w:sz w:val="24"/>
          <w:szCs w:val="24"/>
          <w:rtl/>
        </w:rPr>
        <w:t xml:space="preserve">שינויים תרבותיים, חברתיים וטכנולוגיים </w:t>
      </w:r>
      <w:r w:rsidR="003D7391" w:rsidRPr="0020276C">
        <w:rPr>
          <w:rFonts w:ascii="David" w:eastAsia="Times New Roman" w:hAnsi="David" w:cs="David"/>
          <w:sz w:val="24"/>
          <w:szCs w:val="24"/>
          <w:rtl/>
        </w:rPr>
        <w:t xml:space="preserve">מואצים, ששינו את חיינו לבלי היכר. </w:t>
      </w:r>
      <w:r w:rsidR="00BC0F2A" w:rsidRPr="0020276C">
        <w:rPr>
          <w:rFonts w:ascii="David" w:eastAsia="Times New Roman" w:hAnsi="David" w:cs="David"/>
          <w:sz w:val="24"/>
          <w:szCs w:val="24"/>
          <w:rtl/>
        </w:rPr>
        <w:t xml:space="preserve">גידול בסחר הבין-לאומי, </w:t>
      </w:r>
      <w:r w:rsidR="005B1F7C" w:rsidRPr="0020276C">
        <w:rPr>
          <w:rFonts w:ascii="David" w:eastAsia="Times New Roman" w:hAnsi="David" w:cs="David"/>
          <w:sz w:val="24"/>
          <w:szCs w:val="24"/>
          <w:rtl/>
        </w:rPr>
        <w:t xml:space="preserve">מעבר של בנקים וגופים פיננסים לפלטפורמות </w:t>
      </w:r>
      <w:r w:rsidR="003D7391" w:rsidRPr="0020276C">
        <w:rPr>
          <w:rFonts w:ascii="David" w:eastAsia="Times New Roman" w:hAnsi="David" w:cs="David"/>
          <w:sz w:val="24"/>
          <w:szCs w:val="24"/>
          <w:rtl/>
        </w:rPr>
        <w:t>דיגיטליות</w:t>
      </w:r>
      <w:r w:rsidR="005B1F7C" w:rsidRPr="0020276C">
        <w:rPr>
          <w:rFonts w:ascii="David" w:eastAsia="Times New Roman" w:hAnsi="David" w:cs="David"/>
          <w:sz w:val="24"/>
          <w:szCs w:val="24"/>
          <w:rtl/>
        </w:rPr>
        <w:t xml:space="preserve"> ועוד </w:t>
      </w:r>
      <w:r w:rsidR="001E4786" w:rsidRPr="0020276C">
        <w:rPr>
          <w:rFonts w:ascii="David" w:eastAsia="Times New Roman" w:hAnsi="David" w:cs="David"/>
          <w:sz w:val="24"/>
          <w:szCs w:val="24"/>
          <w:rtl/>
        </w:rPr>
        <w:t>שורה של התפתחויות בשוק הפיננסי,</w:t>
      </w:r>
      <w:r w:rsidR="005B1F7C" w:rsidRPr="0020276C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="003D7391" w:rsidRPr="0020276C">
        <w:rPr>
          <w:rFonts w:ascii="David" w:eastAsia="Times New Roman" w:hAnsi="David" w:cs="David"/>
          <w:sz w:val="24"/>
          <w:szCs w:val="24"/>
          <w:rtl/>
        </w:rPr>
        <w:t>שידרגו את המערכת הפיננסית המסורתית ו</w:t>
      </w:r>
      <w:r w:rsidR="005B1F7C" w:rsidRPr="0020276C">
        <w:rPr>
          <w:rFonts w:ascii="David" w:eastAsia="Times New Roman" w:hAnsi="David" w:cs="David"/>
          <w:sz w:val="24"/>
          <w:szCs w:val="24"/>
          <w:rtl/>
        </w:rPr>
        <w:t>הרחיבו</w:t>
      </w:r>
      <w:r w:rsidR="007D02F4" w:rsidRPr="0020276C">
        <w:rPr>
          <w:rFonts w:ascii="David" w:eastAsia="Times New Roman" w:hAnsi="David" w:cs="David"/>
          <w:sz w:val="24"/>
          <w:szCs w:val="24"/>
          <w:rtl/>
        </w:rPr>
        <w:t xml:space="preserve"> את </w:t>
      </w:r>
      <w:r w:rsidR="00992906" w:rsidRPr="0020276C">
        <w:rPr>
          <w:rFonts w:ascii="David" w:eastAsia="Times New Roman" w:hAnsi="David" w:cs="David"/>
          <w:sz w:val="24"/>
          <w:szCs w:val="24"/>
          <w:rtl/>
        </w:rPr>
        <w:t>מגוון</w:t>
      </w:r>
      <w:r w:rsidR="007D02F4" w:rsidRPr="0020276C">
        <w:rPr>
          <w:rFonts w:ascii="David" w:eastAsia="Times New Roman" w:hAnsi="David" w:cs="David"/>
          <w:sz w:val="24"/>
          <w:szCs w:val="24"/>
          <w:rtl/>
        </w:rPr>
        <w:t xml:space="preserve"> השירותים הפיננסים </w:t>
      </w:r>
      <w:r w:rsidR="00992906" w:rsidRPr="0020276C">
        <w:rPr>
          <w:rFonts w:ascii="David" w:eastAsia="Times New Roman" w:hAnsi="David" w:cs="David"/>
          <w:sz w:val="24"/>
          <w:szCs w:val="24"/>
          <w:rtl/>
        </w:rPr>
        <w:t>שעומדים לרשות</w:t>
      </w:r>
      <w:r w:rsidR="007D02F4" w:rsidRPr="0020276C">
        <w:rPr>
          <w:rFonts w:ascii="David" w:eastAsia="Times New Roman" w:hAnsi="David" w:cs="David"/>
          <w:sz w:val="24"/>
          <w:szCs w:val="24"/>
          <w:rtl/>
        </w:rPr>
        <w:t xml:space="preserve"> הציבור</w:t>
      </w:r>
      <w:r w:rsidR="00992906" w:rsidRPr="0020276C">
        <w:rPr>
          <w:rFonts w:ascii="David" w:eastAsia="Times New Roman" w:hAnsi="David" w:cs="David"/>
          <w:sz w:val="24"/>
          <w:szCs w:val="24"/>
          <w:rtl/>
        </w:rPr>
        <w:t xml:space="preserve">. </w:t>
      </w:r>
    </w:p>
    <w:p w:rsidR="0093185A" w:rsidRPr="0020276C" w:rsidRDefault="00DA6100" w:rsidP="0020276C">
      <w:pPr>
        <w:spacing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20276C">
        <w:rPr>
          <w:rFonts w:ascii="David" w:eastAsia="Times New Roman" w:hAnsi="David" w:cs="David"/>
          <w:sz w:val="24"/>
          <w:szCs w:val="24"/>
          <w:rtl/>
        </w:rPr>
        <w:t>לצד זאת</w:t>
      </w:r>
      <w:r w:rsidR="00B206BA" w:rsidRPr="0020276C">
        <w:rPr>
          <w:rFonts w:ascii="David" w:eastAsia="Times New Roman" w:hAnsi="David" w:cs="David"/>
          <w:sz w:val="24"/>
          <w:szCs w:val="24"/>
          <w:rtl/>
        </w:rPr>
        <w:t>,</w:t>
      </w:r>
      <w:r w:rsidRPr="0020276C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="00316725" w:rsidRPr="0020276C">
        <w:rPr>
          <w:rFonts w:ascii="David" w:eastAsia="Times New Roman" w:hAnsi="David" w:cs="David"/>
          <w:sz w:val="24"/>
          <w:szCs w:val="24"/>
          <w:rtl/>
        </w:rPr>
        <w:t>תמורות אלו,</w:t>
      </w:r>
      <w:r w:rsidR="00CF1189" w:rsidRPr="0020276C">
        <w:rPr>
          <w:rFonts w:ascii="David" w:eastAsia="Times New Roman" w:hAnsi="David" w:cs="David"/>
          <w:sz w:val="24"/>
          <w:szCs w:val="24"/>
          <w:rtl/>
        </w:rPr>
        <w:t xml:space="preserve"> הפכו את השימוש בחלק מהשירותים</w:t>
      </w:r>
      <w:r w:rsidR="00D4612D" w:rsidRPr="0020276C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="001060E7" w:rsidRPr="0020276C">
        <w:rPr>
          <w:rFonts w:ascii="David" w:eastAsia="Times New Roman" w:hAnsi="David" w:cs="David"/>
          <w:sz w:val="24"/>
          <w:szCs w:val="24"/>
          <w:rtl/>
        </w:rPr>
        <w:t>לסבוך</w:t>
      </w:r>
      <w:r w:rsidR="00D4612D" w:rsidRPr="0020276C">
        <w:rPr>
          <w:rFonts w:ascii="David" w:eastAsia="Times New Roman" w:hAnsi="David" w:cs="David"/>
          <w:sz w:val="24"/>
          <w:szCs w:val="24"/>
          <w:rtl/>
        </w:rPr>
        <w:t xml:space="preserve"> יותר, ובכך חייבו</w:t>
      </w:r>
      <w:r w:rsidRPr="0020276C">
        <w:rPr>
          <w:rFonts w:ascii="David" w:eastAsia="Times New Roman" w:hAnsi="David" w:cs="David"/>
          <w:sz w:val="24"/>
          <w:szCs w:val="24"/>
          <w:rtl/>
        </w:rPr>
        <w:t xml:space="preserve"> את </w:t>
      </w:r>
      <w:r w:rsidR="00316725" w:rsidRPr="0020276C">
        <w:rPr>
          <w:rFonts w:ascii="David" w:eastAsia="Times New Roman" w:hAnsi="David" w:cs="David"/>
          <w:sz w:val="24"/>
          <w:szCs w:val="24"/>
          <w:rtl/>
        </w:rPr>
        <w:t>הציבור לפתח מיומנויות</w:t>
      </w:r>
      <w:r w:rsidRPr="0020276C">
        <w:rPr>
          <w:rFonts w:ascii="David" w:eastAsia="Times New Roman" w:hAnsi="David" w:cs="David"/>
          <w:sz w:val="24"/>
          <w:szCs w:val="24"/>
          <w:rtl/>
        </w:rPr>
        <w:t xml:space="preserve"> נוספות</w:t>
      </w:r>
      <w:r w:rsidR="00316725" w:rsidRPr="0020276C">
        <w:rPr>
          <w:rFonts w:ascii="David" w:eastAsia="Times New Roman" w:hAnsi="David" w:cs="David"/>
          <w:sz w:val="24"/>
          <w:szCs w:val="24"/>
          <w:rtl/>
        </w:rPr>
        <w:t xml:space="preserve"> שיאפשרו לו להתמודד עם ההזדמנויות הפיננסיות</w:t>
      </w:r>
      <w:r w:rsidRPr="0020276C">
        <w:rPr>
          <w:rFonts w:ascii="David" w:eastAsia="Times New Roman" w:hAnsi="David" w:cs="David"/>
          <w:sz w:val="24"/>
          <w:szCs w:val="24"/>
          <w:rtl/>
        </w:rPr>
        <w:t xml:space="preserve"> והסיכונים הנלווים להן</w:t>
      </w:r>
      <w:r w:rsidR="003E44BE" w:rsidRPr="0020276C">
        <w:rPr>
          <w:rFonts w:ascii="David" w:eastAsia="Times New Roman" w:hAnsi="David" w:cs="David"/>
          <w:sz w:val="24"/>
          <w:szCs w:val="24"/>
          <w:rtl/>
        </w:rPr>
        <w:t xml:space="preserve">. </w:t>
      </w:r>
    </w:p>
    <w:p w:rsidR="002B003B" w:rsidRPr="0020276C" w:rsidRDefault="00715E19" w:rsidP="0020276C">
      <w:pPr>
        <w:spacing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20276C">
        <w:rPr>
          <w:rFonts w:ascii="David" w:eastAsia="Times New Roman" w:hAnsi="David" w:cs="David"/>
          <w:sz w:val="24"/>
          <w:szCs w:val="24"/>
          <w:rtl/>
        </w:rPr>
        <w:t>אח</w:t>
      </w:r>
      <w:r w:rsidR="00C16797" w:rsidRPr="0020276C">
        <w:rPr>
          <w:rFonts w:ascii="David" w:eastAsia="Times New Roman" w:hAnsi="David" w:cs="David"/>
          <w:sz w:val="24"/>
          <w:szCs w:val="24"/>
          <w:rtl/>
        </w:rPr>
        <w:t>ת הדרכים</w:t>
      </w:r>
      <w:r w:rsidRPr="0020276C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="00C16797" w:rsidRPr="0020276C">
        <w:rPr>
          <w:rFonts w:ascii="David" w:eastAsia="Times New Roman" w:hAnsi="David" w:cs="David"/>
          <w:sz w:val="24"/>
          <w:szCs w:val="24"/>
          <w:rtl/>
        </w:rPr>
        <w:t>העיקריות בהן</w:t>
      </w:r>
      <w:r w:rsidR="00DA6100" w:rsidRPr="0020276C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="00CF654F" w:rsidRPr="0020276C">
        <w:rPr>
          <w:rFonts w:ascii="David" w:eastAsia="Times New Roman" w:hAnsi="David" w:cs="David"/>
          <w:sz w:val="24"/>
          <w:szCs w:val="24"/>
          <w:rtl/>
        </w:rPr>
        <w:t>ניתן לפעול</w:t>
      </w:r>
      <w:r w:rsidR="00DA6100" w:rsidRPr="0020276C">
        <w:rPr>
          <w:rFonts w:ascii="David" w:eastAsia="Times New Roman" w:hAnsi="David" w:cs="David"/>
          <w:sz w:val="24"/>
          <w:szCs w:val="24"/>
          <w:rtl/>
        </w:rPr>
        <w:t xml:space="preserve"> כדי להגדיל את הידע של הציבור בנושאים אלו</w:t>
      </w:r>
      <w:r w:rsidRPr="0020276C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="00C16797" w:rsidRPr="0020276C">
        <w:rPr>
          <w:rFonts w:ascii="David" w:eastAsia="Times New Roman" w:hAnsi="David" w:cs="David"/>
          <w:sz w:val="24"/>
          <w:szCs w:val="24"/>
          <w:rtl/>
        </w:rPr>
        <w:t xml:space="preserve">היא </w:t>
      </w:r>
      <w:r w:rsidR="00DA6100" w:rsidRPr="0020276C">
        <w:rPr>
          <w:rFonts w:ascii="David" w:eastAsia="Times New Roman" w:hAnsi="David" w:cs="David"/>
          <w:sz w:val="24"/>
          <w:szCs w:val="24"/>
          <w:rtl/>
        </w:rPr>
        <w:t>באמצעות</w:t>
      </w:r>
      <w:r w:rsidR="008479B4" w:rsidRPr="0020276C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="00513A62" w:rsidRPr="0020276C">
        <w:rPr>
          <w:rFonts w:ascii="David" w:eastAsia="Times New Roman" w:hAnsi="David" w:cs="David"/>
          <w:sz w:val="24"/>
          <w:szCs w:val="24"/>
          <w:rtl/>
        </w:rPr>
        <w:t xml:space="preserve">השקעה </w:t>
      </w:r>
      <w:r w:rsidR="00513A62" w:rsidRPr="0020276C">
        <w:rPr>
          <w:rFonts w:ascii="David" w:eastAsia="Times New Roman" w:hAnsi="David" w:cs="David"/>
          <w:b/>
          <w:bCs/>
          <w:sz w:val="24"/>
          <w:szCs w:val="24"/>
          <w:rtl/>
        </w:rPr>
        <w:t>ב</w:t>
      </w:r>
      <w:r w:rsidR="008479B4" w:rsidRPr="0020276C">
        <w:rPr>
          <w:rFonts w:ascii="David" w:eastAsia="Times New Roman" w:hAnsi="David" w:cs="David"/>
          <w:b/>
          <w:bCs/>
          <w:sz w:val="24"/>
          <w:szCs w:val="24"/>
          <w:rtl/>
        </w:rPr>
        <w:t>חינוך</w:t>
      </w:r>
      <w:r w:rsidR="008479B4" w:rsidRPr="0020276C">
        <w:rPr>
          <w:rFonts w:ascii="David" w:eastAsia="Times New Roman" w:hAnsi="David" w:cs="David"/>
          <w:sz w:val="24"/>
          <w:szCs w:val="24"/>
          <w:rtl/>
        </w:rPr>
        <w:t xml:space="preserve"> פיננסי. </w:t>
      </w:r>
    </w:p>
    <w:p w:rsidR="00A85AC6" w:rsidRPr="0020276C" w:rsidRDefault="002B003B" w:rsidP="0020276C">
      <w:pPr>
        <w:spacing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20276C">
        <w:rPr>
          <w:rFonts w:ascii="David" w:eastAsia="Times New Roman" w:hAnsi="David" w:cs="David"/>
          <w:sz w:val="24"/>
          <w:szCs w:val="24"/>
          <w:rtl/>
        </w:rPr>
        <w:t>על ידי השקעה ב</w:t>
      </w:r>
      <w:r w:rsidR="008479B4" w:rsidRPr="0020276C">
        <w:rPr>
          <w:rFonts w:ascii="David" w:eastAsia="Times New Roman" w:hAnsi="David" w:cs="David"/>
          <w:sz w:val="24"/>
          <w:szCs w:val="24"/>
          <w:rtl/>
        </w:rPr>
        <w:t>חינוך</w:t>
      </w:r>
      <w:r w:rsidR="008479B4" w:rsidRPr="0020276C">
        <w:rPr>
          <w:rFonts w:ascii="David" w:eastAsia="Times New Roman" w:hAnsi="David" w:cs="David"/>
          <w:sz w:val="24"/>
          <w:szCs w:val="24"/>
        </w:rPr>
        <w:t xml:space="preserve"> </w:t>
      </w:r>
      <w:r w:rsidR="008479B4" w:rsidRPr="0020276C">
        <w:rPr>
          <w:rFonts w:ascii="David" w:eastAsia="Times New Roman" w:hAnsi="David" w:cs="David"/>
          <w:sz w:val="24"/>
          <w:szCs w:val="24"/>
          <w:rtl/>
        </w:rPr>
        <w:t>פיננסי</w:t>
      </w:r>
      <w:r w:rsidR="008479B4" w:rsidRPr="0020276C">
        <w:rPr>
          <w:rFonts w:ascii="David" w:eastAsia="Times New Roman" w:hAnsi="David" w:cs="David"/>
          <w:sz w:val="24"/>
          <w:szCs w:val="24"/>
        </w:rPr>
        <w:t xml:space="preserve"> </w:t>
      </w:r>
      <w:r w:rsidRPr="0020276C">
        <w:rPr>
          <w:rFonts w:ascii="David" w:eastAsia="Times New Roman" w:hAnsi="David" w:cs="David"/>
          <w:sz w:val="24"/>
          <w:szCs w:val="24"/>
          <w:rtl/>
        </w:rPr>
        <w:t>אפשר לדאוג ל</w:t>
      </w:r>
      <w:r w:rsidR="008479B4" w:rsidRPr="0020276C">
        <w:rPr>
          <w:rFonts w:ascii="David" w:eastAsia="Times New Roman" w:hAnsi="David" w:cs="David"/>
          <w:sz w:val="24"/>
          <w:szCs w:val="24"/>
          <w:rtl/>
        </w:rPr>
        <w:t>העברת</w:t>
      </w:r>
      <w:r w:rsidR="008479B4" w:rsidRPr="0020276C">
        <w:rPr>
          <w:rFonts w:ascii="David" w:eastAsia="Times New Roman" w:hAnsi="David" w:cs="David"/>
          <w:sz w:val="24"/>
          <w:szCs w:val="24"/>
        </w:rPr>
        <w:t xml:space="preserve"> </w:t>
      </w:r>
      <w:r w:rsidR="008479B4" w:rsidRPr="0020276C">
        <w:rPr>
          <w:rFonts w:ascii="David" w:eastAsia="Times New Roman" w:hAnsi="David" w:cs="David"/>
          <w:sz w:val="24"/>
          <w:szCs w:val="24"/>
          <w:rtl/>
        </w:rPr>
        <w:t>ידע</w:t>
      </w:r>
      <w:r w:rsidR="008479B4" w:rsidRPr="0020276C">
        <w:rPr>
          <w:rFonts w:ascii="David" w:eastAsia="Times New Roman" w:hAnsi="David" w:cs="David"/>
          <w:sz w:val="24"/>
          <w:szCs w:val="24"/>
        </w:rPr>
        <w:t xml:space="preserve"> </w:t>
      </w:r>
      <w:r w:rsidR="008479B4" w:rsidRPr="0020276C">
        <w:rPr>
          <w:rFonts w:ascii="David" w:eastAsia="Times New Roman" w:hAnsi="David" w:cs="David"/>
          <w:sz w:val="24"/>
          <w:szCs w:val="24"/>
          <w:rtl/>
        </w:rPr>
        <w:t>ותובנות</w:t>
      </w:r>
      <w:r w:rsidR="008479B4" w:rsidRPr="0020276C">
        <w:rPr>
          <w:rFonts w:ascii="David" w:eastAsia="Times New Roman" w:hAnsi="David" w:cs="David"/>
          <w:sz w:val="24"/>
          <w:szCs w:val="24"/>
        </w:rPr>
        <w:t xml:space="preserve"> </w:t>
      </w:r>
      <w:r w:rsidR="008479B4" w:rsidRPr="0020276C">
        <w:rPr>
          <w:rFonts w:ascii="David" w:eastAsia="Times New Roman" w:hAnsi="David" w:cs="David"/>
          <w:sz w:val="24"/>
          <w:szCs w:val="24"/>
          <w:rtl/>
        </w:rPr>
        <w:t>פיננסיות</w:t>
      </w:r>
      <w:r w:rsidR="008479B4" w:rsidRPr="0020276C">
        <w:rPr>
          <w:rFonts w:ascii="David" w:eastAsia="Times New Roman" w:hAnsi="David" w:cs="David"/>
          <w:sz w:val="24"/>
          <w:szCs w:val="24"/>
        </w:rPr>
        <w:t xml:space="preserve"> </w:t>
      </w:r>
      <w:r w:rsidR="008479B4" w:rsidRPr="0020276C">
        <w:rPr>
          <w:rFonts w:ascii="David" w:eastAsia="Times New Roman" w:hAnsi="David" w:cs="David"/>
          <w:sz w:val="24"/>
          <w:szCs w:val="24"/>
          <w:rtl/>
        </w:rPr>
        <w:t>באמצעות</w:t>
      </w:r>
      <w:r w:rsidR="008479B4" w:rsidRPr="0020276C">
        <w:rPr>
          <w:rFonts w:ascii="David" w:eastAsia="Times New Roman" w:hAnsi="David" w:cs="David"/>
          <w:sz w:val="24"/>
          <w:szCs w:val="24"/>
        </w:rPr>
        <w:t xml:space="preserve"> </w:t>
      </w:r>
      <w:proofErr w:type="spellStart"/>
      <w:r w:rsidR="008479B4" w:rsidRPr="0020276C">
        <w:rPr>
          <w:rFonts w:ascii="David" w:eastAsia="Times New Roman" w:hAnsi="David" w:cs="David"/>
          <w:sz w:val="24"/>
          <w:szCs w:val="24"/>
          <w:rtl/>
        </w:rPr>
        <w:t>ת</w:t>
      </w:r>
      <w:r w:rsidR="00B206BA" w:rsidRPr="0020276C">
        <w:rPr>
          <w:rFonts w:ascii="David" w:eastAsia="Times New Roman" w:hAnsi="David" w:cs="David"/>
          <w:sz w:val="24"/>
          <w:szCs w:val="24"/>
          <w:rtl/>
        </w:rPr>
        <w:t>ו</w:t>
      </w:r>
      <w:r w:rsidR="008479B4" w:rsidRPr="0020276C">
        <w:rPr>
          <w:rFonts w:ascii="David" w:eastAsia="Times New Roman" w:hAnsi="David" w:cs="David"/>
          <w:sz w:val="24"/>
          <w:szCs w:val="24"/>
          <w:rtl/>
        </w:rPr>
        <w:t>כניות</w:t>
      </w:r>
      <w:proofErr w:type="spellEnd"/>
      <w:r w:rsidR="008479B4" w:rsidRPr="0020276C">
        <w:rPr>
          <w:rFonts w:ascii="David" w:eastAsia="Times New Roman" w:hAnsi="David" w:cs="David"/>
          <w:sz w:val="24"/>
          <w:szCs w:val="24"/>
        </w:rPr>
        <w:t xml:space="preserve"> </w:t>
      </w:r>
      <w:r w:rsidR="00A43A8B" w:rsidRPr="0020276C">
        <w:rPr>
          <w:rFonts w:ascii="David" w:eastAsia="Times New Roman" w:hAnsi="David" w:cs="David"/>
          <w:sz w:val="24"/>
          <w:szCs w:val="24"/>
          <w:rtl/>
        </w:rPr>
        <w:t>לימודים</w:t>
      </w:r>
      <w:r w:rsidR="00181E5F" w:rsidRPr="0020276C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="00A43A8B" w:rsidRPr="0020276C">
        <w:rPr>
          <w:rFonts w:ascii="David" w:eastAsia="Times New Roman" w:hAnsi="David" w:cs="David"/>
          <w:sz w:val="24"/>
          <w:szCs w:val="24"/>
          <w:rtl/>
        </w:rPr>
        <w:t>שבמסגרתן</w:t>
      </w:r>
      <w:r w:rsidR="00715E19" w:rsidRPr="0020276C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="008479B4" w:rsidRPr="0020276C">
        <w:rPr>
          <w:rFonts w:ascii="David" w:eastAsia="Times New Roman" w:hAnsi="David" w:cs="David"/>
          <w:sz w:val="24"/>
          <w:szCs w:val="24"/>
          <w:rtl/>
        </w:rPr>
        <w:t xml:space="preserve">צרכנים </w:t>
      </w:r>
      <w:r w:rsidRPr="0020276C">
        <w:rPr>
          <w:rFonts w:ascii="David" w:eastAsia="Times New Roman" w:hAnsi="David" w:cs="David"/>
          <w:sz w:val="24"/>
          <w:szCs w:val="24"/>
          <w:rtl/>
        </w:rPr>
        <w:t>יוכלו לש</w:t>
      </w:r>
      <w:r w:rsidR="008479B4" w:rsidRPr="0020276C">
        <w:rPr>
          <w:rFonts w:ascii="David" w:eastAsia="Times New Roman" w:hAnsi="David" w:cs="David"/>
          <w:sz w:val="24"/>
          <w:szCs w:val="24"/>
          <w:rtl/>
        </w:rPr>
        <w:t>פר</w:t>
      </w:r>
      <w:r w:rsidR="008479B4" w:rsidRPr="0020276C">
        <w:rPr>
          <w:rFonts w:ascii="David" w:eastAsia="Times New Roman" w:hAnsi="David" w:cs="David"/>
          <w:sz w:val="24"/>
          <w:szCs w:val="24"/>
        </w:rPr>
        <w:t xml:space="preserve"> </w:t>
      </w:r>
      <w:r w:rsidR="008479B4" w:rsidRPr="0020276C">
        <w:rPr>
          <w:rFonts w:ascii="David" w:eastAsia="Times New Roman" w:hAnsi="David" w:cs="David"/>
          <w:sz w:val="24"/>
          <w:szCs w:val="24"/>
          <w:rtl/>
        </w:rPr>
        <w:t>את</w:t>
      </w:r>
      <w:r w:rsidR="008479B4" w:rsidRPr="0020276C">
        <w:rPr>
          <w:rFonts w:ascii="David" w:eastAsia="Times New Roman" w:hAnsi="David" w:cs="David"/>
          <w:sz w:val="24"/>
          <w:szCs w:val="24"/>
        </w:rPr>
        <w:t xml:space="preserve"> </w:t>
      </w:r>
      <w:r w:rsidR="00715E19" w:rsidRPr="0020276C">
        <w:rPr>
          <w:rFonts w:ascii="David" w:eastAsia="Times New Roman" w:hAnsi="David" w:cs="David"/>
          <w:sz w:val="24"/>
          <w:szCs w:val="24"/>
          <w:rtl/>
        </w:rPr>
        <w:t>הבנתם</w:t>
      </w:r>
      <w:r w:rsidR="008479B4" w:rsidRPr="0020276C">
        <w:rPr>
          <w:rFonts w:ascii="David" w:eastAsia="Times New Roman" w:hAnsi="David" w:cs="David"/>
          <w:sz w:val="24"/>
          <w:szCs w:val="24"/>
        </w:rPr>
        <w:t xml:space="preserve"> </w:t>
      </w:r>
      <w:r w:rsidR="008479B4" w:rsidRPr="0020276C">
        <w:rPr>
          <w:rFonts w:ascii="David" w:eastAsia="Times New Roman" w:hAnsi="David" w:cs="David"/>
          <w:sz w:val="24"/>
          <w:szCs w:val="24"/>
          <w:rtl/>
        </w:rPr>
        <w:t>לגבי</w:t>
      </w:r>
      <w:r w:rsidR="00715E19" w:rsidRPr="0020276C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="008479B4" w:rsidRPr="0020276C">
        <w:rPr>
          <w:rFonts w:ascii="David" w:eastAsia="Times New Roman" w:hAnsi="David" w:cs="David"/>
          <w:sz w:val="24"/>
          <w:szCs w:val="24"/>
          <w:rtl/>
        </w:rPr>
        <w:t>מושגים</w:t>
      </w:r>
      <w:r w:rsidR="00CF2BA1" w:rsidRPr="0020276C">
        <w:rPr>
          <w:rFonts w:ascii="David" w:eastAsia="Times New Roman" w:hAnsi="David" w:cs="David"/>
          <w:sz w:val="24"/>
          <w:szCs w:val="24"/>
          <w:rtl/>
        </w:rPr>
        <w:t xml:space="preserve"> ומוצרים </w:t>
      </w:r>
      <w:r w:rsidR="00715E19" w:rsidRPr="0020276C">
        <w:rPr>
          <w:rFonts w:ascii="David" w:eastAsia="Times New Roman" w:hAnsi="David" w:cs="David"/>
          <w:sz w:val="24"/>
          <w:szCs w:val="24"/>
          <w:rtl/>
        </w:rPr>
        <w:t>פיננסים</w:t>
      </w:r>
      <w:r w:rsidR="00513A62" w:rsidRPr="0020276C">
        <w:rPr>
          <w:rFonts w:ascii="David" w:eastAsia="Times New Roman" w:hAnsi="David" w:cs="David"/>
          <w:sz w:val="24"/>
          <w:szCs w:val="24"/>
          <w:rtl/>
        </w:rPr>
        <w:t>.</w:t>
      </w:r>
      <w:r w:rsidR="008479B4" w:rsidRPr="0020276C">
        <w:rPr>
          <w:rFonts w:ascii="David" w:eastAsia="Times New Roman" w:hAnsi="David" w:cs="David"/>
          <w:sz w:val="24"/>
          <w:szCs w:val="24"/>
          <w:rtl/>
        </w:rPr>
        <w:t xml:space="preserve"> </w:t>
      </w:r>
    </w:p>
    <w:p w:rsidR="00DA6100" w:rsidRPr="0020276C" w:rsidRDefault="002B003B" w:rsidP="0020276C">
      <w:pPr>
        <w:spacing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20276C">
        <w:rPr>
          <w:rFonts w:ascii="David" w:eastAsia="Times New Roman" w:hAnsi="David" w:cs="David"/>
          <w:sz w:val="24"/>
          <w:szCs w:val="24"/>
          <w:rtl/>
        </w:rPr>
        <w:t>כך</w:t>
      </w:r>
      <w:r w:rsidR="00FD3B25" w:rsidRPr="0020276C">
        <w:rPr>
          <w:rFonts w:ascii="David" w:eastAsia="Times New Roman" w:hAnsi="David" w:cs="David"/>
          <w:sz w:val="24"/>
          <w:szCs w:val="24"/>
          <w:rtl/>
        </w:rPr>
        <w:t>,</w:t>
      </w:r>
      <w:r w:rsidRPr="0020276C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="00715E19" w:rsidRPr="0020276C">
        <w:rPr>
          <w:rFonts w:ascii="David" w:eastAsia="Times New Roman" w:hAnsi="David" w:cs="David"/>
          <w:sz w:val="24"/>
          <w:szCs w:val="24"/>
          <w:rtl/>
        </w:rPr>
        <w:t>ה</w:t>
      </w:r>
      <w:r w:rsidR="00456762" w:rsidRPr="0020276C">
        <w:rPr>
          <w:rFonts w:ascii="David" w:eastAsia="Times New Roman" w:hAnsi="David" w:cs="David"/>
          <w:sz w:val="24"/>
          <w:szCs w:val="24"/>
          <w:rtl/>
        </w:rPr>
        <w:t xml:space="preserve">צרכניות והצרכנים </w:t>
      </w:r>
      <w:r w:rsidR="007F6BD8" w:rsidRPr="0020276C">
        <w:rPr>
          <w:rFonts w:ascii="David" w:eastAsia="Times New Roman" w:hAnsi="David" w:cs="David"/>
          <w:sz w:val="24"/>
          <w:szCs w:val="24"/>
          <w:rtl/>
        </w:rPr>
        <w:t>הופכים</w:t>
      </w:r>
      <w:r w:rsidR="00715E19" w:rsidRPr="0020276C">
        <w:rPr>
          <w:rFonts w:ascii="David" w:eastAsia="Times New Roman" w:hAnsi="David" w:cs="David"/>
          <w:sz w:val="24"/>
          <w:szCs w:val="24"/>
          <w:rtl/>
        </w:rPr>
        <w:t xml:space="preserve"> למודעים יותר </w:t>
      </w:r>
      <w:r w:rsidRPr="0020276C">
        <w:rPr>
          <w:rFonts w:ascii="David" w:eastAsia="Times New Roman" w:hAnsi="David" w:cs="David"/>
          <w:sz w:val="24"/>
          <w:szCs w:val="24"/>
          <w:rtl/>
        </w:rPr>
        <w:t>ל</w:t>
      </w:r>
      <w:r w:rsidR="00715E19" w:rsidRPr="0020276C">
        <w:rPr>
          <w:rFonts w:ascii="David" w:eastAsia="Times New Roman" w:hAnsi="David" w:cs="David"/>
          <w:sz w:val="24"/>
          <w:szCs w:val="24"/>
          <w:rtl/>
        </w:rPr>
        <w:t xml:space="preserve">הזדמנויות </w:t>
      </w:r>
      <w:r w:rsidRPr="0020276C">
        <w:rPr>
          <w:rFonts w:ascii="David" w:eastAsia="Times New Roman" w:hAnsi="David" w:cs="David"/>
          <w:sz w:val="24"/>
          <w:szCs w:val="24"/>
          <w:rtl/>
        </w:rPr>
        <w:t>ה</w:t>
      </w:r>
      <w:r w:rsidR="00715E19" w:rsidRPr="0020276C">
        <w:rPr>
          <w:rFonts w:ascii="David" w:eastAsia="Times New Roman" w:hAnsi="David" w:cs="David"/>
          <w:sz w:val="24"/>
          <w:szCs w:val="24"/>
          <w:rtl/>
        </w:rPr>
        <w:t>פיננסיות</w:t>
      </w:r>
      <w:r w:rsidRPr="0020276C">
        <w:rPr>
          <w:rFonts w:ascii="David" w:eastAsia="Times New Roman" w:hAnsi="David" w:cs="David"/>
          <w:sz w:val="24"/>
          <w:szCs w:val="24"/>
          <w:rtl/>
        </w:rPr>
        <w:t xml:space="preserve"> ולסיכונים </w:t>
      </w:r>
      <w:proofErr w:type="spellStart"/>
      <w:r w:rsidRPr="0020276C">
        <w:rPr>
          <w:rFonts w:ascii="David" w:eastAsia="Times New Roman" w:hAnsi="David" w:cs="David"/>
          <w:sz w:val="24"/>
          <w:szCs w:val="24"/>
          <w:rtl/>
        </w:rPr>
        <w:t>לצידן</w:t>
      </w:r>
      <w:proofErr w:type="spellEnd"/>
      <w:r w:rsidR="00715E19" w:rsidRPr="0020276C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="00456762" w:rsidRPr="0020276C">
        <w:rPr>
          <w:rFonts w:ascii="David" w:eastAsia="Times New Roman" w:hAnsi="David" w:cs="David"/>
          <w:sz w:val="24"/>
          <w:szCs w:val="24"/>
          <w:rtl/>
        </w:rPr>
        <w:t xml:space="preserve">ובהתאם </w:t>
      </w:r>
      <w:r w:rsidR="00513A62" w:rsidRPr="0020276C">
        <w:rPr>
          <w:rFonts w:ascii="David" w:eastAsia="Times New Roman" w:hAnsi="David" w:cs="David"/>
          <w:sz w:val="24"/>
          <w:szCs w:val="24"/>
          <w:rtl/>
        </w:rPr>
        <w:t xml:space="preserve">מצליחים לבצע </w:t>
      </w:r>
      <w:r w:rsidR="008479B4" w:rsidRPr="0020276C">
        <w:rPr>
          <w:rFonts w:ascii="David" w:eastAsia="Times New Roman" w:hAnsi="David" w:cs="David"/>
          <w:sz w:val="24"/>
          <w:szCs w:val="24"/>
          <w:rtl/>
        </w:rPr>
        <w:t>בחירות</w:t>
      </w:r>
      <w:r w:rsidR="008479B4" w:rsidRPr="0020276C">
        <w:rPr>
          <w:rFonts w:ascii="David" w:eastAsia="Times New Roman" w:hAnsi="David" w:cs="David"/>
          <w:sz w:val="24"/>
          <w:szCs w:val="24"/>
        </w:rPr>
        <w:t xml:space="preserve"> </w:t>
      </w:r>
      <w:r w:rsidR="0008542C" w:rsidRPr="0020276C">
        <w:rPr>
          <w:rFonts w:ascii="David" w:eastAsia="Times New Roman" w:hAnsi="David" w:cs="David"/>
          <w:sz w:val="24"/>
          <w:szCs w:val="24"/>
          <w:rtl/>
        </w:rPr>
        <w:t>כלכליות</w:t>
      </w:r>
      <w:r w:rsidR="00715E19" w:rsidRPr="0020276C">
        <w:rPr>
          <w:rFonts w:ascii="David" w:eastAsia="Times New Roman" w:hAnsi="David" w:cs="David"/>
          <w:sz w:val="24"/>
          <w:szCs w:val="24"/>
          <w:rtl/>
        </w:rPr>
        <w:t xml:space="preserve"> אחראיות, אשר מביאות לשיפור רווחתם.</w:t>
      </w:r>
      <w:r w:rsidR="00DA6100" w:rsidRPr="0020276C">
        <w:rPr>
          <w:rFonts w:ascii="David" w:eastAsia="Times New Roman" w:hAnsi="David" w:cs="David"/>
          <w:sz w:val="24"/>
          <w:szCs w:val="24"/>
          <w:rtl/>
        </w:rPr>
        <w:t xml:space="preserve"> </w:t>
      </w:r>
    </w:p>
    <w:p w:rsidR="00CB1BF6" w:rsidRPr="0020276C" w:rsidRDefault="00CB1BF6" w:rsidP="0020276C">
      <w:pPr>
        <w:spacing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20276C">
        <w:rPr>
          <w:rFonts w:ascii="David" w:eastAsia="Times New Roman" w:hAnsi="David" w:cs="David"/>
          <w:sz w:val="24"/>
          <w:szCs w:val="24"/>
          <w:rtl/>
        </w:rPr>
        <w:lastRenderedPageBreak/>
        <w:t xml:space="preserve">לקידום חינוך פיננסי יתרונות רבים. ראשית, השקעה בחינוך פיננסי משפיעה על היכולת של אדם או משפחה שמגיעים מרקע כלכלי-חברתי נמוך לשפר את מצבם הכלכלי ובכך מגדילה את שוויון ההזדמנויות בחברה. </w:t>
      </w:r>
    </w:p>
    <w:p w:rsidR="00A85AC6" w:rsidRPr="0020276C" w:rsidRDefault="00CB1BF6" w:rsidP="0020276C">
      <w:pPr>
        <w:spacing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20276C">
        <w:rPr>
          <w:rFonts w:ascii="David" w:eastAsia="Times New Roman" w:hAnsi="David" w:cs="David"/>
          <w:sz w:val="24"/>
          <w:szCs w:val="24"/>
          <w:rtl/>
        </w:rPr>
        <w:t xml:space="preserve">שנית, מחקרים רבים מוצאים כי ישנו קשר חיובי בין רמת האוריינות הפיננסית לרמת ההכלה הפיננסית. </w:t>
      </w:r>
    </w:p>
    <w:p w:rsidR="00CB1BF6" w:rsidRPr="0020276C" w:rsidRDefault="00CB1BF6" w:rsidP="0020276C">
      <w:pPr>
        <w:spacing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20276C">
        <w:rPr>
          <w:rFonts w:ascii="David" w:eastAsia="Times New Roman" w:hAnsi="David" w:cs="David"/>
          <w:sz w:val="24"/>
          <w:szCs w:val="24"/>
          <w:rtl/>
        </w:rPr>
        <w:t xml:space="preserve">הכלה פיננסית - </w:t>
      </w:r>
      <w:r w:rsidRPr="0020276C">
        <w:rPr>
          <w:rFonts w:ascii="David" w:eastAsia="Times New Roman" w:hAnsi="David" w:cs="David"/>
          <w:sz w:val="24"/>
          <w:szCs w:val="24"/>
        </w:rPr>
        <w:t>Financial Inclusion</w:t>
      </w:r>
      <w:r w:rsidRPr="0020276C">
        <w:rPr>
          <w:rFonts w:ascii="David" w:eastAsia="Times New Roman" w:hAnsi="David" w:cs="David"/>
          <w:sz w:val="24"/>
          <w:szCs w:val="24"/>
          <w:rtl/>
        </w:rPr>
        <w:t xml:space="preserve">, משמעותה יצירת נגישות שווה לשירותים פיננסים לכלל האוכלוסייה, ולה חשיבות הן לרווחת הפרט והן ליציבות המערכת הפיננסית. </w:t>
      </w:r>
    </w:p>
    <w:p w:rsidR="00A85AC6" w:rsidRPr="0020276C" w:rsidRDefault="00C16797" w:rsidP="0020276C">
      <w:pPr>
        <w:spacing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20276C">
        <w:rPr>
          <w:rFonts w:ascii="David" w:eastAsia="Times New Roman" w:hAnsi="David" w:cs="David"/>
          <w:sz w:val="24"/>
          <w:szCs w:val="24"/>
          <w:rtl/>
        </w:rPr>
        <w:t>לכן, מדינות רבות בעולם מכירות בחשיבות של אוריינות פיננסית ומשקיעות בהטמעתה בקרב הציבור הרחב.</w:t>
      </w:r>
      <w:r w:rsidR="00DB27BC" w:rsidRPr="0020276C">
        <w:rPr>
          <w:rFonts w:ascii="David" w:eastAsia="Times New Roman" w:hAnsi="David" w:cs="David"/>
          <w:sz w:val="24"/>
          <w:szCs w:val="24"/>
          <w:rtl/>
        </w:rPr>
        <w:t xml:space="preserve"> </w:t>
      </w:r>
    </w:p>
    <w:p w:rsidR="00000234" w:rsidRPr="0020276C" w:rsidRDefault="00000234" w:rsidP="0020276C">
      <w:pPr>
        <w:spacing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20276C">
        <w:rPr>
          <w:rFonts w:ascii="David" w:eastAsia="Times New Roman" w:hAnsi="David" w:cs="David"/>
          <w:sz w:val="24"/>
          <w:szCs w:val="24"/>
          <w:rtl/>
        </w:rPr>
        <w:t>כך למשל</w:t>
      </w:r>
      <w:r w:rsidR="00DB27BC" w:rsidRPr="0020276C">
        <w:rPr>
          <w:rFonts w:ascii="David" w:eastAsia="Times New Roman" w:hAnsi="David" w:cs="David"/>
          <w:sz w:val="24"/>
          <w:szCs w:val="24"/>
        </w:rPr>
        <w:t xml:space="preserve"> </w:t>
      </w:r>
      <w:r w:rsidR="00DB27BC" w:rsidRPr="0020276C">
        <w:rPr>
          <w:rFonts w:ascii="David" w:eastAsia="Times New Roman" w:hAnsi="David" w:cs="David"/>
          <w:sz w:val="24"/>
          <w:szCs w:val="24"/>
          <w:rtl/>
        </w:rPr>
        <w:t xml:space="preserve">במדינות אירופה, ארה״ב ובריטניה, קיימות </w:t>
      </w:r>
      <w:proofErr w:type="spellStart"/>
      <w:r w:rsidR="00DB27BC" w:rsidRPr="0020276C">
        <w:rPr>
          <w:rFonts w:ascii="David" w:eastAsia="Times New Roman" w:hAnsi="David" w:cs="David"/>
          <w:sz w:val="24"/>
          <w:szCs w:val="24"/>
          <w:rtl/>
        </w:rPr>
        <w:t>ת</w:t>
      </w:r>
      <w:r w:rsidR="00F72E43" w:rsidRPr="0020276C">
        <w:rPr>
          <w:rFonts w:ascii="David" w:eastAsia="Times New Roman" w:hAnsi="David" w:cs="David"/>
          <w:sz w:val="24"/>
          <w:szCs w:val="24"/>
          <w:rtl/>
        </w:rPr>
        <w:t>ו</w:t>
      </w:r>
      <w:r w:rsidR="00DB27BC" w:rsidRPr="0020276C">
        <w:rPr>
          <w:rFonts w:ascii="David" w:eastAsia="Times New Roman" w:hAnsi="David" w:cs="David"/>
          <w:sz w:val="24"/>
          <w:szCs w:val="24"/>
          <w:rtl/>
        </w:rPr>
        <w:t>כניות</w:t>
      </w:r>
      <w:proofErr w:type="spellEnd"/>
      <w:r w:rsidR="00DB27BC" w:rsidRPr="0020276C">
        <w:rPr>
          <w:rFonts w:ascii="David" w:eastAsia="Times New Roman" w:hAnsi="David" w:cs="David"/>
          <w:sz w:val="24"/>
          <w:szCs w:val="24"/>
          <w:rtl/>
        </w:rPr>
        <w:t xml:space="preserve"> לימוד פיננסיות לאומיות שמשולבות בת</w:t>
      </w:r>
      <w:r w:rsidR="00CB1BF6" w:rsidRPr="0020276C">
        <w:rPr>
          <w:rFonts w:ascii="David" w:eastAsia="Times New Roman" w:hAnsi="David" w:cs="David"/>
          <w:sz w:val="24"/>
          <w:szCs w:val="24"/>
          <w:rtl/>
        </w:rPr>
        <w:t>ו</w:t>
      </w:r>
      <w:r w:rsidR="00DB27BC" w:rsidRPr="0020276C">
        <w:rPr>
          <w:rFonts w:ascii="David" w:eastAsia="Times New Roman" w:hAnsi="David" w:cs="David"/>
          <w:sz w:val="24"/>
          <w:szCs w:val="24"/>
          <w:rtl/>
        </w:rPr>
        <w:t xml:space="preserve">כנית הלימודים של תלמידים בחטיבות ביניים ובתיכונים. </w:t>
      </w:r>
    </w:p>
    <w:p w:rsidR="00000234" w:rsidRPr="0020276C" w:rsidRDefault="00DB27BC" w:rsidP="0020276C">
      <w:pPr>
        <w:spacing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20276C">
        <w:rPr>
          <w:rFonts w:ascii="David" w:eastAsia="Times New Roman" w:hAnsi="David" w:cs="David"/>
          <w:sz w:val="24"/>
          <w:szCs w:val="24"/>
          <w:rtl/>
        </w:rPr>
        <w:t xml:space="preserve">כמו כן, במדינות רבות </w:t>
      </w:r>
      <w:r w:rsidRPr="0020276C">
        <w:rPr>
          <w:rFonts w:ascii="David" w:eastAsia="Times New Roman" w:hAnsi="David" w:cs="David"/>
          <w:b/>
          <w:bCs/>
          <w:sz w:val="24"/>
          <w:szCs w:val="24"/>
          <w:rtl/>
        </w:rPr>
        <w:t>הבנק המ</w:t>
      </w:r>
      <w:r w:rsidR="009C26B1" w:rsidRPr="0020276C">
        <w:rPr>
          <w:rFonts w:ascii="David" w:eastAsia="Times New Roman" w:hAnsi="David" w:cs="David"/>
          <w:b/>
          <w:bCs/>
          <w:sz w:val="24"/>
          <w:szCs w:val="24"/>
          <w:rtl/>
        </w:rPr>
        <w:t>רכזי</w:t>
      </w:r>
      <w:r w:rsidR="009C26B1" w:rsidRPr="0020276C">
        <w:rPr>
          <w:rFonts w:ascii="David" w:eastAsia="Times New Roman" w:hAnsi="David" w:cs="David"/>
          <w:sz w:val="24"/>
          <w:szCs w:val="24"/>
          <w:rtl/>
        </w:rPr>
        <w:t xml:space="preserve"> מקדם יוזמות </w:t>
      </w:r>
      <w:proofErr w:type="spellStart"/>
      <w:r w:rsidR="009C26B1" w:rsidRPr="0020276C">
        <w:rPr>
          <w:rFonts w:ascii="David" w:eastAsia="Times New Roman" w:hAnsi="David" w:cs="David"/>
          <w:sz w:val="24"/>
          <w:szCs w:val="24"/>
          <w:rtl/>
        </w:rPr>
        <w:t>להנגשת</w:t>
      </w:r>
      <w:proofErr w:type="spellEnd"/>
      <w:r w:rsidR="009C26B1" w:rsidRPr="0020276C">
        <w:rPr>
          <w:rFonts w:ascii="David" w:eastAsia="Times New Roman" w:hAnsi="David" w:cs="David"/>
          <w:sz w:val="24"/>
          <w:szCs w:val="24"/>
          <w:rtl/>
        </w:rPr>
        <w:t xml:space="preserve"> מידע פיננסי עבור </w:t>
      </w:r>
      <w:r w:rsidRPr="0020276C">
        <w:rPr>
          <w:rFonts w:ascii="David" w:eastAsia="Times New Roman" w:hAnsi="David" w:cs="David"/>
          <w:sz w:val="24"/>
          <w:szCs w:val="24"/>
          <w:rtl/>
        </w:rPr>
        <w:t>בני נוער</w:t>
      </w:r>
      <w:r w:rsidR="009C26B1" w:rsidRPr="0020276C">
        <w:rPr>
          <w:rFonts w:ascii="David" w:eastAsia="Times New Roman" w:hAnsi="David" w:cs="David"/>
          <w:sz w:val="24"/>
          <w:szCs w:val="24"/>
          <w:rtl/>
        </w:rPr>
        <w:t xml:space="preserve"> ומבוגרים</w:t>
      </w:r>
      <w:r w:rsidRPr="0020276C">
        <w:rPr>
          <w:rFonts w:ascii="David" w:eastAsia="Times New Roman" w:hAnsi="David" w:cs="David"/>
          <w:sz w:val="24"/>
          <w:szCs w:val="24"/>
          <w:rtl/>
        </w:rPr>
        <w:t xml:space="preserve"> בנושאים כמו: מדיניות מוניטרית, שער חליפין ואינפלציה. </w:t>
      </w:r>
      <w:r w:rsidR="00CB1BF6" w:rsidRPr="0020276C">
        <w:rPr>
          <w:rFonts w:ascii="David" w:eastAsia="Times New Roman" w:hAnsi="David" w:cs="David"/>
          <w:sz w:val="24"/>
          <w:szCs w:val="24"/>
          <w:rtl/>
        </w:rPr>
        <w:t xml:space="preserve">יחד איתם, </w:t>
      </w:r>
      <w:r w:rsidR="007304E9" w:rsidRPr="0020276C">
        <w:rPr>
          <w:rFonts w:ascii="David" w:eastAsia="Times New Roman" w:hAnsi="David" w:cs="David"/>
          <w:sz w:val="24"/>
          <w:szCs w:val="24"/>
          <w:rtl/>
        </w:rPr>
        <w:t xml:space="preserve">יש לא מעט גורמים מהממשלה, מהרגולטורים, מהשוק הפרטי ומהמגזר השלישי שיוזמים ומציעים </w:t>
      </w:r>
      <w:proofErr w:type="spellStart"/>
      <w:r w:rsidR="007304E9" w:rsidRPr="0020276C">
        <w:rPr>
          <w:rFonts w:ascii="David" w:eastAsia="Times New Roman" w:hAnsi="David" w:cs="David"/>
          <w:sz w:val="24"/>
          <w:szCs w:val="24"/>
          <w:rtl/>
        </w:rPr>
        <w:t>ת</w:t>
      </w:r>
      <w:r w:rsidR="00F72E43" w:rsidRPr="0020276C">
        <w:rPr>
          <w:rFonts w:ascii="David" w:eastAsia="Times New Roman" w:hAnsi="David" w:cs="David"/>
          <w:sz w:val="24"/>
          <w:szCs w:val="24"/>
          <w:rtl/>
        </w:rPr>
        <w:t>ו</w:t>
      </w:r>
      <w:r w:rsidR="007304E9" w:rsidRPr="0020276C">
        <w:rPr>
          <w:rFonts w:ascii="David" w:eastAsia="Times New Roman" w:hAnsi="David" w:cs="David"/>
          <w:sz w:val="24"/>
          <w:szCs w:val="24"/>
          <w:rtl/>
        </w:rPr>
        <w:t>כניות</w:t>
      </w:r>
      <w:proofErr w:type="spellEnd"/>
      <w:r w:rsidR="007304E9" w:rsidRPr="0020276C">
        <w:rPr>
          <w:rFonts w:ascii="David" w:eastAsia="Times New Roman" w:hAnsi="David" w:cs="David"/>
          <w:sz w:val="24"/>
          <w:szCs w:val="24"/>
          <w:rtl/>
        </w:rPr>
        <w:t xml:space="preserve"> רבות. </w:t>
      </w:r>
    </w:p>
    <w:p w:rsidR="002949B5" w:rsidRPr="0020276C" w:rsidRDefault="00DB27BC" w:rsidP="0020276C">
      <w:pPr>
        <w:spacing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20276C">
        <w:rPr>
          <w:rFonts w:ascii="David" w:eastAsia="Times New Roman" w:hAnsi="David" w:cs="David"/>
          <w:sz w:val="24"/>
          <w:szCs w:val="24"/>
          <w:rtl/>
        </w:rPr>
        <w:t xml:space="preserve">גם </w:t>
      </w:r>
      <w:r w:rsidR="009C26B1" w:rsidRPr="0020276C">
        <w:rPr>
          <w:rFonts w:ascii="David" w:eastAsia="Times New Roman" w:hAnsi="David" w:cs="David"/>
          <w:sz w:val="24"/>
          <w:szCs w:val="24"/>
          <w:rtl/>
        </w:rPr>
        <w:t xml:space="preserve">אנחנו בבנק ישראל הוצאנו לפועל </w:t>
      </w:r>
      <w:proofErr w:type="spellStart"/>
      <w:r w:rsidR="009C26B1" w:rsidRPr="0020276C">
        <w:rPr>
          <w:rFonts w:ascii="David" w:eastAsia="Times New Roman" w:hAnsi="David" w:cs="David"/>
          <w:sz w:val="24"/>
          <w:szCs w:val="24"/>
          <w:rtl/>
        </w:rPr>
        <w:t>ת</w:t>
      </w:r>
      <w:r w:rsidR="00CB1BF6" w:rsidRPr="0020276C">
        <w:rPr>
          <w:rFonts w:ascii="David" w:eastAsia="Times New Roman" w:hAnsi="David" w:cs="David"/>
          <w:sz w:val="24"/>
          <w:szCs w:val="24"/>
          <w:rtl/>
        </w:rPr>
        <w:t>ו</w:t>
      </w:r>
      <w:r w:rsidRPr="0020276C">
        <w:rPr>
          <w:rFonts w:ascii="David" w:eastAsia="Times New Roman" w:hAnsi="David" w:cs="David"/>
          <w:sz w:val="24"/>
          <w:szCs w:val="24"/>
          <w:rtl/>
        </w:rPr>
        <w:t>כני</w:t>
      </w:r>
      <w:r w:rsidR="007304E9" w:rsidRPr="0020276C">
        <w:rPr>
          <w:rFonts w:ascii="David" w:eastAsia="Times New Roman" w:hAnsi="David" w:cs="David"/>
          <w:sz w:val="24"/>
          <w:szCs w:val="24"/>
          <w:rtl/>
        </w:rPr>
        <w:t>ו</w:t>
      </w:r>
      <w:r w:rsidRPr="0020276C">
        <w:rPr>
          <w:rFonts w:ascii="David" w:eastAsia="Times New Roman" w:hAnsi="David" w:cs="David"/>
          <w:sz w:val="24"/>
          <w:szCs w:val="24"/>
          <w:rtl/>
        </w:rPr>
        <w:t>ת</w:t>
      </w:r>
      <w:proofErr w:type="spellEnd"/>
      <w:r w:rsidRPr="0020276C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="007304E9" w:rsidRPr="0020276C">
        <w:rPr>
          <w:rFonts w:ascii="David" w:eastAsia="Times New Roman" w:hAnsi="David" w:cs="David"/>
          <w:sz w:val="24"/>
          <w:szCs w:val="24"/>
          <w:rtl/>
        </w:rPr>
        <w:t>שונות</w:t>
      </w:r>
      <w:r w:rsidR="00276392" w:rsidRPr="0020276C">
        <w:rPr>
          <w:rFonts w:ascii="David" w:eastAsia="Times New Roman" w:hAnsi="David" w:cs="David"/>
          <w:sz w:val="24"/>
          <w:szCs w:val="24"/>
          <w:rtl/>
        </w:rPr>
        <w:t xml:space="preserve"> להגברת החינוך הפיננסי, חלקן</w:t>
      </w:r>
      <w:r w:rsidR="007304E9" w:rsidRPr="0020276C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20276C">
        <w:rPr>
          <w:rFonts w:ascii="David" w:eastAsia="Times New Roman" w:hAnsi="David" w:cs="David"/>
          <w:sz w:val="24"/>
          <w:szCs w:val="24"/>
          <w:rtl/>
        </w:rPr>
        <w:t xml:space="preserve">בשיתוף פעולה </w:t>
      </w:r>
      <w:r w:rsidR="007304E9" w:rsidRPr="0020276C">
        <w:rPr>
          <w:rFonts w:ascii="David" w:eastAsia="Times New Roman" w:hAnsi="David" w:cs="David"/>
          <w:sz w:val="24"/>
          <w:szCs w:val="24"/>
          <w:rtl/>
        </w:rPr>
        <w:t>ובסיוע המערכת הבנקאית</w:t>
      </w:r>
      <w:r w:rsidR="00276392" w:rsidRPr="0020276C">
        <w:rPr>
          <w:rFonts w:ascii="David" w:eastAsia="Times New Roman" w:hAnsi="David" w:cs="David"/>
          <w:sz w:val="24"/>
          <w:szCs w:val="24"/>
          <w:rtl/>
        </w:rPr>
        <w:t>. התוכניות יועדו</w:t>
      </w:r>
      <w:r w:rsidR="007304E9" w:rsidRPr="0020276C">
        <w:rPr>
          <w:rFonts w:ascii="David" w:eastAsia="Times New Roman" w:hAnsi="David" w:cs="David"/>
          <w:sz w:val="24"/>
          <w:szCs w:val="24"/>
          <w:rtl/>
        </w:rPr>
        <w:t xml:space="preserve"> לקהלים שונים </w:t>
      </w:r>
      <w:r w:rsidR="002B003B" w:rsidRPr="0020276C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="007304E9" w:rsidRPr="0020276C">
        <w:rPr>
          <w:rFonts w:ascii="David" w:eastAsia="Times New Roman" w:hAnsi="David" w:cs="David"/>
          <w:sz w:val="24"/>
          <w:szCs w:val="24"/>
          <w:rtl/>
        </w:rPr>
        <w:t xml:space="preserve">נוער, </w:t>
      </w:r>
      <w:r w:rsidR="002B003B" w:rsidRPr="0020276C">
        <w:rPr>
          <w:rFonts w:ascii="David" w:eastAsia="Times New Roman" w:hAnsi="David" w:cs="David"/>
          <w:sz w:val="24"/>
          <w:szCs w:val="24"/>
          <w:rtl/>
        </w:rPr>
        <w:t>האוכלוסי</w:t>
      </w:r>
      <w:r w:rsidR="003D43C8" w:rsidRPr="0020276C">
        <w:rPr>
          <w:rFonts w:ascii="David" w:eastAsia="Times New Roman" w:hAnsi="David" w:cs="David"/>
          <w:sz w:val="24"/>
          <w:szCs w:val="24"/>
          <w:rtl/>
        </w:rPr>
        <w:t>י</w:t>
      </w:r>
      <w:r w:rsidR="002B003B" w:rsidRPr="0020276C">
        <w:rPr>
          <w:rFonts w:ascii="David" w:eastAsia="Times New Roman" w:hAnsi="David" w:cs="David"/>
          <w:sz w:val="24"/>
          <w:szCs w:val="24"/>
          <w:rtl/>
        </w:rPr>
        <w:t>ה המבו</w:t>
      </w:r>
      <w:r w:rsidR="00CB1BF6" w:rsidRPr="0020276C">
        <w:rPr>
          <w:rFonts w:ascii="David" w:eastAsia="Times New Roman" w:hAnsi="David" w:cs="David"/>
          <w:sz w:val="24"/>
          <w:szCs w:val="24"/>
          <w:rtl/>
        </w:rPr>
        <w:t>ג</w:t>
      </w:r>
      <w:r w:rsidR="002B003B" w:rsidRPr="0020276C">
        <w:rPr>
          <w:rFonts w:ascii="David" w:eastAsia="Times New Roman" w:hAnsi="David" w:cs="David"/>
          <w:sz w:val="24"/>
          <w:szCs w:val="24"/>
          <w:rtl/>
        </w:rPr>
        <w:t>רת</w:t>
      </w:r>
      <w:r w:rsidR="007304E9" w:rsidRPr="0020276C">
        <w:rPr>
          <w:rFonts w:ascii="David" w:eastAsia="Times New Roman" w:hAnsi="David" w:cs="David"/>
          <w:sz w:val="24"/>
          <w:szCs w:val="24"/>
          <w:rtl/>
        </w:rPr>
        <w:t xml:space="preserve">, החברה הערבית ועוד. </w:t>
      </w:r>
    </w:p>
    <w:p w:rsidR="003D43C8" w:rsidRPr="0020276C" w:rsidRDefault="007304E9" w:rsidP="0020276C">
      <w:pPr>
        <w:spacing w:line="360" w:lineRule="auto"/>
        <w:jc w:val="both"/>
        <w:rPr>
          <w:rFonts w:ascii="David" w:eastAsia="Times New Roman" w:hAnsi="David" w:cs="David"/>
          <w:b/>
          <w:bCs/>
          <w:sz w:val="24"/>
          <w:szCs w:val="24"/>
          <w:rtl/>
        </w:rPr>
      </w:pPr>
      <w:r w:rsidRPr="0020276C">
        <w:rPr>
          <w:rFonts w:ascii="David" w:eastAsia="Times New Roman" w:hAnsi="David" w:cs="David"/>
          <w:sz w:val="24"/>
          <w:szCs w:val="24"/>
          <w:rtl/>
        </w:rPr>
        <w:t>התוצאות</w:t>
      </w:r>
      <w:r w:rsidR="002949B5" w:rsidRPr="0020276C">
        <w:rPr>
          <w:rFonts w:ascii="David" w:eastAsia="Times New Roman" w:hAnsi="David" w:cs="David"/>
          <w:sz w:val="24"/>
          <w:szCs w:val="24"/>
          <w:rtl/>
        </w:rPr>
        <w:t xml:space="preserve"> עד כה</w:t>
      </w:r>
      <w:r w:rsidRPr="0020276C">
        <w:rPr>
          <w:rFonts w:ascii="David" w:eastAsia="Times New Roman" w:hAnsi="David" w:cs="David"/>
          <w:sz w:val="24"/>
          <w:szCs w:val="24"/>
          <w:rtl/>
        </w:rPr>
        <w:t xml:space="preserve"> מראות שלא מספיק לפעול באופן נקודתי. חשוב לשלב כוחות יחד </w:t>
      </w:r>
      <w:proofErr w:type="spellStart"/>
      <w:r w:rsidRPr="0020276C">
        <w:rPr>
          <w:rFonts w:ascii="David" w:eastAsia="Times New Roman" w:hAnsi="David" w:cs="David"/>
          <w:sz w:val="24"/>
          <w:szCs w:val="24"/>
          <w:rtl/>
        </w:rPr>
        <w:t>ולתכלל</w:t>
      </w:r>
      <w:proofErr w:type="spellEnd"/>
      <w:r w:rsidRPr="0020276C">
        <w:rPr>
          <w:rFonts w:ascii="David" w:eastAsia="Times New Roman" w:hAnsi="David" w:cs="David"/>
          <w:sz w:val="24"/>
          <w:szCs w:val="24"/>
          <w:rtl/>
        </w:rPr>
        <w:t xml:space="preserve"> את הנושא ברמה לאומית ובאופן תשתיתי כדי ליצור אימ</w:t>
      </w:r>
      <w:r w:rsidR="00734882" w:rsidRPr="0020276C">
        <w:rPr>
          <w:rFonts w:ascii="David" w:eastAsia="Times New Roman" w:hAnsi="David" w:cs="David"/>
          <w:sz w:val="24"/>
          <w:szCs w:val="24"/>
          <w:rtl/>
        </w:rPr>
        <w:t>פ</w:t>
      </w:r>
      <w:r w:rsidRPr="0020276C">
        <w:rPr>
          <w:rFonts w:ascii="David" w:eastAsia="Times New Roman" w:hAnsi="David" w:cs="David"/>
          <w:sz w:val="24"/>
          <w:szCs w:val="24"/>
          <w:rtl/>
        </w:rPr>
        <w:t>קט שיביא לשינוי.</w:t>
      </w:r>
      <w:r w:rsidR="00357AEA" w:rsidRPr="0020276C">
        <w:rPr>
          <w:rFonts w:ascii="David" w:eastAsia="Times New Roman" w:hAnsi="David" w:cs="David"/>
          <w:sz w:val="24"/>
          <w:szCs w:val="24"/>
          <w:rtl/>
        </w:rPr>
        <w:t xml:space="preserve"> </w:t>
      </w:r>
    </w:p>
    <w:p w:rsidR="00DB27BC" w:rsidRPr="0020276C" w:rsidRDefault="00357AEA" w:rsidP="0020276C">
      <w:pPr>
        <w:spacing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20276C">
        <w:rPr>
          <w:rFonts w:ascii="David" w:eastAsia="Times New Roman" w:hAnsi="David" w:cs="David"/>
          <w:b/>
          <w:bCs/>
          <w:sz w:val="24"/>
          <w:szCs w:val="24"/>
          <w:rtl/>
        </w:rPr>
        <w:t>הסמינר היום הוא צעד חשוב בכיוון הזה.</w:t>
      </w:r>
      <w:r w:rsidR="007304E9" w:rsidRPr="0020276C"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 </w:t>
      </w:r>
    </w:p>
    <w:p w:rsidR="00966C57" w:rsidRPr="0020276C" w:rsidRDefault="00CF654F" w:rsidP="0020276C">
      <w:pPr>
        <w:spacing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20276C">
        <w:rPr>
          <w:rFonts w:ascii="David" w:eastAsia="Times New Roman" w:hAnsi="David" w:cs="David"/>
          <w:sz w:val="24"/>
          <w:szCs w:val="24"/>
          <w:rtl/>
        </w:rPr>
        <w:t xml:space="preserve">בנוסף, </w:t>
      </w:r>
      <w:r w:rsidR="00CF2BA1" w:rsidRPr="0020276C">
        <w:rPr>
          <w:rFonts w:ascii="David" w:eastAsia="Times New Roman" w:hAnsi="David" w:cs="David"/>
          <w:sz w:val="24"/>
          <w:szCs w:val="24"/>
          <w:rtl/>
        </w:rPr>
        <w:t xml:space="preserve">בשנים האחרונות בנק ישראל קידם רפורמות </w:t>
      </w:r>
      <w:r w:rsidR="007109B0" w:rsidRPr="0020276C">
        <w:rPr>
          <w:rFonts w:ascii="David" w:eastAsia="Times New Roman" w:hAnsi="David" w:cs="David"/>
          <w:sz w:val="24"/>
          <w:szCs w:val="24"/>
          <w:rtl/>
        </w:rPr>
        <w:t xml:space="preserve">רבות </w:t>
      </w:r>
      <w:r w:rsidR="00CF2BA1" w:rsidRPr="0020276C">
        <w:rPr>
          <w:rFonts w:ascii="David" w:eastAsia="Times New Roman" w:hAnsi="David" w:cs="David"/>
          <w:sz w:val="24"/>
          <w:szCs w:val="24"/>
          <w:rtl/>
        </w:rPr>
        <w:t xml:space="preserve">בנושאי </w:t>
      </w:r>
      <w:proofErr w:type="spellStart"/>
      <w:r w:rsidR="00CF2BA1" w:rsidRPr="0020276C">
        <w:rPr>
          <w:rFonts w:ascii="David" w:eastAsia="Times New Roman" w:hAnsi="David" w:cs="David"/>
          <w:sz w:val="24"/>
          <w:szCs w:val="24"/>
          <w:rtl/>
        </w:rPr>
        <w:t>הנגשת</w:t>
      </w:r>
      <w:proofErr w:type="spellEnd"/>
      <w:r w:rsidR="00CF2BA1" w:rsidRPr="0020276C">
        <w:rPr>
          <w:rFonts w:ascii="David" w:eastAsia="Times New Roman" w:hAnsi="David" w:cs="David"/>
          <w:sz w:val="24"/>
          <w:szCs w:val="24"/>
          <w:rtl/>
        </w:rPr>
        <w:t xml:space="preserve"> שירותים תחרות וחדשנות בתחומי </w:t>
      </w:r>
      <w:r w:rsidR="007109B0" w:rsidRPr="0020276C">
        <w:rPr>
          <w:rFonts w:ascii="David" w:eastAsia="Times New Roman" w:hAnsi="David" w:cs="David"/>
          <w:sz w:val="24"/>
          <w:szCs w:val="24"/>
          <w:rtl/>
        </w:rPr>
        <w:t>ה</w:t>
      </w:r>
      <w:r w:rsidR="00CF2BA1" w:rsidRPr="0020276C">
        <w:rPr>
          <w:rFonts w:ascii="David" w:eastAsia="Times New Roman" w:hAnsi="David" w:cs="David"/>
          <w:sz w:val="24"/>
          <w:szCs w:val="24"/>
          <w:rtl/>
        </w:rPr>
        <w:t>בנקאות ו</w:t>
      </w:r>
      <w:r w:rsidR="007109B0" w:rsidRPr="0020276C">
        <w:rPr>
          <w:rFonts w:ascii="David" w:eastAsia="Times New Roman" w:hAnsi="David" w:cs="David"/>
          <w:sz w:val="24"/>
          <w:szCs w:val="24"/>
          <w:rtl/>
        </w:rPr>
        <w:t>ה</w:t>
      </w:r>
      <w:r w:rsidR="00CF2BA1" w:rsidRPr="0020276C">
        <w:rPr>
          <w:rFonts w:ascii="David" w:eastAsia="Times New Roman" w:hAnsi="David" w:cs="David"/>
          <w:sz w:val="24"/>
          <w:szCs w:val="24"/>
          <w:rtl/>
        </w:rPr>
        <w:t>פיננסים. ביניהן: רפורמת הבנקאות הפתוחה</w:t>
      </w:r>
      <w:r w:rsidR="00E344D0" w:rsidRPr="0020276C">
        <w:rPr>
          <w:rFonts w:ascii="David" w:hAnsi="David" w:cs="David"/>
          <w:sz w:val="24"/>
          <w:szCs w:val="24"/>
          <w:rtl/>
        </w:rPr>
        <w:t xml:space="preserve"> </w:t>
      </w:r>
      <w:r w:rsidR="00E344D0" w:rsidRPr="0020276C">
        <w:rPr>
          <w:rFonts w:ascii="David" w:eastAsia="Times New Roman" w:hAnsi="David" w:cs="David"/>
          <w:sz w:val="24"/>
          <w:szCs w:val="24"/>
          <w:rtl/>
        </w:rPr>
        <w:t>המחזקת את השליטה של הלקוח במידע אודותיו,</w:t>
      </w:r>
      <w:r w:rsidR="00CF2BA1" w:rsidRPr="0020276C">
        <w:rPr>
          <w:rFonts w:ascii="David" w:eastAsia="Times New Roman" w:hAnsi="David" w:cs="David"/>
          <w:sz w:val="24"/>
          <w:szCs w:val="24"/>
          <w:rtl/>
        </w:rPr>
        <w:t xml:space="preserve"> רפורמה למעבר מהיר ללא עלות בין בנקים, קידום חדשנות בעולם התשלומים כמו הטמעת תקן ה-</w:t>
      </w:r>
      <w:r w:rsidR="00CF2BA1" w:rsidRPr="0020276C">
        <w:rPr>
          <w:rFonts w:ascii="David" w:eastAsia="Times New Roman" w:hAnsi="David" w:cs="David"/>
          <w:sz w:val="24"/>
          <w:szCs w:val="24"/>
        </w:rPr>
        <w:t>EMV</w:t>
      </w:r>
      <w:r w:rsidR="00CF2BA1" w:rsidRPr="0020276C">
        <w:rPr>
          <w:rFonts w:ascii="David" w:eastAsia="Times New Roman" w:hAnsi="David" w:cs="David"/>
          <w:sz w:val="24"/>
          <w:szCs w:val="24"/>
          <w:rtl/>
        </w:rPr>
        <w:t xml:space="preserve"> </w:t>
      </w:r>
      <w:proofErr w:type="spellStart"/>
      <w:r w:rsidR="00CF2BA1" w:rsidRPr="0020276C">
        <w:rPr>
          <w:rFonts w:ascii="David" w:eastAsia="Times New Roman" w:hAnsi="David" w:cs="David"/>
          <w:sz w:val="24"/>
          <w:szCs w:val="24"/>
          <w:rtl/>
        </w:rPr>
        <w:t>שא</w:t>
      </w:r>
      <w:r w:rsidR="00C351A9" w:rsidRPr="0020276C">
        <w:rPr>
          <w:rFonts w:ascii="David" w:eastAsia="Times New Roman" w:hAnsi="David" w:cs="David"/>
          <w:sz w:val="24"/>
          <w:szCs w:val="24"/>
          <w:rtl/>
        </w:rPr>
        <w:t>י</w:t>
      </w:r>
      <w:r w:rsidR="00CF2BA1" w:rsidRPr="0020276C">
        <w:rPr>
          <w:rFonts w:ascii="David" w:eastAsia="Times New Roman" w:hAnsi="David" w:cs="David"/>
          <w:sz w:val="24"/>
          <w:szCs w:val="24"/>
          <w:rtl/>
        </w:rPr>
        <w:t>פשר</w:t>
      </w:r>
      <w:proofErr w:type="spellEnd"/>
      <w:r w:rsidR="00CF2BA1" w:rsidRPr="0020276C">
        <w:rPr>
          <w:rFonts w:ascii="David" w:eastAsia="Times New Roman" w:hAnsi="David" w:cs="David"/>
          <w:sz w:val="24"/>
          <w:szCs w:val="24"/>
          <w:rtl/>
        </w:rPr>
        <w:t xml:space="preserve"> לחברות כמו גוגל ואפל</w:t>
      </w:r>
      <w:r w:rsidR="00CF2BA1" w:rsidRPr="0020276C">
        <w:rPr>
          <w:rFonts w:ascii="David" w:eastAsia="Times New Roman" w:hAnsi="David" w:cs="David"/>
          <w:sz w:val="24"/>
          <w:szCs w:val="24"/>
        </w:rPr>
        <w:t xml:space="preserve"> </w:t>
      </w:r>
      <w:proofErr w:type="spellStart"/>
      <w:r w:rsidR="00CF2BA1" w:rsidRPr="0020276C">
        <w:rPr>
          <w:rFonts w:ascii="David" w:eastAsia="Times New Roman" w:hAnsi="David" w:cs="David"/>
          <w:sz w:val="24"/>
          <w:szCs w:val="24"/>
          <w:rtl/>
        </w:rPr>
        <w:t>פיי</w:t>
      </w:r>
      <w:proofErr w:type="spellEnd"/>
      <w:r w:rsidR="00CF2BA1" w:rsidRPr="0020276C">
        <w:rPr>
          <w:rFonts w:ascii="David" w:eastAsia="Times New Roman" w:hAnsi="David" w:cs="David"/>
          <w:sz w:val="24"/>
          <w:szCs w:val="24"/>
          <w:rtl/>
        </w:rPr>
        <w:t xml:space="preserve"> להיכנס לישראל, הקמת מערכת לשיתוף נתוני אשראי – צרכני ובקרוב גם עסקי</w:t>
      </w:r>
      <w:r w:rsidR="0025334C" w:rsidRPr="0020276C">
        <w:rPr>
          <w:rFonts w:ascii="David" w:eastAsia="Times New Roman" w:hAnsi="David" w:cs="David"/>
          <w:sz w:val="24"/>
          <w:szCs w:val="24"/>
          <w:rtl/>
        </w:rPr>
        <w:t>,</w:t>
      </w:r>
      <w:r w:rsidR="00CF2BA1" w:rsidRPr="0020276C">
        <w:rPr>
          <w:rFonts w:ascii="David" w:eastAsia="Times New Roman" w:hAnsi="David" w:cs="David"/>
          <w:sz w:val="24"/>
          <w:szCs w:val="24"/>
          <w:rtl/>
        </w:rPr>
        <w:t xml:space="preserve"> והשקת רפורמות </w:t>
      </w:r>
      <w:r w:rsidR="007109B0" w:rsidRPr="0020276C">
        <w:rPr>
          <w:rFonts w:ascii="David" w:eastAsia="Times New Roman" w:hAnsi="David" w:cs="David"/>
          <w:sz w:val="24"/>
          <w:szCs w:val="24"/>
          <w:rtl/>
        </w:rPr>
        <w:t>להגברת השקיפות</w:t>
      </w:r>
      <w:r w:rsidR="00CF2BA1" w:rsidRPr="0020276C">
        <w:rPr>
          <w:rFonts w:ascii="David" w:eastAsia="Times New Roman" w:hAnsi="David" w:cs="David"/>
          <w:sz w:val="24"/>
          <w:szCs w:val="24"/>
          <w:rtl/>
        </w:rPr>
        <w:t xml:space="preserve">: </w:t>
      </w:r>
      <w:r w:rsidR="007109B0" w:rsidRPr="0020276C">
        <w:rPr>
          <w:rFonts w:ascii="David" w:eastAsia="Times New Roman" w:hAnsi="David" w:cs="David"/>
          <w:sz w:val="24"/>
          <w:szCs w:val="24"/>
          <w:rtl/>
        </w:rPr>
        <w:t>רפורמת ה</w:t>
      </w:r>
      <w:r w:rsidR="00CF2BA1" w:rsidRPr="0020276C">
        <w:rPr>
          <w:rFonts w:ascii="David" w:eastAsia="Times New Roman" w:hAnsi="David" w:cs="David"/>
          <w:sz w:val="24"/>
          <w:szCs w:val="24"/>
          <w:rtl/>
        </w:rPr>
        <w:t>שקיפות בשוק המשכנתאות, והשוואת ריביות על פיקדונות ואשראי בין בנקים.</w:t>
      </w:r>
      <w:r w:rsidR="00F822A7" w:rsidRPr="0020276C">
        <w:rPr>
          <w:rFonts w:ascii="David" w:eastAsia="Times New Roman" w:hAnsi="David" w:cs="David"/>
          <w:sz w:val="24"/>
          <w:szCs w:val="24"/>
          <w:rtl/>
        </w:rPr>
        <w:t xml:space="preserve"> </w:t>
      </w:r>
    </w:p>
    <w:p w:rsidR="00A85AC6" w:rsidRPr="0020276C" w:rsidRDefault="00A85AC6" w:rsidP="0020276C">
      <w:pPr>
        <w:spacing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</w:p>
    <w:p w:rsidR="00CF2BA1" w:rsidRPr="0020276C" w:rsidRDefault="00F822A7" w:rsidP="0020276C">
      <w:pPr>
        <w:spacing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20276C">
        <w:rPr>
          <w:rFonts w:ascii="David" w:eastAsia="Times New Roman" w:hAnsi="David" w:cs="David"/>
          <w:sz w:val="24"/>
          <w:szCs w:val="24"/>
          <w:rtl/>
        </w:rPr>
        <w:t xml:space="preserve">לראייתנו, </w:t>
      </w:r>
      <w:r w:rsidR="00053217" w:rsidRPr="0020276C">
        <w:rPr>
          <w:rFonts w:ascii="David" w:eastAsia="Times New Roman" w:hAnsi="David" w:cs="David"/>
          <w:sz w:val="24"/>
          <w:szCs w:val="24"/>
          <w:rtl/>
        </w:rPr>
        <w:t xml:space="preserve">קידום </w:t>
      </w:r>
      <w:proofErr w:type="spellStart"/>
      <w:r w:rsidR="00053217" w:rsidRPr="0020276C">
        <w:rPr>
          <w:rFonts w:ascii="David" w:eastAsia="Times New Roman" w:hAnsi="David" w:cs="David"/>
          <w:sz w:val="24"/>
          <w:szCs w:val="24"/>
          <w:rtl/>
        </w:rPr>
        <w:t>ת</w:t>
      </w:r>
      <w:r w:rsidR="00F72E43" w:rsidRPr="0020276C">
        <w:rPr>
          <w:rFonts w:ascii="David" w:eastAsia="Times New Roman" w:hAnsi="David" w:cs="David"/>
          <w:sz w:val="24"/>
          <w:szCs w:val="24"/>
          <w:rtl/>
        </w:rPr>
        <w:t>ו</w:t>
      </w:r>
      <w:r w:rsidR="00053217" w:rsidRPr="0020276C">
        <w:rPr>
          <w:rFonts w:ascii="David" w:eastAsia="Times New Roman" w:hAnsi="David" w:cs="David"/>
          <w:sz w:val="24"/>
          <w:szCs w:val="24"/>
          <w:rtl/>
        </w:rPr>
        <w:t>כני</w:t>
      </w:r>
      <w:r w:rsidR="001D6912" w:rsidRPr="0020276C">
        <w:rPr>
          <w:rFonts w:ascii="David" w:eastAsia="Times New Roman" w:hAnsi="David" w:cs="David"/>
          <w:sz w:val="24"/>
          <w:szCs w:val="24"/>
          <w:rtl/>
        </w:rPr>
        <w:t>ו</w:t>
      </w:r>
      <w:r w:rsidR="00053217" w:rsidRPr="0020276C">
        <w:rPr>
          <w:rFonts w:ascii="David" w:eastAsia="Times New Roman" w:hAnsi="David" w:cs="David"/>
          <w:sz w:val="24"/>
          <w:szCs w:val="24"/>
          <w:rtl/>
        </w:rPr>
        <w:t>ת</w:t>
      </w:r>
      <w:proofErr w:type="spellEnd"/>
      <w:r w:rsidR="00053217" w:rsidRPr="0020276C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="001D6912" w:rsidRPr="0020276C">
        <w:rPr>
          <w:rFonts w:ascii="David" w:eastAsia="Times New Roman" w:hAnsi="David" w:cs="David"/>
          <w:sz w:val="24"/>
          <w:szCs w:val="24"/>
          <w:rtl/>
        </w:rPr>
        <w:t>ל</w:t>
      </w:r>
      <w:r w:rsidR="00053217" w:rsidRPr="0020276C">
        <w:rPr>
          <w:rFonts w:ascii="David" w:eastAsia="Times New Roman" w:hAnsi="David" w:cs="David"/>
          <w:sz w:val="24"/>
          <w:szCs w:val="24"/>
          <w:rtl/>
        </w:rPr>
        <w:t xml:space="preserve">חינוך פיננסי </w:t>
      </w:r>
      <w:r w:rsidR="001D6912" w:rsidRPr="0020276C">
        <w:rPr>
          <w:rFonts w:ascii="David" w:eastAsia="Times New Roman" w:hAnsi="David" w:cs="David"/>
          <w:sz w:val="24"/>
          <w:szCs w:val="24"/>
          <w:rtl/>
        </w:rPr>
        <w:t xml:space="preserve">בקרב הציבור, </w:t>
      </w:r>
      <w:r w:rsidR="00053217" w:rsidRPr="0020276C">
        <w:rPr>
          <w:rFonts w:ascii="David" w:eastAsia="Times New Roman" w:hAnsi="David" w:cs="David"/>
          <w:sz w:val="24"/>
          <w:szCs w:val="24"/>
          <w:rtl/>
        </w:rPr>
        <w:t xml:space="preserve">יחד עם הרפורמות השונות </w:t>
      </w:r>
      <w:r w:rsidR="001D6912" w:rsidRPr="0020276C">
        <w:rPr>
          <w:rFonts w:ascii="David" w:eastAsia="Times New Roman" w:hAnsi="David" w:cs="David"/>
          <w:sz w:val="24"/>
          <w:szCs w:val="24"/>
          <w:rtl/>
        </w:rPr>
        <w:t>שמגבירות</w:t>
      </w:r>
      <w:r w:rsidR="00053217" w:rsidRPr="0020276C">
        <w:rPr>
          <w:rFonts w:ascii="David" w:eastAsia="Times New Roman" w:hAnsi="David" w:cs="David"/>
          <w:sz w:val="24"/>
          <w:szCs w:val="24"/>
          <w:rtl/>
        </w:rPr>
        <w:t xml:space="preserve"> נגישו</w:t>
      </w:r>
      <w:r w:rsidR="00561415" w:rsidRPr="0020276C">
        <w:rPr>
          <w:rFonts w:ascii="David" w:eastAsia="Times New Roman" w:hAnsi="David" w:cs="David"/>
          <w:sz w:val="24"/>
          <w:szCs w:val="24"/>
          <w:rtl/>
        </w:rPr>
        <w:t xml:space="preserve">ת פיננסית </w:t>
      </w:r>
      <w:r w:rsidR="00053217" w:rsidRPr="0020276C">
        <w:rPr>
          <w:rFonts w:ascii="David" w:eastAsia="Times New Roman" w:hAnsi="David" w:cs="David"/>
          <w:sz w:val="24"/>
          <w:szCs w:val="24"/>
          <w:rtl/>
        </w:rPr>
        <w:t xml:space="preserve">הן </w:t>
      </w:r>
      <w:r w:rsidR="00456762" w:rsidRPr="0020276C">
        <w:rPr>
          <w:rFonts w:ascii="David" w:eastAsia="Times New Roman" w:hAnsi="David" w:cs="David"/>
          <w:sz w:val="24"/>
          <w:szCs w:val="24"/>
          <w:rtl/>
        </w:rPr>
        <w:t xml:space="preserve">רכיב משמעותי </w:t>
      </w:r>
      <w:r w:rsidR="00053217" w:rsidRPr="0020276C">
        <w:rPr>
          <w:rFonts w:ascii="David" w:eastAsia="Times New Roman" w:hAnsi="David" w:cs="David"/>
          <w:sz w:val="24"/>
          <w:szCs w:val="24"/>
          <w:rtl/>
        </w:rPr>
        <w:t>ל</w:t>
      </w:r>
      <w:r w:rsidR="00E44E76" w:rsidRPr="0020276C">
        <w:rPr>
          <w:rFonts w:ascii="David" w:eastAsia="Times New Roman" w:hAnsi="David" w:cs="David"/>
          <w:sz w:val="24"/>
          <w:szCs w:val="24"/>
          <w:rtl/>
        </w:rPr>
        <w:t>צמיחה כלכלית, צמצום פערים</w:t>
      </w:r>
      <w:r w:rsidR="00D90A1D" w:rsidRPr="0020276C">
        <w:rPr>
          <w:rFonts w:ascii="David" w:eastAsia="Times New Roman" w:hAnsi="David" w:cs="David"/>
          <w:sz w:val="24"/>
          <w:szCs w:val="24"/>
          <w:rtl/>
        </w:rPr>
        <w:t xml:space="preserve"> בחברה</w:t>
      </w:r>
      <w:r w:rsidR="00E44E76" w:rsidRPr="0020276C">
        <w:rPr>
          <w:rFonts w:ascii="David" w:eastAsia="Times New Roman" w:hAnsi="David" w:cs="David"/>
          <w:sz w:val="24"/>
          <w:szCs w:val="24"/>
          <w:rtl/>
        </w:rPr>
        <w:t xml:space="preserve"> ויציבות פיננסית. </w:t>
      </w:r>
      <w:r w:rsidR="00DB27BC" w:rsidRPr="0020276C">
        <w:rPr>
          <w:rFonts w:ascii="David" w:eastAsia="Times New Roman" w:hAnsi="David" w:cs="David"/>
          <w:sz w:val="24"/>
          <w:szCs w:val="24"/>
          <w:rtl/>
        </w:rPr>
        <w:t xml:space="preserve"> </w:t>
      </w:r>
    </w:p>
    <w:p w:rsidR="004C5F26" w:rsidRPr="0020276C" w:rsidRDefault="007304E9" w:rsidP="0020276C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20276C">
        <w:rPr>
          <w:rFonts w:ascii="David" w:hAnsi="David" w:cs="David"/>
          <w:sz w:val="24"/>
          <w:szCs w:val="24"/>
          <w:rtl/>
        </w:rPr>
        <w:t>היום בסמינר</w:t>
      </w:r>
      <w:r w:rsidR="00966C57" w:rsidRPr="0020276C">
        <w:rPr>
          <w:rFonts w:ascii="David" w:hAnsi="David" w:cs="David"/>
          <w:sz w:val="24"/>
          <w:szCs w:val="24"/>
          <w:rtl/>
        </w:rPr>
        <w:t xml:space="preserve"> –</w:t>
      </w:r>
      <w:r w:rsidRPr="0020276C">
        <w:rPr>
          <w:rFonts w:ascii="David" w:hAnsi="David" w:cs="David"/>
          <w:sz w:val="24"/>
          <w:szCs w:val="24"/>
          <w:rtl/>
        </w:rPr>
        <w:t xml:space="preserve"> </w:t>
      </w:r>
      <w:r w:rsidR="00966C57" w:rsidRPr="0020276C">
        <w:rPr>
          <w:rFonts w:ascii="David" w:hAnsi="David" w:cs="David"/>
          <w:sz w:val="24"/>
          <w:szCs w:val="24"/>
          <w:rtl/>
        </w:rPr>
        <w:t>יוצגו בפניכם</w:t>
      </w:r>
      <w:r w:rsidRPr="0020276C">
        <w:rPr>
          <w:rFonts w:ascii="David" w:hAnsi="David" w:cs="David"/>
          <w:sz w:val="24"/>
          <w:szCs w:val="24"/>
          <w:rtl/>
        </w:rPr>
        <w:t xml:space="preserve"> נתונים עדכניים בנוגע לאוריינות הפיננסית של הציבור הישראלי בהשוואה ל – </w:t>
      </w:r>
      <w:r w:rsidRPr="0020276C">
        <w:rPr>
          <w:rFonts w:ascii="David" w:hAnsi="David" w:cs="David"/>
          <w:sz w:val="24"/>
          <w:szCs w:val="24"/>
        </w:rPr>
        <w:t>OECD</w:t>
      </w:r>
      <w:r w:rsidRPr="0020276C">
        <w:rPr>
          <w:rFonts w:ascii="David" w:hAnsi="David" w:cs="David"/>
          <w:sz w:val="24"/>
          <w:szCs w:val="24"/>
          <w:rtl/>
        </w:rPr>
        <w:t xml:space="preserve"> מסקר חלוץ שיזמנו לאחרונה ושאת תוצאותיו</w:t>
      </w:r>
      <w:r w:rsidR="00C351A9" w:rsidRPr="0020276C">
        <w:rPr>
          <w:rFonts w:ascii="David" w:hAnsi="David" w:cs="David"/>
          <w:sz w:val="24"/>
          <w:szCs w:val="24"/>
          <w:rtl/>
        </w:rPr>
        <w:t xml:space="preserve"> </w:t>
      </w:r>
      <w:r w:rsidRPr="0020276C">
        <w:rPr>
          <w:rFonts w:ascii="David" w:hAnsi="David" w:cs="David"/>
          <w:sz w:val="24"/>
          <w:szCs w:val="24"/>
          <w:rtl/>
        </w:rPr>
        <w:t>נחשוף כאן היום לראשונה.</w:t>
      </w:r>
      <w:r w:rsidR="004C5F26" w:rsidRPr="0020276C">
        <w:rPr>
          <w:rFonts w:ascii="David" w:hAnsi="David" w:cs="David"/>
          <w:sz w:val="24"/>
          <w:szCs w:val="24"/>
          <w:rtl/>
        </w:rPr>
        <w:t xml:space="preserve"> </w:t>
      </w:r>
    </w:p>
    <w:p w:rsidR="007304E9" w:rsidRPr="0020276C" w:rsidRDefault="004C5F26" w:rsidP="0020276C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20276C">
        <w:rPr>
          <w:rFonts w:ascii="David" w:hAnsi="David" w:cs="David"/>
          <w:sz w:val="24"/>
          <w:szCs w:val="24"/>
          <w:rtl/>
        </w:rPr>
        <w:t xml:space="preserve">אחד הממצאים העיקריים מהסקר מצביע על פערים גבוהים בתוך החברה הישראלית ברמת האוריינות הפיננסית. </w:t>
      </w:r>
    </w:p>
    <w:p w:rsidR="004C5F26" w:rsidRPr="0020276C" w:rsidRDefault="007304E9" w:rsidP="0020276C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20276C">
        <w:rPr>
          <w:rFonts w:ascii="David" w:hAnsi="David" w:cs="David"/>
          <w:sz w:val="24"/>
          <w:szCs w:val="24"/>
          <w:rtl/>
        </w:rPr>
        <w:lastRenderedPageBreak/>
        <w:t>כדי לצמצם את הפערים</w:t>
      </w:r>
      <w:r w:rsidR="00D910A8" w:rsidRPr="0020276C">
        <w:rPr>
          <w:rFonts w:ascii="David" w:hAnsi="David" w:cs="David"/>
          <w:sz w:val="24"/>
          <w:szCs w:val="24"/>
          <w:rtl/>
        </w:rPr>
        <w:t xml:space="preserve">, חשוב מאוד להמשיך להשקיע ולקדם </w:t>
      </w:r>
      <w:proofErr w:type="spellStart"/>
      <w:r w:rsidR="00D910A8" w:rsidRPr="0020276C">
        <w:rPr>
          <w:rFonts w:ascii="David" w:hAnsi="David" w:cs="David"/>
          <w:sz w:val="24"/>
          <w:szCs w:val="24"/>
          <w:rtl/>
        </w:rPr>
        <w:t>ת</w:t>
      </w:r>
      <w:r w:rsidR="00F72E43" w:rsidRPr="0020276C">
        <w:rPr>
          <w:rFonts w:ascii="David" w:hAnsi="David" w:cs="David"/>
          <w:sz w:val="24"/>
          <w:szCs w:val="24"/>
          <w:rtl/>
        </w:rPr>
        <w:t>ו</w:t>
      </w:r>
      <w:r w:rsidR="00D910A8" w:rsidRPr="0020276C">
        <w:rPr>
          <w:rFonts w:ascii="David" w:hAnsi="David" w:cs="David"/>
          <w:sz w:val="24"/>
          <w:szCs w:val="24"/>
          <w:rtl/>
        </w:rPr>
        <w:t>כניות</w:t>
      </w:r>
      <w:proofErr w:type="spellEnd"/>
      <w:r w:rsidR="00D910A8" w:rsidRPr="0020276C">
        <w:rPr>
          <w:rFonts w:ascii="David" w:hAnsi="David" w:cs="David"/>
          <w:sz w:val="24"/>
          <w:szCs w:val="24"/>
          <w:rtl/>
        </w:rPr>
        <w:t xml:space="preserve"> חינוך פיננסי בקרב בני נוער שעתיד</w:t>
      </w:r>
      <w:r w:rsidR="00E344D0" w:rsidRPr="0020276C">
        <w:rPr>
          <w:rFonts w:ascii="David" w:hAnsi="David" w:cs="David"/>
          <w:sz w:val="24"/>
          <w:szCs w:val="24"/>
          <w:rtl/>
        </w:rPr>
        <w:t>ים</w:t>
      </w:r>
      <w:r w:rsidR="00D910A8" w:rsidRPr="0020276C">
        <w:rPr>
          <w:rFonts w:ascii="David" w:hAnsi="David" w:cs="David"/>
          <w:sz w:val="24"/>
          <w:szCs w:val="24"/>
          <w:rtl/>
        </w:rPr>
        <w:t xml:space="preserve"> להשתלב בשוק העבודה בהמשך. </w:t>
      </w:r>
    </w:p>
    <w:p w:rsidR="00D910A8" w:rsidRPr="0020276C" w:rsidRDefault="00D910A8" w:rsidP="0020276C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20276C">
        <w:rPr>
          <w:rFonts w:ascii="David" w:hAnsi="David" w:cs="David"/>
          <w:sz w:val="24"/>
          <w:szCs w:val="24"/>
          <w:rtl/>
        </w:rPr>
        <w:t>בפרט, מומלץ לשלב למידה עיונית יחד עם למידה מעשית שתאפשר לתלמידים להתנסות בקבלת החלטות כלכליות וכך להצליח להשפיע על התנהגות פיננסית אחראית בצורה אפקטיבית יותר.</w:t>
      </w:r>
    </w:p>
    <w:p w:rsidR="005028B7" w:rsidRPr="0020276C" w:rsidRDefault="00D910A8" w:rsidP="0020276C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20276C">
        <w:rPr>
          <w:rFonts w:ascii="David" w:eastAsia="Times New Roman" w:hAnsi="David" w:cs="David"/>
          <w:sz w:val="24"/>
          <w:szCs w:val="24"/>
          <w:rtl/>
        </w:rPr>
        <w:t xml:space="preserve">בנוסף, </w:t>
      </w:r>
      <w:r w:rsidRPr="0020276C">
        <w:rPr>
          <w:rFonts w:ascii="David" w:hAnsi="David" w:cs="David"/>
          <w:sz w:val="24"/>
          <w:szCs w:val="24"/>
          <w:rtl/>
        </w:rPr>
        <w:t>חשוב לפעול לחינוך פיננסי גם בקרב הציבור המבוגר יותר</w:t>
      </w:r>
      <w:r w:rsidR="005C6917" w:rsidRPr="0020276C">
        <w:rPr>
          <w:rFonts w:ascii="David" w:hAnsi="David" w:cs="David"/>
          <w:sz w:val="24"/>
          <w:szCs w:val="24"/>
          <w:rtl/>
        </w:rPr>
        <w:t>,</w:t>
      </w:r>
      <w:r w:rsidRPr="0020276C">
        <w:rPr>
          <w:rFonts w:ascii="David" w:hAnsi="David" w:cs="David"/>
          <w:sz w:val="24"/>
          <w:szCs w:val="24"/>
          <w:rtl/>
        </w:rPr>
        <w:t xml:space="preserve"> מאחר ולהורים ישנה השפעה משמעותית על החינוך הפיננסי של ילדיהם ועל </w:t>
      </w:r>
      <w:r w:rsidR="005C6917" w:rsidRPr="0020276C">
        <w:rPr>
          <w:rFonts w:ascii="David" w:hAnsi="David" w:cs="David"/>
          <w:sz w:val="24"/>
          <w:szCs w:val="24"/>
          <w:rtl/>
        </w:rPr>
        <w:t xml:space="preserve">ההתנהלות </w:t>
      </w:r>
      <w:r w:rsidRPr="0020276C">
        <w:rPr>
          <w:rFonts w:ascii="David" w:hAnsi="David" w:cs="David"/>
          <w:sz w:val="24"/>
          <w:szCs w:val="24"/>
          <w:rtl/>
        </w:rPr>
        <w:t>הכלכלית של המשפחה.</w:t>
      </w:r>
      <w:r w:rsidR="003E44BE" w:rsidRPr="0020276C">
        <w:rPr>
          <w:rFonts w:ascii="David" w:hAnsi="David" w:cs="David"/>
          <w:sz w:val="24"/>
          <w:szCs w:val="24"/>
          <w:rtl/>
        </w:rPr>
        <w:t xml:space="preserve"> </w:t>
      </w:r>
    </w:p>
    <w:p w:rsidR="00763926" w:rsidRPr="0020276C" w:rsidRDefault="00E344D0" w:rsidP="0020276C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20276C">
        <w:rPr>
          <w:rFonts w:ascii="David" w:hAnsi="David" w:cs="David"/>
          <w:sz w:val="24"/>
          <w:szCs w:val="24"/>
          <w:rtl/>
        </w:rPr>
        <w:t>אנו מודעים לכך</w:t>
      </w:r>
      <w:r w:rsidR="004D430D" w:rsidRPr="0020276C">
        <w:rPr>
          <w:rFonts w:ascii="David" w:hAnsi="David" w:cs="David"/>
          <w:sz w:val="24"/>
          <w:szCs w:val="24"/>
          <w:rtl/>
        </w:rPr>
        <w:t xml:space="preserve">, </w:t>
      </w:r>
      <w:r w:rsidRPr="0020276C">
        <w:rPr>
          <w:rFonts w:ascii="David" w:hAnsi="David" w:cs="David"/>
          <w:sz w:val="24"/>
          <w:szCs w:val="24"/>
          <w:rtl/>
        </w:rPr>
        <w:t>ש</w:t>
      </w:r>
      <w:r w:rsidR="004D430D" w:rsidRPr="0020276C">
        <w:rPr>
          <w:rFonts w:ascii="David" w:hAnsi="David" w:cs="David"/>
          <w:sz w:val="24"/>
          <w:szCs w:val="24"/>
          <w:rtl/>
        </w:rPr>
        <w:t xml:space="preserve">ישנם פערים משמעותיים </w:t>
      </w:r>
      <w:r w:rsidR="004D430D" w:rsidRPr="0020276C">
        <w:rPr>
          <w:rFonts w:ascii="David" w:eastAsia="Times New Roman" w:hAnsi="David" w:cs="David"/>
          <w:sz w:val="24"/>
          <w:szCs w:val="24"/>
          <w:rtl/>
        </w:rPr>
        <w:t>בחינוך הפיננסי בין קבוצות שונות באוכלוסייה ובאופן בולט – בחברה הערבית</w:t>
      </w:r>
      <w:r w:rsidR="005B1937" w:rsidRPr="0020276C">
        <w:rPr>
          <w:rFonts w:ascii="David" w:eastAsia="Times New Roman" w:hAnsi="David" w:cs="David"/>
          <w:sz w:val="24"/>
          <w:szCs w:val="24"/>
          <w:rtl/>
        </w:rPr>
        <w:t>.</w:t>
      </w:r>
      <w:r w:rsidR="004D430D" w:rsidRPr="0020276C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="00DF0B8A" w:rsidRPr="0020276C">
        <w:rPr>
          <w:rFonts w:ascii="David" w:hAnsi="David" w:cs="David"/>
          <w:sz w:val="24"/>
          <w:szCs w:val="24"/>
          <w:rtl/>
        </w:rPr>
        <w:t xml:space="preserve">לכן, יש להתאים את </w:t>
      </w:r>
      <w:proofErr w:type="spellStart"/>
      <w:r w:rsidR="0098134E" w:rsidRPr="0020276C">
        <w:rPr>
          <w:rFonts w:ascii="David" w:hAnsi="David" w:cs="David"/>
          <w:sz w:val="24"/>
          <w:szCs w:val="24"/>
          <w:rtl/>
        </w:rPr>
        <w:t>ת</w:t>
      </w:r>
      <w:r w:rsidR="00585D1A" w:rsidRPr="0020276C">
        <w:rPr>
          <w:rFonts w:ascii="David" w:hAnsi="David" w:cs="David"/>
          <w:sz w:val="24"/>
          <w:szCs w:val="24"/>
          <w:rtl/>
        </w:rPr>
        <w:t>ו</w:t>
      </w:r>
      <w:r w:rsidR="0098134E" w:rsidRPr="0020276C">
        <w:rPr>
          <w:rFonts w:ascii="David" w:hAnsi="David" w:cs="David"/>
          <w:sz w:val="24"/>
          <w:szCs w:val="24"/>
          <w:rtl/>
        </w:rPr>
        <w:t>כניות</w:t>
      </w:r>
      <w:proofErr w:type="spellEnd"/>
      <w:r w:rsidR="0098134E" w:rsidRPr="0020276C">
        <w:rPr>
          <w:rFonts w:ascii="David" w:hAnsi="David" w:cs="David"/>
          <w:sz w:val="24"/>
          <w:szCs w:val="24"/>
          <w:rtl/>
        </w:rPr>
        <w:t xml:space="preserve"> </w:t>
      </w:r>
      <w:r w:rsidR="00DF0B8A" w:rsidRPr="0020276C">
        <w:rPr>
          <w:rFonts w:ascii="David" w:hAnsi="David" w:cs="David"/>
          <w:sz w:val="24"/>
          <w:szCs w:val="24"/>
          <w:rtl/>
        </w:rPr>
        <w:t>ה</w:t>
      </w:r>
      <w:r w:rsidR="0098134E" w:rsidRPr="0020276C">
        <w:rPr>
          <w:rFonts w:ascii="David" w:hAnsi="David" w:cs="David"/>
          <w:sz w:val="24"/>
          <w:szCs w:val="24"/>
          <w:rtl/>
        </w:rPr>
        <w:t xml:space="preserve">חינוך </w:t>
      </w:r>
      <w:r w:rsidR="00DF0B8A" w:rsidRPr="0020276C">
        <w:rPr>
          <w:rFonts w:ascii="David" w:hAnsi="David" w:cs="David"/>
          <w:sz w:val="24"/>
          <w:szCs w:val="24"/>
          <w:rtl/>
        </w:rPr>
        <w:t>ה</w:t>
      </w:r>
      <w:r w:rsidR="0098134E" w:rsidRPr="0020276C">
        <w:rPr>
          <w:rFonts w:ascii="David" w:hAnsi="David" w:cs="David"/>
          <w:sz w:val="24"/>
          <w:szCs w:val="24"/>
          <w:rtl/>
        </w:rPr>
        <w:t>פיננסי</w:t>
      </w:r>
      <w:r w:rsidR="00DF0B8A" w:rsidRPr="0020276C">
        <w:rPr>
          <w:rFonts w:ascii="David" w:hAnsi="David" w:cs="David"/>
          <w:sz w:val="24"/>
          <w:szCs w:val="24"/>
          <w:rtl/>
        </w:rPr>
        <w:t xml:space="preserve"> לקבוצות האוכלוסייה </w:t>
      </w:r>
      <w:r w:rsidR="0098134E" w:rsidRPr="0020276C">
        <w:rPr>
          <w:rFonts w:ascii="David" w:eastAsia="Times New Roman" w:hAnsi="David" w:cs="David"/>
          <w:sz w:val="24"/>
          <w:szCs w:val="24"/>
          <w:rtl/>
        </w:rPr>
        <w:t>ולצרכיהן</w:t>
      </w:r>
      <w:r w:rsidR="0098134E" w:rsidRPr="0020276C">
        <w:rPr>
          <w:rFonts w:ascii="David" w:eastAsia="Times New Roman" w:hAnsi="David" w:cs="David"/>
          <w:sz w:val="24"/>
          <w:szCs w:val="24"/>
        </w:rPr>
        <w:t xml:space="preserve"> </w:t>
      </w:r>
      <w:r w:rsidR="0098134E" w:rsidRPr="0020276C">
        <w:rPr>
          <w:rFonts w:ascii="David" w:eastAsia="Times New Roman" w:hAnsi="David" w:cs="David"/>
          <w:sz w:val="24"/>
          <w:szCs w:val="24"/>
          <w:rtl/>
        </w:rPr>
        <w:t>השונים</w:t>
      </w:r>
      <w:r w:rsidR="003321DF" w:rsidRPr="0020276C">
        <w:rPr>
          <w:rFonts w:ascii="David" w:eastAsia="Times New Roman" w:hAnsi="David" w:cs="David"/>
          <w:sz w:val="24"/>
          <w:szCs w:val="24"/>
          <w:rtl/>
        </w:rPr>
        <w:t>.</w:t>
      </w:r>
      <w:r w:rsidR="0098134E" w:rsidRPr="0020276C">
        <w:rPr>
          <w:rFonts w:ascii="David" w:eastAsia="Times New Roman" w:hAnsi="David" w:cs="David"/>
          <w:sz w:val="24"/>
          <w:szCs w:val="24"/>
          <w:rtl/>
        </w:rPr>
        <w:t xml:space="preserve"> </w:t>
      </w:r>
    </w:p>
    <w:p w:rsidR="007304E9" w:rsidRPr="0020276C" w:rsidRDefault="00763926" w:rsidP="0020276C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20276C">
        <w:rPr>
          <w:rFonts w:ascii="David" w:hAnsi="David" w:cs="David"/>
          <w:sz w:val="24"/>
          <w:szCs w:val="24"/>
          <w:rtl/>
        </w:rPr>
        <w:t xml:space="preserve">בדו״ח ההכלה הפיננסית שבנק ישראל </w:t>
      </w:r>
      <w:proofErr w:type="spellStart"/>
      <w:r w:rsidRPr="0020276C">
        <w:rPr>
          <w:rFonts w:ascii="David" w:hAnsi="David" w:cs="David"/>
          <w:sz w:val="24"/>
          <w:szCs w:val="24"/>
          <w:rtl/>
        </w:rPr>
        <w:t>פ</w:t>
      </w:r>
      <w:r w:rsidR="00A04607" w:rsidRPr="0020276C">
        <w:rPr>
          <w:rFonts w:ascii="David" w:hAnsi="David" w:cs="David"/>
          <w:sz w:val="24"/>
          <w:szCs w:val="24"/>
          <w:rtl/>
        </w:rPr>
        <w:t>י</w:t>
      </w:r>
      <w:r w:rsidRPr="0020276C">
        <w:rPr>
          <w:rFonts w:ascii="David" w:hAnsi="David" w:cs="David"/>
          <w:sz w:val="24"/>
          <w:szCs w:val="24"/>
          <w:rtl/>
        </w:rPr>
        <w:t>רסם</w:t>
      </w:r>
      <w:proofErr w:type="spellEnd"/>
      <w:r w:rsidRPr="0020276C">
        <w:rPr>
          <w:rFonts w:ascii="David" w:hAnsi="David" w:cs="David"/>
          <w:sz w:val="24"/>
          <w:szCs w:val="24"/>
          <w:rtl/>
        </w:rPr>
        <w:t xml:space="preserve"> ביולי האחרון, המלצנו על מספר צעדים להסדרת תחום החינוך הפיננסי בישראל</w:t>
      </w:r>
      <w:r w:rsidR="00100D8E" w:rsidRPr="0020276C">
        <w:rPr>
          <w:rFonts w:ascii="David" w:hAnsi="David" w:cs="David"/>
          <w:sz w:val="24"/>
          <w:szCs w:val="24"/>
          <w:rtl/>
        </w:rPr>
        <w:t>;</w:t>
      </w:r>
      <w:r w:rsidR="00100D8E" w:rsidRPr="0020276C">
        <w:rPr>
          <w:rFonts w:ascii="David" w:hAnsi="David" w:cs="David"/>
          <w:sz w:val="24"/>
          <w:szCs w:val="24"/>
        </w:rPr>
        <w:t xml:space="preserve"> </w:t>
      </w:r>
      <w:r w:rsidRPr="0020276C">
        <w:rPr>
          <w:rFonts w:ascii="David" w:hAnsi="David" w:cs="David"/>
          <w:sz w:val="24"/>
          <w:szCs w:val="24"/>
          <w:rtl/>
        </w:rPr>
        <w:t>בינ</w:t>
      </w:r>
      <w:r w:rsidR="00733505" w:rsidRPr="0020276C">
        <w:rPr>
          <w:rFonts w:ascii="David" w:hAnsi="David" w:cs="David"/>
          <w:sz w:val="24"/>
          <w:szCs w:val="24"/>
          <w:rtl/>
        </w:rPr>
        <w:t>י</w:t>
      </w:r>
      <w:r w:rsidRPr="0020276C">
        <w:rPr>
          <w:rFonts w:ascii="David" w:hAnsi="David" w:cs="David"/>
          <w:sz w:val="24"/>
          <w:szCs w:val="24"/>
          <w:rtl/>
        </w:rPr>
        <w:t xml:space="preserve">הם: הגדרת גוף מוביל </w:t>
      </w:r>
      <w:proofErr w:type="spellStart"/>
      <w:r w:rsidRPr="0020276C">
        <w:rPr>
          <w:rFonts w:ascii="David" w:hAnsi="David" w:cs="David"/>
          <w:sz w:val="24"/>
          <w:szCs w:val="24"/>
          <w:rtl/>
        </w:rPr>
        <w:t>ומתכלל</w:t>
      </w:r>
      <w:proofErr w:type="spellEnd"/>
      <w:r w:rsidR="00A85AC6" w:rsidRPr="0020276C">
        <w:rPr>
          <w:rFonts w:ascii="David" w:hAnsi="David" w:cs="David"/>
          <w:sz w:val="24"/>
          <w:szCs w:val="24"/>
          <w:rtl/>
        </w:rPr>
        <w:t>,</w:t>
      </w:r>
      <w:r w:rsidRPr="0020276C">
        <w:rPr>
          <w:rFonts w:ascii="David" w:hAnsi="David" w:cs="David"/>
          <w:sz w:val="24"/>
          <w:szCs w:val="24"/>
          <w:rtl/>
        </w:rPr>
        <w:t xml:space="preserve"> ברמה הלאומית</w:t>
      </w:r>
      <w:r w:rsidR="00A85AC6" w:rsidRPr="0020276C">
        <w:rPr>
          <w:rFonts w:ascii="David" w:hAnsi="David" w:cs="David"/>
          <w:sz w:val="24"/>
          <w:szCs w:val="24"/>
          <w:rtl/>
        </w:rPr>
        <w:t>,</w:t>
      </w:r>
      <w:r w:rsidRPr="0020276C">
        <w:rPr>
          <w:rFonts w:ascii="David" w:hAnsi="David" w:cs="David"/>
          <w:sz w:val="24"/>
          <w:szCs w:val="24"/>
          <w:rtl/>
        </w:rPr>
        <w:t xml:space="preserve"> אשר יסנכרן בין כלל הגורמים ויקדם</w:t>
      </w:r>
      <w:r w:rsidR="0098134E" w:rsidRPr="0020276C">
        <w:rPr>
          <w:rFonts w:ascii="David" w:hAnsi="David" w:cs="David"/>
          <w:sz w:val="24"/>
          <w:szCs w:val="24"/>
          <w:rtl/>
        </w:rPr>
        <w:t xml:space="preserve"> פעילויות בתחום החינוך הפיננסי,</w:t>
      </w:r>
      <w:r w:rsidR="00733505" w:rsidRPr="0020276C">
        <w:rPr>
          <w:rFonts w:ascii="David" w:hAnsi="David" w:cs="David"/>
          <w:sz w:val="24"/>
          <w:szCs w:val="24"/>
          <w:rtl/>
        </w:rPr>
        <w:t xml:space="preserve"> </w:t>
      </w:r>
      <w:r w:rsidRPr="0020276C">
        <w:rPr>
          <w:rFonts w:ascii="David" w:hAnsi="David" w:cs="David"/>
          <w:sz w:val="24"/>
          <w:szCs w:val="24"/>
          <w:rtl/>
        </w:rPr>
        <w:t xml:space="preserve">הקמת פורטל לאומי שיכיל מידע בנושאי חינוך פיננסי בנקודות זמן שונות בחיי האזרח, </w:t>
      </w:r>
      <w:r w:rsidR="007304E9" w:rsidRPr="0020276C">
        <w:rPr>
          <w:rFonts w:ascii="David" w:hAnsi="David" w:cs="David"/>
          <w:sz w:val="24"/>
          <w:szCs w:val="24"/>
          <w:rtl/>
        </w:rPr>
        <w:t>הטמעת ת</w:t>
      </w:r>
      <w:r w:rsidR="00BF7BBC" w:rsidRPr="0020276C">
        <w:rPr>
          <w:rFonts w:ascii="David" w:hAnsi="David" w:cs="David"/>
          <w:sz w:val="24"/>
          <w:szCs w:val="24"/>
          <w:rtl/>
        </w:rPr>
        <w:t>ְ</w:t>
      </w:r>
      <w:r w:rsidR="007304E9" w:rsidRPr="0020276C">
        <w:rPr>
          <w:rFonts w:ascii="David" w:hAnsi="David" w:cs="David"/>
          <w:sz w:val="24"/>
          <w:szCs w:val="24"/>
          <w:rtl/>
        </w:rPr>
        <w:t>כ</w:t>
      </w:r>
      <w:r w:rsidR="00F72E43" w:rsidRPr="0020276C">
        <w:rPr>
          <w:rFonts w:ascii="David" w:hAnsi="David" w:cs="David"/>
          <w:sz w:val="24"/>
          <w:szCs w:val="24"/>
          <w:rtl/>
        </w:rPr>
        <w:t>ַ</w:t>
      </w:r>
      <w:r w:rsidR="007304E9" w:rsidRPr="0020276C">
        <w:rPr>
          <w:rFonts w:ascii="David" w:hAnsi="David" w:cs="David"/>
          <w:sz w:val="24"/>
          <w:szCs w:val="24"/>
          <w:rtl/>
        </w:rPr>
        <w:t>ני חינוך פיננסי במערכת החינוך וגיבוש מדדי הצלחה לבחינת הטמעה זו.</w:t>
      </w:r>
    </w:p>
    <w:p w:rsidR="00710D1A" w:rsidRPr="0020276C" w:rsidRDefault="00710D1A" w:rsidP="0020276C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20276C">
        <w:rPr>
          <w:rFonts w:ascii="David" w:hAnsi="David" w:cs="David"/>
          <w:sz w:val="24"/>
          <w:szCs w:val="24"/>
          <w:rtl/>
        </w:rPr>
        <w:t xml:space="preserve">אנו מאמינים שסגירת הפערים תסייע גם לפרט </w:t>
      </w:r>
      <w:r w:rsidR="003E44BE" w:rsidRPr="0020276C">
        <w:rPr>
          <w:rFonts w:ascii="David" w:hAnsi="David" w:cs="David"/>
          <w:sz w:val="24"/>
          <w:szCs w:val="24"/>
          <w:rtl/>
        </w:rPr>
        <w:t>ו</w:t>
      </w:r>
      <w:r w:rsidRPr="0020276C">
        <w:rPr>
          <w:rFonts w:ascii="David" w:hAnsi="David" w:cs="David"/>
          <w:sz w:val="24"/>
          <w:szCs w:val="24"/>
          <w:rtl/>
        </w:rPr>
        <w:t>גם לכלכלה ולחברה כולה</w:t>
      </w:r>
      <w:r w:rsidR="00665285" w:rsidRPr="0020276C">
        <w:rPr>
          <w:rFonts w:ascii="David" w:hAnsi="David" w:cs="David"/>
          <w:sz w:val="24"/>
          <w:szCs w:val="24"/>
          <w:rtl/>
        </w:rPr>
        <w:t xml:space="preserve"> ולכן היה לנו חשוב </w:t>
      </w:r>
      <w:r w:rsidR="00F72E43" w:rsidRPr="0020276C">
        <w:rPr>
          <w:rFonts w:ascii="David" w:hAnsi="David" w:cs="David"/>
          <w:sz w:val="24"/>
          <w:szCs w:val="24"/>
          <w:rtl/>
        </w:rPr>
        <w:t xml:space="preserve">להתניע </w:t>
      </w:r>
      <w:r w:rsidR="00665285" w:rsidRPr="0020276C">
        <w:rPr>
          <w:rFonts w:ascii="David" w:hAnsi="David" w:cs="David"/>
          <w:sz w:val="24"/>
          <w:szCs w:val="24"/>
          <w:rtl/>
        </w:rPr>
        <w:t>את הנושא ואף להקצות לכך משאבים.</w:t>
      </w:r>
    </w:p>
    <w:p w:rsidR="00A85AC6" w:rsidRPr="0020276C" w:rsidRDefault="00710D1A" w:rsidP="0020276C">
      <w:pPr>
        <w:spacing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20276C">
        <w:rPr>
          <w:rFonts w:ascii="David" w:eastAsia="Times New Roman" w:hAnsi="David" w:cs="David"/>
          <w:sz w:val="24"/>
          <w:szCs w:val="24"/>
          <w:rtl/>
        </w:rPr>
        <w:t xml:space="preserve">הסמינר היום הוא נקודת הפתיחה של הפעילות הזו. </w:t>
      </w:r>
    </w:p>
    <w:p w:rsidR="00CF75A8" w:rsidRPr="0020276C" w:rsidRDefault="003D0B9E" w:rsidP="0020276C">
      <w:pPr>
        <w:spacing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20276C">
        <w:rPr>
          <w:rFonts w:ascii="David" w:eastAsia="Times New Roman" w:hAnsi="David" w:cs="David"/>
          <w:sz w:val="24"/>
          <w:szCs w:val="24"/>
          <w:rtl/>
        </w:rPr>
        <w:t xml:space="preserve">אני רוצה להודות לכל מי שסייע להצלחת הסמינר ובמיוחד למנהלת מחלקת תקשורת הסברה וקשרי קהילה בבנק ישראל -  </w:t>
      </w:r>
      <w:r w:rsidR="00E344D0" w:rsidRPr="0020276C">
        <w:rPr>
          <w:rFonts w:ascii="David" w:eastAsia="Times New Roman" w:hAnsi="David" w:cs="David"/>
          <w:sz w:val="24"/>
          <w:szCs w:val="24"/>
          <w:rtl/>
        </w:rPr>
        <w:t xml:space="preserve">הגב' </w:t>
      </w:r>
      <w:r w:rsidRPr="0020276C">
        <w:rPr>
          <w:rFonts w:ascii="David" w:eastAsia="Times New Roman" w:hAnsi="David" w:cs="David"/>
          <w:sz w:val="24"/>
          <w:szCs w:val="24"/>
          <w:rtl/>
        </w:rPr>
        <w:t xml:space="preserve">נורית פלתר איתן -  שיזמה את הסמינר והמחלקה שלה </w:t>
      </w:r>
      <w:r w:rsidR="00561877" w:rsidRPr="0020276C">
        <w:rPr>
          <w:rFonts w:ascii="David" w:eastAsia="Times New Roman" w:hAnsi="David" w:cs="David"/>
          <w:sz w:val="24"/>
          <w:szCs w:val="24"/>
          <w:rtl/>
        </w:rPr>
        <w:t xml:space="preserve">מובילה </w:t>
      </w:r>
      <w:r w:rsidRPr="0020276C">
        <w:rPr>
          <w:rFonts w:ascii="David" w:eastAsia="Times New Roman" w:hAnsi="David" w:cs="David"/>
          <w:sz w:val="24"/>
          <w:szCs w:val="24"/>
          <w:rtl/>
        </w:rPr>
        <w:t xml:space="preserve">את הנושא החשוב הזה מטעם בנק ישראל. </w:t>
      </w:r>
    </w:p>
    <w:p w:rsidR="007173A9" w:rsidRPr="0020276C" w:rsidRDefault="00CF75A8" w:rsidP="0020276C">
      <w:pPr>
        <w:spacing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20276C">
        <w:rPr>
          <w:rFonts w:ascii="David" w:eastAsia="Times New Roman" w:hAnsi="David" w:cs="David"/>
          <w:sz w:val="24"/>
          <w:szCs w:val="24"/>
          <w:rtl/>
        </w:rPr>
        <w:t xml:space="preserve">אני </w:t>
      </w:r>
      <w:r w:rsidR="003D0B9E" w:rsidRPr="0020276C">
        <w:rPr>
          <w:rFonts w:ascii="David" w:eastAsia="Times New Roman" w:hAnsi="David" w:cs="David"/>
          <w:sz w:val="24"/>
          <w:szCs w:val="24"/>
          <w:rtl/>
        </w:rPr>
        <w:t>מאחל לכולן ולכולם סמ</w:t>
      </w:r>
      <w:r w:rsidR="003D0B9E" w:rsidRPr="0020276C">
        <w:rPr>
          <w:rFonts w:ascii="David" w:eastAsia="Times New Roman" w:hAnsi="David" w:cs="David" w:hint="eastAsia"/>
          <w:sz w:val="24"/>
          <w:szCs w:val="24"/>
          <w:rtl/>
        </w:rPr>
        <w:t>ינר</w:t>
      </w:r>
      <w:r w:rsidR="003D0B9E" w:rsidRPr="0020276C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="003D0B9E" w:rsidRPr="0020276C">
        <w:rPr>
          <w:rFonts w:ascii="David" w:eastAsia="Times New Roman" w:hAnsi="David" w:cs="David" w:hint="eastAsia"/>
          <w:sz w:val="24"/>
          <w:szCs w:val="24"/>
          <w:rtl/>
        </w:rPr>
        <w:t>מעניין</w:t>
      </w:r>
      <w:r w:rsidR="003D0B9E" w:rsidRPr="0020276C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="003D0B9E" w:rsidRPr="0020276C">
        <w:rPr>
          <w:rFonts w:ascii="David" w:eastAsia="Times New Roman" w:hAnsi="David" w:cs="David" w:hint="eastAsia"/>
          <w:sz w:val="24"/>
          <w:szCs w:val="24"/>
          <w:rtl/>
        </w:rPr>
        <w:t>ופורה</w:t>
      </w:r>
      <w:r w:rsidR="003E44BE" w:rsidRPr="0020276C">
        <w:rPr>
          <w:rFonts w:ascii="David" w:eastAsia="Times New Roman" w:hAnsi="David" w:cs="David"/>
          <w:sz w:val="24"/>
          <w:szCs w:val="24"/>
          <w:rtl/>
        </w:rPr>
        <w:t>.</w:t>
      </w:r>
    </w:p>
    <w:sectPr w:rsidR="007173A9" w:rsidRPr="0020276C" w:rsidSect="00E26C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B92" w:rsidRDefault="006C4B92" w:rsidP="000929F7">
      <w:pPr>
        <w:spacing w:after="0" w:line="240" w:lineRule="auto"/>
      </w:pPr>
      <w:r>
        <w:separator/>
      </w:r>
    </w:p>
  </w:endnote>
  <w:endnote w:type="continuationSeparator" w:id="0">
    <w:p w:rsidR="006C4B92" w:rsidRDefault="006C4B92" w:rsidP="00092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B70" w:rsidRDefault="00645B7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E43" w:rsidRPr="00E7463A" w:rsidRDefault="00F72E43" w:rsidP="0020276C">
    <w:pPr>
      <w:pStyle w:val="ae"/>
      <w:jc w:val="center"/>
      <w:rPr>
        <w:b/>
        <w:bCs/>
        <w:sz w:val="36"/>
        <w:szCs w:val="36"/>
      </w:rPr>
    </w:pPr>
  </w:p>
  <w:p w:rsidR="00F72E43" w:rsidRPr="00E7463A" w:rsidRDefault="00F72E43">
    <w:pPr>
      <w:pStyle w:val="ae"/>
      <w:rPr>
        <w:rFonts w:hint="cs"/>
        <w:b/>
        <w:bCs/>
        <w:sz w:val="36"/>
        <w:szCs w:val="3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B70" w:rsidRDefault="00645B7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B92" w:rsidRDefault="006C4B92" w:rsidP="000929F7">
      <w:pPr>
        <w:spacing w:after="0" w:line="240" w:lineRule="auto"/>
      </w:pPr>
      <w:r>
        <w:separator/>
      </w:r>
    </w:p>
  </w:footnote>
  <w:footnote w:type="continuationSeparator" w:id="0">
    <w:p w:rsidR="006C4B92" w:rsidRDefault="006C4B92" w:rsidP="00092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B70" w:rsidRDefault="00645B7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B70" w:rsidRDefault="00645B7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B70" w:rsidRDefault="00645B70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09"/>
    <w:rsid w:val="00000234"/>
    <w:rsid w:val="00006F59"/>
    <w:rsid w:val="0001717F"/>
    <w:rsid w:val="000244B1"/>
    <w:rsid w:val="000416BB"/>
    <w:rsid w:val="00044322"/>
    <w:rsid w:val="00053217"/>
    <w:rsid w:val="0005440B"/>
    <w:rsid w:val="00060DA8"/>
    <w:rsid w:val="00061732"/>
    <w:rsid w:val="00075290"/>
    <w:rsid w:val="000841F2"/>
    <w:rsid w:val="0008542C"/>
    <w:rsid w:val="000856A6"/>
    <w:rsid w:val="0009264C"/>
    <w:rsid w:val="000929F7"/>
    <w:rsid w:val="000A33D4"/>
    <w:rsid w:val="000B1B44"/>
    <w:rsid w:val="00100543"/>
    <w:rsid w:val="00100D8E"/>
    <w:rsid w:val="001060E7"/>
    <w:rsid w:val="0011091D"/>
    <w:rsid w:val="001112B2"/>
    <w:rsid w:val="00112AF6"/>
    <w:rsid w:val="001140C6"/>
    <w:rsid w:val="00121B41"/>
    <w:rsid w:val="00122A38"/>
    <w:rsid w:val="00127F73"/>
    <w:rsid w:val="0018065E"/>
    <w:rsid w:val="00181E5F"/>
    <w:rsid w:val="0018311E"/>
    <w:rsid w:val="001857FE"/>
    <w:rsid w:val="00196428"/>
    <w:rsid w:val="001A7DE2"/>
    <w:rsid w:val="001B0550"/>
    <w:rsid w:val="001B17DF"/>
    <w:rsid w:val="001C05BB"/>
    <w:rsid w:val="001D06EC"/>
    <w:rsid w:val="001D670E"/>
    <w:rsid w:val="001D6912"/>
    <w:rsid w:val="001E4786"/>
    <w:rsid w:val="001E78D1"/>
    <w:rsid w:val="0020276C"/>
    <w:rsid w:val="00207E10"/>
    <w:rsid w:val="00226CCF"/>
    <w:rsid w:val="00234BCB"/>
    <w:rsid w:val="00245642"/>
    <w:rsid w:val="0025334C"/>
    <w:rsid w:val="002619F5"/>
    <w:rsid w:val="0027126D"/>
    <w:rsid w:val="00276392"/>
    <w:rsid w:val="002949B5"/>
    <w:rsid w:val="002B003B"/>
    <w:rsid w:val="002B6473"/>
    <w:rsid w:val="002C1031"/>
    <w:rsid w:val="002F4810"/>
    <w:rsid w:val="00316725"/>
    <w:rsid w:val="003321DF"/>
    <w:rsid w:val="00357AEA"/>
    <w:rsid w:val="00367DDD"/>
    <w:rsid w:val="00375F83"/>
    <w:rsid w:val="003842C1"/>
    <w:rsid w:val="00390D2A"/>
    <w:rsid w:val="003A2780"/>
    <w:rsid w:val="003B0770"/>
    <w:rsid w:val="003B108B"/>
    <w:rsid w:val="003D0B9E"/>
    <w:rsid w:val="003D43C8"/>
    <w:rsid w:val="003D7391"/>
    <w:rsid w:val="003E44BE"/>
    <w:rsid w:val="00404D79"/>
    <w:rsid w:val="0043361F"/>
    <w:rsid w:val="0044587F"/>
    <w:rsid w:val="00456762"/>
    <w:rsid w:val="00472772"/>
    <w:rsid w:val="004763C9"/>
    <w:rsid w:val="00495EC7"/>
    <w:rsid w:val="00496615"/>
    <w:rsid w:val="004C169D"/>
    <w:rsid w:val="004C25B2"/>
    <w:rsid w:val="004C5F26"/>
    <w:rsid w:val="004D430D"/>
    <w:rsid w:val="004F0D68"/>
    <w:rsid w:val="004F4E34"/>
    <w:rsid w:val="005028B7"/>
    <w:rsid w:val="00503059"/>
    <w:rsid w:val="00513699"/>
    <w:rsid w:val="00513A62"/>
    <w:rsid w:val="005215B6"/>
    <w:rsid w:val="00521D93"/>
    <w:rsid w:val="00530BDD"/>
    <w:rsid w:val="005401A3"/>
    <w:rsid w:val="00561415"/>
    <w:rsid w:val="00561877"/>
    <w:rsid w:val="0056359A"/>
    <w:rsid w:val="00564EF7"/>
    <w:rsid w:val="00564F33"/>
    <w:rsid w:val="00572C52"/>
    <w:rsid w:val="005814C3"/>
    <w:rsid w:val="00585D1A"/>
    <w:rsid w:val="00593279"/>
    <w:rsid w:val="00595C5B"/>
    <w:rsid w:val="005A1184"/>
    <w:rsid w:val="005B1937"/>
    <w:rsid w:val="005B1F7C"/>
    <w:rsid w:val="005C6917"/>
    <w:rsid w:val="005D7BB8"/>
    <w:rsid w:val="0060246F"/>
    <w:rsid w:val="0061764A"/>
    <w:rsid w:val="00623EC2"/>
    <w:rsid w:val="006329A2"/>
    <w:rsid w:val="00645B70"/>
    <w:rsid w:val="00647A5D"/>
    <w:rsid w:val="00665285"/>
    <w:rsid w:val="0068669C"/>
    <w:rsid w:val="006A122E"/>
    <w:rsid w:val="006A75B1"/>
    <w:rsid w:val="006B546C"/>
    <w:rsid w:val="006C4B92"/>
    <w:rsid w:val="00703A94"/>
    <w:rsid w:val="007109B0"/>
    <w:rsid w:val="00710D1A"/>
    <w:rsid w:val="00715E19"/>
    <w:rsid w:val="007173A9"/>
    <w:rsid w:val="007304E9"/>
    <w:rsid w:val="00733505"/>
    <w:rsid w:val="00734882"/>
    <w:rsid w:val="007430C9"/>
    <w:rsid w:val="00763926"/>
    <w:rsid w:val="0077258A"/>
    <w:rsid w:val="007C2B84"/>
    <w:rsid w:val="007C5BB3"/>
    <w:rsid w:val="007D02F4"/>
    <w:rsid w:val="007F6BD8"/>
    <w:rsid w:val="008055C7"/>
    <w:rsid w:val="00820E96"/>
    <w:rsid w:val="008471CD"/>
    <w:rsid w:val="008479B4"/>
    <w:rsid w:val="00866D20"/>
    <w:rsid w:val="00867BEE"/>
    <w:rsid w:val="00882D77"/>
    <w:rsid w:val="00890647"/>
    <w:rsid w:val="008956E9"/>
    <w:rsid w:val="00896129"/>
    <w:rsid w:val="008977B0"/>
    <w:rsid w:val="008A1D67"/>
    <w:rsid w:val="008A276F"/>
    <w:rsid w:val="008B5BE2"/>
    <w:rsid w:val="008C238A"/>
    <w:rsid w:val="008C55D3"/>
    <w:rsid w:val="008F2E33"/>
    <w:rsid w:val="00907603"/>
    <w:rsid w:val="00921AF7"/>
    <w:rsid w:val="0093185A"/>
    <w:rsid w:val="0093715C"/>
    <w:rsid w:val="00966C57"/>
    <w:rsid w:val="00976964"/>
    <w:rsid w:val="0098134E"/>
    <w:rsid w:val="00983E06"/>
    <w:rsid w:val="00986B61"/>
    <w:rsid w:val="00992906"/>
    <w:rsid w:val="009B2F7A"/>
    <w:rsid w:val="009C26B1"/>
    <w:rsid w:val="009D0B68"/>
    <w:rsid w:val="00A04607"/>
    <w:rsid w:val="00A3072D"/>
    <w:rsid w:val="00A43A8B"/>
    <w:rsid w:val="00A46D1D"/>
    <w:rsid w:val="00A56305"/>
    <w:rsid w:val="00A61EE4"/>
    <w:rsid w:val="00A665E5"/>
    <w:rsid w:val="00A672DC"/>
    <w:rsid w:val="00A77F09"/>
    <w:rsid w:val="00A85AC6"/>
    <w:rsid w:val="00AE4A74"/>
    <w:rsid w:val="00B0042D"/>
    <w:rsid w:val="00B024A6"/>
    <w:rsid w:val="00B07421"/>
    <w:rsid w:val="00B11235"/>
    <w:rsid w:val="00B206BA"/>
    <w:rsid w:val="00B225EB"/>
    <w:rsid w:val="00B3114F"/>
    <w:rsid w:val="00B54C12"/>
    <w:rsid w:val="00B649BF"/>
    <w:rsid w:val="00B81822"/>
    <w:rsid w:val="00BB7713"/>
    <w:rsid w:val="00BC0F2A"/>
    <w:rsid w:val="00BD595B"/>
    <w:rsid w:val="00BE2C1E"/>
    <w:rsid w:val="00BF7BBC"/>
    <w:rsid w:val="00C16797"/>
    <w:rsid w:val="00C33B9B"/>
    <w:rsid w:val="00C351A9"/>
    <w:rsid w:val="00C443BF"/>
    <w:rsid w:val="00C55375"/>
    <w:rsid w:val="00C60C28"/>
    <w:rsid w:val="00C6150D"/>
    <w:rsid w:val="00C85FD1"/>
    <w:rsid w:val="00C8633B"/>
    <w:rsid w:val="00C8713B"/>
    <w:rsid w:val="00CA2D04"/>
    <w:rsid w:val="00CB1BF6"/>
    <w:rsid w:val="00CC2456"/>
    <w:rsid w:val="00CF1189"/>
    <w:rsid w:val="00CF1287"/>
    <w:rsid w:val="00CF2BA1"/>
    <w:rsid w:val="00CF654F"/>
    <w:rsid w:val="00CF75A8"/>
    <w:rsid w:val="00D1669D"/>
    <w:rsid w:val="00D17788"/>
    <w:rsid w:val="00D4612D"/>
    <w:rsid w:val="00D55982"/>
    <w:rsid w:val="00D7427A"/>
    <w:rsid w:val="00D82A8E"/>
    <w:rsid w:val="00D90A1D"/>
    <w:rsid w:val="00D910A8"/>
    <w:rsid w:val="00DA3826"/>
    <w:rsid w:val="00DA5C73"/>
    <w:rsid w:val="00DA6100"/>
    <w:rsid w:val="00DB27BC"/>
    <w:rsid w:val="00DD57F8"/>
    <w:rsid w:val="00DD5E8C"/>
    <w:rsid w:val="00DF0B8A"/>
    <w:rsid w:val="00E215F9"/>
    <w:rsid w:val="00E26CAC"/>
    <w:rsid w:val="00E344D0"/>
    <w:rsid w:val="00E36941"/>
    <w:rsid w:val="00E44E76"/>
    <w:rsid w:val="00E5192C"/>
    <w:rsid w:val="00E606E1"/>
    <w:rsid w:val="00E66ADB"/>
    <w:rsid w:val="00E7463A"/>
    <w:rsid w:val="00EA6652"/>
    <w:rsid w:val="00EB1D88"/>
    <w:rsid w:val="00EB3B5F"/>
    <w:rsid w:val="00EC1E0B"/>
    <w:rsid w:val="00EF053C"/>
    <w:rsid w:val="00EF61BB"/>
    <w:rsid w:val="00EF720D"/>
    <w:rsid w:val="00F15BE0"/>
    <w:rsid w:val="00F17EA5"/>
    <w:rsid w:val="00F36DB7"/>
    <w:rsid w:val="00F40D87"/>
    <w:rsid w:val="00F51F30"/>
    <w:rsid w:val="00F56841"/>
    <w:rsid w:val="00F62011"/>
    <w:rsid w:val="00F72E43"/>
    <w:rsid w:val="00F822A7"/>
    <w:rsid w:val="00F94D35"/>
    <w:rsid w:val="00FB0E49"/>
    <w:rsid w:val="00FB4F60"/>
    <w:rsid w:val="00FD3B25"/>
    <w:rsid w:val="00FE06F5"/>
    <w:rsid w:val="00FE07B0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837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929F7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0929F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929F7"/>
    <w:rPr>
      <w:vertAlign w:val="superscript"/>
    </w:rPr>
  </w:style>
  <w:style w:type="character" w:styleId="Hyperlink">
    <w:name w:val="Hyperlink"/>
    <w:basedOn w:val="a0"/>
    <w:uiPriority w:val="99"/>
    <w:unhideWhenUsed/>
    <w:rsid w:val="00992906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992906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5215B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5215B6"/>
    <w:pPr>
      <w:spacing w:after="200"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rsid w:val="005215B6"/>
    <w:rPr>
      <w:sz w:val="20"/>
      <w:szCs w:val="20"/>
    </w:rPr>
  </w:style>
  <w:style w:type="paragraph" w:styleId="NormalWeb">
    <w:name w:val="Normal (Web)"/>
    <w:basedOn w:val="a"/>
    <w:uiPriority w:val="99"/>
    <w:unhideWhenUsed/>
    <w:rsid w:val="00C33B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a0"/>
    <w:uiPriority w:val="99"/>
    <w:semiHidden/>
    <w:unhideWhenUsed/>
    <w:rsid w:val="007304E9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304E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7304E9"/>
    <w:rPr>
      <w:rFonts w:ascii="Tahoma" w:hAnsi="Tahoma" w:cs="Tahoma"/>
      <w:sz w:val="18"/>
      <w:szCs w:val="18"/>
    </w:rPr>
  </w:style>
  <w:style w:type="paragraph" w:styleId="ab">
    <w:name w:val="Revision"/>
    <w:hidden/>
    <w:uiPriority w:val="99"/>
    <w:semiHidden/>
    <w:rsid w:val="003E44BE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F72E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עליונה תו"/>
    <w:basedOn w:val="a0"/>
    <w:link w:val="ac"/>
    <w:uiPriority w:val="99"/>
    <w:rsid w:val="00F72E43"/>
  </w:style>
  <w:style w:type="paragraph" w:styleId="ae">
    <w:name w:val="footer"/>
    <w:basedOn w:val="a"/>
    <w:link w:val="af"/>
    <w:uiPriority w:val="99"/>
    <w:unhideWhenUsed/>
    <w:rsid w:val="00F72E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F72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2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6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8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9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37BAC-3963-4E1C-980E-D7FF414CE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2023-02-28T08:40:00Z</dcterms:created>
  <dcterms:modified xsi:type="dcterms:W3CDTF">2023-02-28T08:40:00Z</dcterms:modified>
</cp:coreProperties>
</file>