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rsidR="0009048D" w:rsidRDefault="0009048D" w:rsidP="0009048D">
      <w:pPr>
        <w:pStyle w:val="regpar"/>
        <w:spacing w:line="300" w:lineRule="atLeast"/>
        <w:ind w:firstLine="0"/>
        <w:jc w:val="center"/>
        <w:rPr>
          <w:rFonts w:ascii="Times New Roman" w:hAnsi="Times New Roman" w:cs="Times New Roman"/>
        </w:rPr>
      </w:pPr>
    </w:p>
    <w:p w:rsidR="00DD0AB5" w:rsidRPr="00000A06" w:rsidRDefault="00DD0AB5" w:rsidP="00A60E0E">
      <w:pPr>
        <w:pStyle w:val="regpar"/>
        <w:spacing w:line="300" w:lineRule="atLeast"/>
        <w:ind w:firstLine="0"/>
        <w:jc w:val="center"/>
        <w:rPr>
          <w:rFonts w:ascii="Times New Roman" w:hAnsi="Times New Roman" w:cs="Times New Roman"/>
          <w:b/>
        </w:rPr>
      </w:pPr>
    </w:p>
    <w:p w:rsidR="007617BD" w:rsidRDefault="00907867" w:rsidP="009F776D">
      <w:pPr>
        <w:pStyle w:val="regpar"/>
        <w:jc w:val="right"/>
      </w:pPr>
      <w:r>
        <w:t xml:space="preserve">October </w:t>
      </w:r>
      <w:r w:rsidR="009F776D">
        <w:t>23</w:t>
      </w:r>
      <w:r w:rsidR="0080149A">
        <w:t>, 2023</w:t>
      </w:r>
    </w:p>
    <w:p w:rsidR="00F51981" w:rsidRDefault="00F51981" w:rsidP="00F51981">
      <w:pPr>
        <w:pStyle w:val="regpar"/>
        <w:spacing w:line="300" w:lineRule="atLeast"/>
        <w:ind w:firstLine="0"/>
        <w:jc w:val="left"/>
        <w:rPr>
          <w:rFonts w:ascii="Times New Roman" w:hAnsi="Times New Roman" w:cs="Times New Roman"/>
        </w:rPr>
      </w:pPr>
      <w:r>
        <w:rPr>
          <w:rFonts w:ascii="Times New Roman" w:hAnsi="Times New Roman" w:cs="Times New Roman"/>
        </w:rPr>
        <w:t>Press release</w:t>
      </w:r>
      <w:r>
        <w:rPr>
          <w:rFonts w:ascii="Times New Roman" w:hAnsi="Times New Roman" w:cs="Times New Roman"/>
        </w:rPr>
        <w:t>:</w:t>
      </w:r>
      <w:bookmarkStart w:id="0" w:name="_GoBack"/>
      <w:bookmarkEnd w:id="0"/>
    </w:p>
    <w:p w:rsidR="00F23C43" w:rsidRDefault="00F23C43" w:rsidP="00F51981">
      <w:pPr>
        <w:pStyle w:val="regpar"/>
        <w:jc w:val="left"/>
      </w:pPr>
    </w:p>
    <w:p w:rsidR="00D00CF7" w:rsidRDefault="00D1074A" w:rsidP="009F776D">
      <w:pPr>
        <w:pStyle w:val="regpar"/>
        <w:ind w:firstLine="0"/>
        <w:jc w:val="center"/>
        <w:rPr>
          <w:b/>
          <w:bCs/>
          <w:sz w:val="26"/>
          <w:szCs w:val="26"/>
        </w:rPr>
      </w:pPr>
      <w:r>
        <w:rPr>
          <w:b/>
          <w:bCs/>
          <w:sz w:val="26"/>
          <w:szCs w:val="26"/>
        </w:rPr>
        <w:t>The Bank of Israel</w:t>
      </w:r>
      <w:r w:rsidR="009F776D">
        <w:rPr>
          <w:b/>
          <w:bCs/>
          <w:sz w:val="26"/>
          <w:szCs w:val="26"/>
        </w:rPr>
        <w:t xml:space="preserve"> announces an additional outline for the customers of the credit card companies to help them deal with the ramifications of the “Swords of Iron” war</w:t>
      </w:r>
    </w:p>
    <w:p w:rsidR="00657FCE" w:rsidRDefault="00657FCE" w:rsidP="00657FCE">
      <w:pPr>
        <w:pStyle w:val="regpar"/>
        <w:ind w:firstLine="0"/>
        <w:rPr>
          <w:sz w:val="26"/>
          <w:szCs w:val="26"/>
        </w:rPr>
      </w:pPr>
    </w:p>
    <w:p w:rsidR="009F776D" w:rsidRDefault="009F776D" w:rsidP="00657FCE">
      <w:pPr>
        <w:pStyle w:val="regpar"/>
        <w:ind w:firstLine="0"/>
        <w:rPr>
          <w:sz w:val="26"/>
          <w:szCs w:val="26"/>
        </w:rPr>
      </w:pPr>
      <w:r>
        <w:rPr>
          <w:sz w:val="26"/>
          <w:szCs w:val="26"/>
        </w:rPr>
        <w:t xml:space="preserve">Further to the assistance outline formulated by the Bank of Israel and adopted by the </w:t>
      </w:r>
      <w:proofErr w:type="gramStart"/>
      <w:r>
        <w:rPr>
          <w:sz w:val="26"/>
          <w:szCs w:val="26"/>
        </w:rPr>
        <w:t>banks</w:t>
      </w:r>
      <w:proofErr w:type="gramEnd"/>
      <w:r>
        <w:rPr>
          <w:sz w:val="26"/>
          <w:szCs w:val="26"/>
        </w:rPr>
        <w:t xml:space="preserve"> to ease the burden of credit and fees for customers dealing with the ramifications of the war, the Banking Supervision Department announces an additional assistance outline for customers of the credit card companies. </w:t>
      </w:r>
    </w:p>
    <w:p w:rsidR="009F776D" w:rsidRDefault="009F776D" w:rsidP="00657FCE">
      <w:pPr>
        <w:pStyle w:val="regpar"/>
        <w:ind w:firstLine="0"/>
        <w:rPr>
          <w:sz w:val="26"/>
          <w:szCs w:val="26"/>
        </w:rPr>
      </w:pPr>
    </w:p>
    <w:p w:rsidR="00D1074A" w:rsidRDefault="00D1074A" w:rsidP="009F776D">
      <w:pPr>
        <w:pStyle w:val="regpar"/>
        <w:ind w:firstLine="0"/>
        <w:rPr>
          <w:sz w:val="26"/>
          <w:szCs w:val="26"/>
        </w:rPr>
      </w:pPr>
      <w:r w:rsidRPr="000712EF">
        <w:rPr>
          <w:b/>
          <w:bCs/>
          <w:sz w:val="26"/>
          <w:szCs w:val="26"/>
        </w:rPr>
        <w:t xml:space="preserve">Bank of Israel Governor Prof. Amir </w:t>
      </w:r>
      <w:proofErr w:type="spellStart"/>
      <w:r w:rsidRPr="000712EF">
        <w:rPr>
          <w:b/>
          <w:bCs/>
          <w:sz w:val="26"/>
          <w:szCs w:val="26"/>
        </w:rPr>
        <w:t>Yaron</w:t>
      </w:r>
      <w:proofErr w:type="spellEnd"/>
      <w:r>
        <w:rPr>
          <w:sz w:val="26"/>
          <w:szCs w:val="26"/>
        </w:rPr>
        <w:t xml:space="preserve"> said: “</w:t>
      </w:r>
      <w:r w:rsidR="009F776D">
        <w:rPr>
          <w:sz w:val="26"/>
          <w:szCs w:val="26"/>
        </w:rPr>
        <w:t>The outline being published today is another element in the set of economic tools that the Bank of Israel is advancing in order to ease the cash flow of target population groups, increase financial certainty, and help the public get through this challenging period.  There are many economic issues resulting from the war and its effects, and we have our finger on the pulse and are acting in parallel in all aspects of our responsibility.  I would like to thank the Banking Supervision Department for formulating the outline, and I would like to thank the credit card companies for joining it</w:t>
      </w:r>
      <w:r w:rsidR="000712EF">
        <w:rPr>
          <w:sz w:val="26"/>
          <w:szCs w:val="26"/>
        </w:rPr>
        <w:t>.”</w:t>
      </w:r>
    </w:p>
    <w:p w:rsidR="000712EF" w:rsidRDefault="000712EF" w:rsidP="00657FCE">
      <w:pPr>
        <w:pStyle w:val="regpar"/>
        <w:ind w:firstLine="0"/>
        <w:rPr>
          <w:sz w:val="26"/>
          <w:szCs w:val="26"/>
        </w:rPr>
      </w:pPr>
    </w:p>
    <w:p w:rsidR="000712EF" w:rsidRDefault="000712EF" w:rsidP="009F776D">
      <w:pPr>
        <w:pStyle w:val="regpar"/>
        <w:ind w:firstLine="0"/>
        <w:rPr>
          <w:sz w:val="26"/>
          <w:szCs w:val="26"/>
        </w:rPr>
      </w:pPr>
      <w:r w:rsidRPr="000712EF">
        <w:rPr>
          <w:b/>
          <w:bCs/>
          <w:sz w:val="26"/>
          <w:szCs w:val="26"/>
        </w:rPr>
        <w:t xml:space="preserve">Supervisor of Banks Daniel </w:t>
      </w:r>
      <w:proofErr w:type="spellStart"/>
      <w:r w:rsidRPr="000712EF">
        <w:rPr>
          <w:b/>
          <w:bCs/>
          <w:sz w:val="26"/>
          <w:szCs w:val="26"/>
        </w:rPr>
        <w:t>Hahiashvili</w:t>
      </w:r>
      <w:proofErr w:type="spellEnd"/>
      <w:r>
        <w:rPr>
          <w:sz w:val="26"/>
          <w:szCs w:val="26"/>
        </w:rPr>
        <w:t xml:space="preserve"> said: “</w:t>
      </w:r>
      <w:r w:rsidR="00D618EF">
        <w:rPr>
          <w:sz w:val="26"/>
          <w:szCs w:val="26"/>
        </w:rPr>
        <w:t xml:space="preserve">The </w:t>
      </w:r>
      <w:r w:rsidR="009F776D">
        <w:rPr>
          <w:sz w:val="26"/>
          <w:szCs w:val="26"/>
        </w:rPr>
        <w:t>assistance outline for customers of the credit card companies comes in addition to the assistance outline for bank customers, and is a direct continuation of the many steps we are advancing in order to make it easier for customers during this period, while adapting the assistance measures to the nature of the customers.  I thank the credit card companies for joining the outline, which comes in addition to the various leniencies adopted by the companies at their own initiative since the outbreak of the war</w:t>
      </w:r>
      <w:r w:rsidR="00913E11">
        <w:rPr>
          <w:sz w:val="26"/>
          <w:szCs w:val="26"/>
        </w:rPr>
        <w:t>.</w:t>
      </w:r>
      <w:r w:rsidR="009F776D">
        <w:rPr>
          <w:sz w:val="26"/>
          <w:szCs w:val="26"/>
        </w:rPr>
        <w:t xml:space="preserve">  We are constantly monitoring the data and the enquiries received as part of our constant contact with the public, and we are prepared to formulate additional measures and expand existing ones as necessary.</w:t>
      </w:r>
      <w:r w:rsidR="00913E11">
        <w:rPr>
          <w:sz w:val="26"/>
          <w:szCs w:val="26"/>
        </w:rPr>
        <w:t>”</w:t>
      </w:r>
    </w:p>
    <w:p w:rsidR="00913E11" w:rsidRDefault="00913E11" w:rsidP="00657FCE">
      <w:pPr>
        <w:pStyle w:val="regpar"/>
        <w:ind w:firstLine="0"/>
        <w:rPr>
          <w:sz w:val="26"/>
          <w:szCs w:val="26"/>
        </w:rPr>
      </w:pPr>
    </w:p>
    <w:p w:rsidR="007A0FD3" w:rsidRDefault="009F776D" w:rsidP="002F0E46">
      <w:pPr>
        <w:pStyle w:val="regpar"/>
        <w:ind w:firstLine="0"/>
        <w:rPr>
          <w:sz w:val="26"/>
          <w:szCs w:val="26"/>
        </w:rPr>
      </w:pPr>
      <w:r w:rsidRPr="009F776D">
        <w:rPr>
          <w:sz w:val="26"/>
          <w:szCs w:val="26"/>
        </w:rPr>
        <w:t>The outline</w:t>
      </w:r>
      <w:r>
        <w:rPr>
          <w:sz w:val="26"/>
          <w:szCs w:val="26"/>
        </w:rPr>
        <w:t xml:space="preserve"> enables households and businesses</w:t>
      </w:r>
      <w:r>
        <w:rPr>
          <w:rStyle w:val="a6"/>
        </w:rPr>
        <w:footnoteReference w:id="1"/>
      </w:r>
      <w:r>
        <w:rPr>
          <w:sz w:val="26"/>
          <w:szCs w:val="26"/>
        </w:rPr>
        <w:t xml:space="preserve"> that are located or that operate within a range of 30 km from the Gaza Strip, residents who have been evacuated from their homes by an official state agency in accordance with a list that is updated from time to time, those serving in the IDF reserves and those mobilized through emergency call-ups, and those that are first-degree relatives of those killed, abducted, or missing during the war </w:t>
      </w:r>
      <w:r w:rsidR="007A668F">
        <w:rPr>
          <w:sz w:val="26"/>
          <w:szCs w:val="26"/>
        </w:rPr>
        <w:t xml:space="preserve">(hereinafter – </w:t>
      </w:r>
      <w:r w:rsidR="007A668F">
        <w:rPr>
          <w:b/>
          <w:bCs/>
          <w:sz w:val="26"/>
          <w:szCs w:val="26"/>
        </w:rPr>
        <w:t>group of first-degree customers</w:t>
      </w:r>
      <w:r w:rsidR="007A668F">
        <w:rPr>
          <w:sz w:val="26"/>
          <w:szCs w:val="26"/>
        </w:rPr>
        <w:t>)</w:t>
      </w:r>
      <w:r w:rsidR="009E01EF">
        <w:rPr>
          <w:sz w:val="26"/>
          <w:szCs w:val="26"/>
        </w:rPr>
        <w:t xml:space="preserve"> to defer loan repayments</w:t>
      </w:r>
      <w:r w:rsidR="009E01EF">
        <w:rPr>
          <w:rStyle w:val="a6"/>
        </w:rPr>
        <w:footnoteReference w:id="2"/>
      </w:r>
      <w:r w:rsidR="009E01EF">
        <w:rPr>
          <w:sz w:val="26"/>
          <w:szCs w:val="26"/>
        </w:rPr>
        <w:t xml:space="preserve"> for a </w:t>
      </w:r>
      <w:r w:rsidR="009E01EF">
        <w:rPr>
          <w:sz w:val="26"/>
          <w:szCs w:val="26"/>
        </w:rPr>
        <w:lastRenderedPageBreak/>
        <w:t>period of three months</w:t>
      </w:r>
      <w:r w:rsidR="007A668F">
        <w:rPr>
          <w:sz w:val="26"/>
          <w:szCs w:val="26"/>
        </w:rPr>
        <w:t>.</w:t>
      </w:r>
      <w:r w:rsidR="009D65C5">
        <w:rPr>
          <w:sz w:val="26"/>
          <w:szCs w:val="26"/>
        </w:rPr>
        <w:t xml:space="preserve"> </w:t>
      </w:r>
      <w:r w:rsidR="009E01EF">
        <w:rPr>
          <w:sz w:val="26"/>
          <w:szCs w:val="26"/>
        </w:rPr>
        <w:t xml:space="preserve">  For this group</w:t>
      </w:r>
      <w:r w:rsidR="009D65C5">
        <w:rPr>
          <w:sz w:val="26"/>
          <w:szCs w:val="26"/>
        </w:rPr>
        <w:t>, loan repayments will be de</w:t>
      </w:r>
      <w:r w:rsidR="002F0E46">
        <w:rPr>
          <w:sz w:val="26"/>
          <w:szCs w:val="26"/>
        </w:rPr>
        <w:t>ferre</w:t>
      </w:r>
      <w:r w:rsidR="009D65C5">
        <w:rPr>
          <w:sz w:val="26"/>
          <w:szCs w:val="26"/>
        </w:rPr>
        <w:t xml:space="preserve">d </w:t>
      </w:r>
      <w:r w:rsidR="009D65C5">
        <w:rPr>
          <w:b/>
          <w:bCs/>
          <w:sz w:val="26"/>
          <w:szCs w:val="26"/>
        </w:rPr>
        <w:t>with no interest charges and no fee charges</w:t>
      </w:r>
      <w:r w:rsidR="009D65C5">
        <w:rPr>
          <w:sz w:val="26"/>
          <w:szCs w:val="26"/>
        </w:rPr>
        <w:t xml:space="preserve"> in accordance with the details appearing in the table below.</w:t>
      </w:r>
      <w:r w:rsidR="009E01EF">
        <w:rPr>
          <w:sz w:val="26"/>
          <w:szCs w:val="26"/>
        </w:rPr>
        <w:t xml:space="preserve">  In addition, this group will be exempt from some fees involved in activity vis-a-vis the credit card companies.</w:t>
      </w:r>
      <w:r w:rsidR="009E01EF">
        <w:rPr>
          <w:rStyle w:val="a6"/>
        </w:rPr>
        <w:footnoteReference w:id="3"/>
      </w:r>
    </w:p>
    <w:p w:rsidR="00B8346B" w:rsidRDefault="00B8346B" w:rsidP="00657FCE">
      <w:pPr>
        <w:pStyle w:val="regpar"/>
        <w:ind w:firstLine="0"/>
        <w:rPr>
          <w:sz w:val="26"/>
          <w:szCs w:val="26"/>
        </w:rPr>
      </w:pPr>
    </w:p>
    <w:p w:rsidR="00B8346B" w:rsidRDefault="00B8346B" w:rsidP="009E01EF">
      <w:pPr>
        <w:pStyle w:val="regpar"/>
        <w:ind w:firstLine="0"/>
        <w:rPr>
          <w:sz w:val="26"/>
          <w:szCs w:val="26"/>
        </w:rPr>
      </w:pPr>
      <w:r>
        <w:rPr>
          <w:sz w:val="26"/>
          <w:szCs w:val="26"/>
        </w:rPr>
        <w:t xml:space="preserve">Other bank customers (hereinafter – </w:t>
      </w:r>
      <w:r>
        <w:rPr>
          <w:b/>
          <w:bCs/>
          <w:sz w:val="26"/>
          <w:szCs w:val="26"/>
        </w:rPr>
        <w:t>group of second-degree customers</w:t>
      </w:r>
      <w:r>
        <w:rPr>
          <w:sz w:val="26"/>
          <w:szCs w:val="26"/>
        </w:rPr>
        <w:t xml:space="preserve">), will be given the option of </w:t>
      </w:r>
      <w:r w:rsidR="009E01EF">
        <w:rPr>
          <w:sz w:val="26"/>
          <w:szCs w:val="26"/>
        </w:rPr>
        <w:t>deferring</w:t>
      </w:r>
      <w:r>
        <w:rPr>
          <w:sz w:val="26"/>
          <w:szCs w:val="26"/>
        </w:rPr>
        <w:t xml:space="preserve"> loan repayments</w:t>
      </w:r>
      <w:r>
        <w:rPr>
          <w:rStyle w:val="a6"/>
        </w:rPr>
        <w:footnoteReference w:id="4"/>
      </w:r>
      <w:r w:rsidR="00A70028">
        <w:rPr>
          <w:sz w:val="26"/>
          <w:szCs w:val="26"/>
        </w:rPr>
        <w:t xml:space="preserve"> for three months, with the </w:t>
      </w:r>
      <w:r w:rsidR="009E01EF">
        <w:rPr>
          <w:sz w:val="26"/>
          <w:szCs w:val="26"/>
        </w:rPr>
        <w:t>deferred</w:t>
      </w:r>
      <w:r w:rsidR="00A70028">
        <w:rPr>
          <w:sz w:val="26"/>
          <w:szCs w:val="26"/>
        </w:rPr>
        <w:t xml:space="preserve"> payments bearing interest that shall not exceed the interest rate in the loan contract.  </w:t>
      </w:r>
      <w:r w:rsidR="009E01EF">
        <w:rPr>
          <w:sz w:val="26"/>
          <w:szCs w:val="26"/>
        </w:rPr>
        <w:t>Deferred</w:t>
      </w:r>
      <w:r w:rsidR="00A70028">
        <w:rPr>
          <w:sz w:val="26"/>
          <w:szCs w:val="26"/>
        </w:rPr>
        <w:t xml:space="preserve"> payments will be added to the end of the loan period.  The </w:t>
      </w:r>
      <w:r w:rsidR="009E01EF">
        <w:rPr>
          <w:sz w:val="26"/>
          <w:szCs w:val="26"/>
        </w:rPr>
        <w:t>deferral</w:t>
      </w:r>
      <w:r w:rsidR="00A70028">
        <w:rPr>
          <w:sz w:val="26"/>
          <w:szCs w:val="26"/>
        </w:rPr>
        <w:t xml:space="preserve"> will be made without fee charges.</w:t>
      </w:r>
      <w:r w:rsidR="009E01EF">
        <w:rPr>
          <w:sz w:val="26"/>
          <w:szCs w:val="26"/>
        </w:rPr>
        <w:t xml:space="preserve">  It should be emphasized that because deferr</w:t>
      </w:r>
      <w:r w:rsidR="002F0E46">
        <w:rPr>
          <w:sz w:val="26"/>
          <w:szCs w:val="26"/>
        </w:rPr>
        <w:t>als for these customers involve</w:t>
      </w:r>
      <w:r w:rsidR="009E01EF">
        <w:rPr>
          <w:sz w:val="26"/>
          <w:szCs w:val="26"/>
        </w:rPr>
        <w:t xml:space="preserve"> interest for the deferral period, it is important that before making such a decision, the customer examine the implications of the deferral, including its economic cost (in terms of the interest cost, the amount of the monthly repayment after the deferral, and so forth), in order to make an informed decision.</w:t>
      </w:r>
    </w:p>
    <w:p w:rsidR="00C41A04" w:rsidRDefault="00C41A04" w:rsidP="00657FCE">
      <w:pPr>
        <w:pStyle w:val="regpar"/>
        <w:ind w:firstLine="0"/>
        <w:rPr>
          <w:sz w:val="26"/>
          <w:szCs w:val="26"/>
        </w:rPr>
      </w:pPr>
    </w:p>
    <w:p w:rsidR="00C41A04" w:rsidRDefault="00C41A04" w:rsidP="009E01EF">
      <w:pPr>
        <w:pStyle w:val="regpar"/>
        <w:ind w:firstLine="0"/>
        <w:rPr>
          <w:sz w:val="26"/>
          <w:szCs w:val="26"/>
        </w:rPr>
      </w:pPr>
      <w:r>
        <w:rPr>
          <w:sz w:val="26"/>
          <w:szCs w:val="26"/>
        </w:rPr>
        <w:t xml:space="preserve">To clarify, the outline that has been formulated presents </w:t>
      </w:r>
      <w:r>
        <w:rPr>
          <w:b/>
          <w:bCs/>
          <w:sz w:val="26"/>
          <w:szCs w:val="26"/>
        </w:rPr>
        <w:t>the minimum conditions</w:t>
      </w:r>
      <w:r>
        <w:rPr>
          <w:sz w:val="26"/>
          <w:szCs w:val="26"/>
        </w:rPr>
        <w:t xml:space="preserve"> for </w:t>
      </w:r>
      <w:r w:rsidR="009E01EF">
        <w:rPr>
          <w:sz w:val="26"/>
          <w:szCs w:val="26"/>
        </w:rPr>
        <w:t>deferring</w:t>
      </w:r>
      <w:r>
        <w:rPr>
          <w:sz w:val="26"/>
          <w:szCs w:val="26"/>
        </w:rPr>
        <w:t xml:space="preserve"> loan repayments, and each </w:t>
      </w:r>
      <w:r w:rsidR="009E01EF">
        <w:rPr>
          <w:sz w:val="26"/>
          <w:szCs w:val="26"/>
        </w:rPr>
        <w:t>credit card company</w:t>
      </w:r>
      <w:r>
        <w:rPr>
          <w:sz w:val="26"/>
          <w:szCs w:val="26"/>
        </w:rPr>
        <w:t xml:space="preserve"> is permitted to expand upon it for the good of their customers and at their request.</w:t>
      </w:r>
    </w:p>
    <w:p w:rsidR="0009293C" w:rsidRDefault="0009293C" w:rsidP="009E01EF">
      <w:pPr>
        <w:pStyle w:val="regpar"/>
        <w:ind w:firstLine="0"/>
        <w:rPr>
          <w:sz w:val="26"/>
          <w:szCs w:val="26"/>
        </w:rPr>
      </w:pPr>
    </w:p>
    <w:p w:rsidR="0009293C" w:rsidRDefault="0009293C" w:rsidP="009E01EF">
      <w:pPr>
        <w:pStyle w:val="regpar"/>
        <w:ind w:firstLine="0"/>
        <w:rPr>
          <w:sz w:val="26"/>
          <w:szCs w:val="26"/>
        </w:rPr>
      </w:pPr>
      <w:r>
        <w:rPr>
          <w:sz w:val="26"/>
          <w:szCs w:val="26"/>
        </w:rPr>
        <w:t xml:space="preserve">For more information on the additional measures taken to benefit customers, please see the </w:t>
      </w:r>
      <w:hyperlink r:id="rId9" w:history="1">
        <w:r w:rsidRPr="0009293C">
          <w:rPr>
            <w:rStyle w:val="Hyperlink"/>
            <w:sz w:val="26"/>
            <w:szCs w:val="26"/>
          </w:rPr>
          <w:t>emergency information page</w:t>
        </w:r>
      </w:hyperlink>
      <w:r>
        <w:rPr>
          <w:sz w:val="26"/>
          <w:szCs w:val="26"/>
        </w:rPr>
        <w:t xml:space="preserve"> on the Bank of Israel’s website.</w:t>
      </w:r>
    </w:p>
    <w:p w:rsidR="00C41A04" w:rsidRDefault="00C41A04" w:rsidP="00657FCE">
      <w:pPr>
        <w:pStyle w:val="regpar"/>
        <w:ind w:firstLine="0"/>
        <w:rPr>
          <w:sz w:val="26"/>
          <w:szCs w:val="26"/>
        </w:rPr>
      </w:pPr>
    </w:p>
    <w:p w:rsidR="00C41A04" w:rsidRDefault="00C41A04" w:rsidP="0009293C">
      <w:pPr>
        <w:pStyle w:val="regpar"/>
        <w:ind w:firstLine="0"/>
        <w:rPr>
          <w:sz w:val="26"/>
          <w:szCs w:val="26"/>
        </w:rPr>
      </w:pPr>
      <w:r>
        <w:rPr>
          <w:sz w:val="26"/>
          <w:szCs w:val="26"/>
        </w:rPr>
        <w:t xml:space="preserve">The Banking Supervision Department continues to monitor </w:t>
      </w:r>
      <w:r w:rsidR="0009293C">
        <w:rPr>
          <w:sz w:val="26"/>
          <w:szCs w:val="26"/>
        </w:rPr>
        <w:t xml:space="preserve">events, and calls on the public to contact the banks or credit card companies to obtain assistance on these matters as necessary.  In addition, the public can contact the Banking Supervision </w:t>
      </w:r>
      <w:proofErr w:type="gramStart"/>
      <w:r w:rsidR="0009293C">
        <w:rPr>
          <w:sz w:val="26"/>
          <w:szCs w:val="26"/>
        </w:rPr>
        <w:t xml:space="preserve">Department’s </w:t>
      </w:r>
      <w:r>
        <w:rPr>
          <w:sz w:val="26"/>
          <w:szCs w:val="26"/>
        </w:rPr>
        <w:t xml:space="preserve"> Consumer</w:t>
      </w:r>
      <w:proofErr w:type="gramEnd"/>
      <w:r>
        <w:rPr>
          <w:sz w:val="26"/>
          <w:szCs w:val="26"/>
        </w:rPr>
        <w:t xml:space="preserve"> Enquiries and Inspection Unit at 02-655-2680 or *9086.  </w:t>
      </w:r>
    </w:p>
    <w:p w:rsidR="009C18F4" w:rsidRDefault="009C18F4" w:rsidP="009C18F4">
      <w:pPr>
        <w:pStyle w:val="regpar"/>
        <w:ind w:firstLine="0"/>
        <w:rPr>
          <w:sz w:val="26"/>
          <w:szCs w:val="26"/>
        </w:rPr>
      </w:pPr>
    </w:p>
    <w:p w:rsidR="0009293C" w:rsidRDefault="0009293C">
      <w:pPr>
        <w:spacing w:line="240" w:lineRule="auto"/>
        <w:jc w:val="left"/>
        <w:rPr>
          <w:b/>
          <w:bCs/>
          <w:sz w:val="26"/>
          <w:szCs w:val="26"/>
          <w:u w:val="single"/>
        </w:rPr>
      </w:pPr>
      <w:r>
        <w:rPr>
          <w:b/>
          <w:bCs/>
          <w:sz w:val="26"/>
          <w:szCs w:val="26"/>
          <w:u w:val="single"/>
        </w:rPr>
        <w:br w:type="page"/>
      </w:r>
    </w:p>
    <w:p w:rsidR="009C18F4" w:rsidRDefault="009C18F4" w:rsidP="0009293C">
      <w:pPr>
        <w:pStyle w:val="regpar"/>
        <w:ind w:firstLine="0"/>
        <w:jc w:val="center"/>
        <w:rPr>
          <w:sz w:val="26"/>
          <w:szCs w:val="26"/>
        </w:rPr>
      </w:pPr>
      <w:r>
        <w:rPr>
          <w:b/>
          <w:bCs/>
          <w:sz w:val="26"/>
          <w:szCs w:val="26"/>
          <w:u w:val="single"/>
        </w:rPr>
        <w:lastRenderedPageBreak/>
        <w:t xml:space="preserve">Comprehensive plan adopted by the </w:t>
      </w:r>
      <w:r w:rsidR="0009293C">
        <w:rPr>
          <w:b/>
          <w:bCs/>
          <w:sz w:val="26"/>
          <w:szCs w:val="26"/>
          <w:u w:val="single"/>
        </w:rPr>
        <w:t>credit card companies</w:t>
      </w:r>
      <w:r>
        <w:rPr>
          <w:b/>
          <w:bCs/>
          <w:sz w:val="26"/>
          <w:szCs w:val="26"/>
          <w:u w:val="single"/>
        </w:rPr>
        <w:t xml:space="preserve"> to help customers deal with the ramifications of the “Swords of Iron” war</w:t>
      </w:r>
    </w:p>
    <w:p w:rsidR="009C18F4" w:rsidRDefault="009C18F4" w:rsidP="009C18F4">
      <w:pPr>
        <w:pStyle w:val="regpar"/>
        <w:ind w:firstLine="0"/>
        <w:rPr>
          <w:sz w:val="26"/>
          <w:szCs w:val="26"/>
        </w:rPr>
      </w:pPr>
    </w:p>
    <w:tbl>
      <w:tblPr>
        <w:tblStyle w:val="ac"/>
        <w:tblW w:w="9062" w:type="dxa"/>
        <w:tblLook w:val="04A0" w:firstRow="1" w:lastRow="0" w:firstColumn="1" w:lastColumn="0" w:noHBand="0" w:noVBand="1"/>
      </w:tblPr>
      <w:tblGrid>
        <w:gridCol w:w="1812"/>
        <w:gridCol w:w="1812"/>
        <w:gridCol w:w="1812"/>
        <w:gridCol w:w="1813"/>
        <w:gridCol w:w="1813"/>
      </w:tblGrid>
      <w:tr w:rsidR="009C18F4" w:rsidRPr="009C18F4" w:rsidTr="00C233D4">
        <w:tc>
          <w:tcPr>
            <w:tcW w:w="9062" w:type="dxa"/>
            <w:gridSpan w:val="5"/>
          </w:tcPr>
          <w:p w:rsidR="009C18F4" w:rsidRPr="009C18F4" w:rsidRDefault="009C18F4" w:rsidP="009C18F4">
            <w:pPr>
              <w:pStyle w:val="regpar"/>
              <w:ind w:firstLine="0"/>
              <w:jc w:val="center"/>
              <w:rPr>
                <w:b/>
                <w:bCs/>
                <w:color w:val="CC0000"/>
                <w:sz w:val="20"/>
                <w:szCs w:val="20"/>
              </w:rPr>
            </w:pPr>
            <w:r w:rsidRPr="009C18F4">
              <w:rPr>
                <w:b/>
                <w:bCs/>
                <w:color w:val="CC0000"/>
                <w:sz w:val="20"/>
                <w:szCs w:val="20"/>
              </w:rPr>
              <w:t>First-degree customers</w:t>
            </w:r>
          </w:p>
          <w:p w:rsidR="009C18F4" w:rsidRPr="009C18F4" w:rsidRDefault="009C18F4" w:rsidP="009C18F4">
            <w:pPr>
              <w:pStyle w:val="regpar"/>
              <w:ind w:firstLine="0"/>
              <w:rPr>
                <w:b/>
                <w:bCs/>
                <w:color w:val="17365D" w:themeColor="text2" w:themeShade="BF"/>
                <w:sz w:val="20"/>
                <w:szCs w:val="20"/>
              </w:rPr>
            </w:pPr>
            <w:r w:rsidRPr="009C18F4">
              <w:rPr>
                <w:b/>
                <w:bCs/>
                <w:color w:val="17365D" w:themeColor="text2" w:themeShade="BF"/>
                <w:sz w:val="20"/>
                <w:szCs w:val="20"/>
              </w:rPr>
              <w:t>Group of customers</w:t>
            </w:r>
            <w:r w:rsidR="0009293C">
              <w:rPr>
                <w:b/>
                <w:bCs/>
                <w:color w:val="17365D" w:themeColor="text2" w:themeShade="BF"/>
                <w:sz w:val="20"/>
                <w:szCs w:val="20"/>
              </w:rPr>
              <w:t>*</w:t>
            </w:r>
            <w:r w:rsidRPr="009C18F4">
              <w:rPr>
                <w:b/>
                <w:bCs/>
                <w:color w:val="17365D" w:themeColor="text2" w:themeShade="BF"/>
                <w:sz w:val="20"/>
                <w:szCs w:val="20"/>
              </w:rPr>
              <w:t>:</w:t>
            </w:r>
          </w:p>
          <w:p w:rsidR="009C18F4" w:rsidRPr="005E138C" w:rsidRDefault="005E138C" w:rsidP="009C18F4">
            <w:pPr>
              <w:pStyle w:val="regpar"/>
              <w:numPr>
                <w:ilvl w:val="0"/>
                <w:numId w:val="17"/>
              </w:numPr>
              <w:rPr>
                <w:b/>
                <w:bCs/>
                <w:color w:val="17365D" w:themeColor="text2" w:themeShade="BF"/>
                <w:sz w:val="20"/>
                <w:szCs w:val="20"/>
              </w:rPr>
            </w:pPr>
            <w:r>
              <w:rPr>
                <w:rFonts w:hint="cs"/>
                <w:b/>
                <w:bCs/>
                <w:color w:val="17365D" w:themeColor="text2" w:themeShade="BF"/>
                <w:sz w:val="20"/>
                <w:szCs w:val="20"/>
              </w:rPr>
              <w:t>I</w:t>
            </w:r>
            <w:r>
              <w:rPr>
                <w:b/>
                <w:bCs/>
                <w:color w:val="17365D" w:themeColor="text2" w:themeShade="BF"/>
                <w:sz w:val="20"/>
                <w:szCs w:val="20"/>
              </w:rPr>
              <w:t>ndividuals or businesses</w:t>
            </w:r>
            <w:r w:rsidR="009C18F4" w:rsidRPr="005E138C">
              <w:rPr>
                <w:b/>
                <w:bCs/>
                <w:color w:val="17365D" w:themeColor="text2" w:themeShade="BF"/>
                <w:sz w:val="20"/>
                <w:szCs w:val="20"/>
              </w:rPr>
              <w:t xml:space="preserve"> living</w:t>
            </w:r>
            <w:r>
              <w:rPr>
                <w:b/>
                <w:bCs/>
                <w:color w:val="17365D" w:themeColor="text2" w:themeShade="BF"/>
                <w:sz w:val="20"/>
                <w:szCs w:val="20"/>
              </w:rPr>
              <w:t xml:space="preserve"> or operating</w:t>
            </w:r>
            <w:r w:rsidR="009C18F4" w:rsidRPr="005E138C">
              <w:rPr>
                <w:b/>
                <w:bCs/>
                <w:color w:val="17365D" w:themeColor="text2" w:themeShade="BF"/>
                <w:sz w:val="20"/>
                <w:szCs w:val="20"/>
              </w:rPr>
              <w:t xml:space="preserve"> within a range of up to 30 km from the Gaza Strip</w:t>
            </w:r>
            <w:proofErr w:type="gramStart"/>
            <w:r w:rsidR="009C18F4" w:rsidRPr="005E138C">
              <w:rPr>
                <w:b/>
                <w:bCs/>
                <w:color w:val="17365D" w:themeColor="text2" w:themeShade="BF"/>
                <w:sz w:val="20"/>
                <w:szCs w:val="20"/>
              </w:rPr>
              <w:t>.</w:t>
            </w:r>
            <w:r w:rsidR="0009293C" w:rsidRPr="005E138C">
              <w:rPr>
                <w:b/>
                <w:bCs/>
                <w:color w:val="17365D" w:themeColor="text2" w:themeShade="BF"/>
                <w:sz w:val="20"/>
                <w:szCs w:val="20"/>
              </w:rPr>
              <w:t>*</w:t>
            </w:r>
            <w:proofErr w:type="gramEnd"/>
            <w:r w:rsidR="0009293C" w:rsidRPr="005E138C">
              <w:rPr>
                <w:b/>
                <w:bCs/>
                <w:color w:val="17365D" w:themeColor="text2" w:themeShade="BF"/>
                <w:sz w:val="20"/>
                <w:szCs w:val="20"/>
              </w:rPr>
              <w:t>*</w:t>
            </w:r>
          </w:p>
          <w:p w:rsidR="009C18F4" w:rsidRPr="009C18F4" w:rsidRDefault="009C18F4" w:rsidP="0009293C">
            <w:pPr>
              <w:pStyle w:val="regpar"/>
              <w:numPr>
                <w:ilvl w:val="0"/>
                <w:numId w:val="17"/>
              </w:numPr>
              <w:rPr>
                <w:b/>
                <w:bCs/>
                <w:color w:val="17365D" w:themeColor="text2" w:themeShade="BF"/>
                <w:sz w:val="20"/>
                <w:szCs w:val="20"/>
              </w:rPr>
            </w:pPr>
            <w:r w:rsidRPr="009C18F4">
              <w:rPr>
                <w:b/>
                <w:bCs/>
                <w:color w:val="17365D" w:themeColor="text2" w:themeShade="BF"/>
                <w:sz w:val="20"/>
                <w:szCs w:val="20"/>
              </w:rPr>
              <w:t>Population evacuated from their homes by official agencies, as of the date of the plan’s publication</w:t>
            </w:r>
            <w:proofErr w:type="gramStart"/>
            <w:r w:rsidRPr="009C18F4">
              <w:rPr>
                <w:b/>
                <w:bCs/>
                <w:color w:val="17365D" w:themeColor="text2" w:themeShade="BF"/>
                <w:sz w:val="20"/>
                <w:szCs w:val="20"/>
              </w:rPr>
              <w:t>.*</w:t>
            </w:r>
            <w:proofErr w:type="gramEnd"/>
            <w:r w:rsidR="0009293C">
              <w:rPr>
                <w:b/>
                <w:bCs/>
                <w:color w:val="17365D" w:themeColor="text2" w:themeShade="BF"/>
                <w:sz w:val="20"/>
                <w:szCs w:val="20"/>
              </w:rPr>
              <w:t>*</w:t>
            </w:r>
          </w:p>
          <w:p w:rsidR="009C18F4" w:rsidRPr="009C18F4" w:rsidRDefault="009C18F4" w:rsidP="009C18F4">
            <w:pPr>
              <w:pStyle w:val="regpar"/>
              <w:numPr>
                <w:ilvl w:val="0"/>
                <w:numId w:val="17"/>
              </w:numPr>
              <w:rPr>
                <w:b/>
                <w:bCs/>
                <w:color w:val="17365D" w:themeColor="text2" w:themeShade="BF"/>
                <w:sz w:val="20"/>
                <w:szCs w:val="20"/>
              </w:rPr>
            </w:pPr>
            <w:r w:rsidRPr="009C18F4">
              <w:rPr>
                <w:b/>
                <w:bCs/>
                <w:color w:val="17365D" w:themeColor="text2" w:themeShade="BF"/>
                <w:sz w:val="20"/>
                <w:szCs w:val="20"/>
              </w:rPr>
              <w:t>First degree relatives (spouse, parents, and children) of those killed or abducted during the war or of those missing</w:t>
            </w:r>
            <w:proofErr w:type="gramStart"/>
            <w:r w:rsidRPr="009C18F4">
              <w:rPr>
                <w:b/>
                <w:bCs/>
                <w:color w:val="17365D" w:themeColor="text2" w:themeShade="BF"/>
                <w:sz w:val="20"/>
                <w:szCs w:val="20"/>
              </w:rPr>
              <w:t>.*</w:t>
            </w:r>
            <w:proofErr w:type="gramEnd"/>
            <w:r w:rsidRPr="009C18F4">
              <w:rPr>
                <w:b/>
                <w:bCs/>
                <w:color w:val="17365D" w:themeColor="text2" w:themeShade="BF"/>
                <w:sz w:val="20"/>
                <w:szCs w:val="20"/>
              </w:rPr>
              <w:t>*</w:t>
            </w:r>
            <w:r w:rsidR="0009293C">
              <w:rPr>
                <w:b/>
                <w:bCs/>
                <w:color w:val="17365D" w:themeColor="text2" w:themeShade="BF"/>
                <w:sz w:val="20"/>
                <w:szCs w:val="20"/>
              </w:rPr>
              <w:t>*</w:t>
            </w:r>
          </w:p>
          <w:p w:rsidR="009C18F4" w:rsidRPr="009C18F4" w:rsidRDefault="009C18F4" w:rsidP="009C18F4">
            <w:pPr>
              <w:pStyle w:val="regpar"/>
              <w:numPr>
                <w:ilvl w:val="0"/>
                <w:numId w:val="17"/>
              </w:numPr>
              <w:rPr>
                <w:b/>
                <w:bCs/>
                <w:color w:val="17365D" w:themeColor="text2" w:themeShade="BF"/>
                <w:sz w:val="20"/>
                <w:szCs w:val="20"/>
              </w:rPr>
            </w:pPr>
            <w:r w:rsidRPr="009C18F4">
              <w:rPr>
                <w:b/>
                <w:bCs/>
                <w:color w:val="17365D" w:themeColor="text2" w:themeShade="BF"/>
                <w:sz w:val="20"/>
                <w:szCs w:val="20"/>
              </w:rPr>
              <w:t>Those serving in the reserves and those mobilized through an emergency call-up</w:t>
            </w:r>
            <w:proofErr w:type="gramStart"/>
            <w:r w:rsidRPr="009C18F4">
              <w:rPr>
                <w:b/>
                <w:bCs/>
                <w:color w:val="17365D" w:themeColor="text2" w:themeShade="BF"/>
                <w:sz w:val="20"/>
                <w:szCs w:val="20"/>
              </w:rPr>
              <w:t>.</w:t>
            </w:r>
            <w:r w:rsidR="0009293C">
              <w:rPr>
                <w:b/>
                <w:bCs/>
                <w:color w:val="17365D" w:themeColor="text2" w:themeShade="BF"/>
                <w:sz w:val="20"/>
                <w:szCs w:val="20"/>
              </w:rPr>
              <w:t>*</w:t>
            </w:r>
            <w:proofErr w:type="gramEnd"/>
            <w:r w:rsidR="0009293C">
              <w:rPr>
                <w:b/>
                <w:bCs/>
                <w:color w:val="17365D" w:themeColor="text2" w:themeShade="BF"/>
                <w:sz w:val="20"/>
                <w:szCs w:val="20"/>
              </w:rPr>
              <w:t>**</w:t>
            </w:r>
          </w:p>
          <w:p w:rsidR="009C18F4" w:rsidRDefault="009C18F4" w:rsidP="009C18F4">
            <w:pPr>
              <w:pStyle w:val="regpar"/>
              <w:ind w:firstLine="0"/>
              <w:rPr>
                <w:color w:val="17365D" w:themeColor="text2" w:themeShade="BF"/>
                <w:sz w:val="20"/>
                <w:szCs w:val="20"/>
              </w:rPr>
            </w:pPr>
          </w:p>
          <w:p w:rsidR="009C18F4" w:rsidRDefault="009C18F4" w:rsidP="009C18F4">
            <w:pPr>
              <w:pStyle w:val="regpar"/>
              <w:ind w:firstLine="0"/>
              <w:rPr>
                <w:color w:val="17365D" w:themeColor="text2" w:themeShade="BF"/>
                <w:sz w:val="20"/>
                <w:szCs w:val="20"/>
              </w:rPr>
            </w:pPr>
            <w:r>
              <w:rPr>
                <w:color w:val="17365D" w:themeColor="text2" w:themeShade="BF"/>
                <w:sz w:val="20"/>
                <w:szCs w:val="20"/>
                <w:u w:val="single"/>
              </w:rPr>
              <w:t>How to obtain information on which group you belong to:</w:t>
            </w:r>
          </w:p>
          <w:p w:rsidR="0009293C" w:rsidRDefault="0009293C" w:rsidP="009C18F4">
            <w:pPr>
              <w:pStyle w:val="regpar"/>
              <w:ind w:firstLine="0"/>
              <w:rPr>
                <w:color w:val="17365D" w:themeColor="text2" w:themeShade="BF"/>
                <w:sz w:val="20"/>
                <w:szCs w:val="20"/>
              </w:rPr>
            </w:pPr>
            <w:r>
              <w:rPr>
                <w:color w:val="17365D" w:themeColor="text2" w:themeShade="BF"/>
                <w:sz w:val="20"/>
                <w:szCs w:val="20"/>
              </w:rPr>
              <w:t>* Individuals, and small businesses with an annual settlement turnover with the credit card company of no more than NIS 2 million, who fall within one or more of the stated population groups.</w:t>
            </w:r>
          </w:p>
          <w:p w:rsidR="009C18F4" w:rsidRDefault="00627561" w:rsidP="0009293C">
            <w:pPr>
              <w:pStyle w:val="regpar"/>
              <w:ind w:firstLine="0"/>
              <w:rPr>
                <w:color w:val="17365D" w:themeColor="text2" w:themeShade="BF"/>
                <w:sz w:val="20"/>
                <w:szCs w:val="20"/>
              </w:rPr>
            </w:pPr>
            <w:r>
              <w:rPr>
                <w:color w:val="17365D" w:themeColor="text2" w:themeShade="BF"/>
                <w:sz w:val="20"/>
                <w:szCs w:val="20"/>
              </w:rPr>
              <w:t>*</w:t>
            </w:r>
            <w:r w:rsidR="0009293C">
              <w:rPr>
                <w:color w:val="17365D" w:themeColor="text2" w:themeShade="BF"/>
                <w:sz w:val="20"/>
                <w:szCs w:val="20"/>
              </w:rPr>
              <w:t>*</w:t>
            </w:r>
            <w:r>
              <w:rPr>
                <w:color w:val="17365D" w:themeColor="text2" w:themeShade="BF"/>
                <w:sz w:val="20"/>
                <w:szCs w:val="20"/>
              </w:rPr>
              <w:t xml:space="preserve"> According to the list</w:t>
            </w:r>
            <w:r w:rsidR="0009293C">
              <w:rPr>
                <w:color w:val="17365D" w:themeColor="text2" w:themeShade="BF"/>
                <w:sz w:val="20"/>
                <w:szCs w:val="20"/>
              </w:rPr>
              <w:t xml:space="preserve"> of localities</w:t>
            </w:r>
            <w:r>
              <w:rPr>
                <w:color w:val="17365D" w:themeColor="text2" w:themeShade="BF"/>
                <w:sz w:val="20"/>
                <w:szCs w:val="20"/>
              </w:rPr>
              <w:t xml:space="preserve"> sent </w:t>
            </w:r>
            <w:r w:rsidR="0009293C">
              <w:rPr>
                <w:color w:val="17365D" w:themeColor="text2" w:themeShade="BF"/>
                <w:sz w:val="20"/>
                <w:szCs w:val="20"/>
              </w:rPr>
              <w:t xml:space="preserve">to the credit card companies </w:t>
            </w:r>
            <w:r>
              <w:rPr>
                <w:color w:val="17365D" w:themeColor="text2" w:themeShade="BF"/>
                <w:sz w:val="20"/>
                <w:szCs w:val="20"/>
              </w:rPr>
              <w:t>by authorized entities.</w:t>
            </w:r>
          </w:p>
          <w:p w:rsidR="00627561" w:rsidRPr="009C18F4" w:rsidRDefault="00627561" w:rsidP="0009293C">
            <w:pPr>
              <w:pStyle w:val="regpar"/>
              <w:ind w:firstLine="0"/>
              <w:rPr>
                <w:color w:val="17365D" w:themeColor="text2" w:themeShade="BF"/>
                <w:sz w:val="20"/>
                <w:szCs w:val="20"/>
              </w:rPr>
            </w:pPr>
            <w:r>
              <w:rPr>
                <w:color w:val="17365D" w:themeColor="text2" w:themeShade="BF"/>
                <w:sz w:val="20"/>
                <w:szCs w:val="20"/>
              </w:rPr>
              <w:t>**</w:t>
            </w:r>
            <w:r w:rsidR="0009293C">
              <w:rPr>
                <w:color w:val="17365D" w:themeColor="text2" w:themeShade="BF"/>
                <w:sz w:val="20"/>
                <w:szCs w:val="20"/>
              </w:rPr>
              <w:t>*</w:t>
            </w:r>
            <w:r>
              <w:rPr>
                <w:color w:val="17365D" w:themeColor="text2" w:themeShade="BF"/>
                <w:sz w:val="20"/>
                <w:szCs w:val="20"/>
              </w:rPr>
              <w:t xml:space="preserve"> Based on </w:t>
            </w:r>
            <w:r w:rsidR="0009293C">
              <w:rPr>
                <w:color w:val="17365D" w:themeColor="text2" w:themeShade="BF"/>
                <w:sz w:val="20"/>
                <w:szCs w:val="20"/>
              </w:rPr>
              <w:t>a</w:t>
            </w:r>
            <w:r>
              <w:rPr>
                <w:color w:val="17365D" w:themeColor="text2" w:themeShade="BF"/>
                <w:sz w:val="20"/>
                <w:szCs w:val="20"/>
              </w:rPr>
              <w:t xml:space="preserve"> customer</w:t>
            </w:r>
            <w:r w:rsidR="0009293C">
              <w:rPr>
                <w:color w:val="17365D" w:themeColor="text2" w:themeShade="BF"/>
                <w:sz w:val="20"/>
                <w:szCs w:val="20"/>
              </w:rPr>
              <w:t xml:space="preserve"> declaration or presentation of appropriate documentation, in accordance with the company’s decision.  With regard to small businesses, in accordance with the details published by the company</w:t>
            </w:r>
            <w:r>
              <w:rPr>
                <w:color w:val="17365D" w:themeColor="text2" w:themeShade="BF"/>
                <w:sz w:val="20"/>
                <w:szCs w:val="20"/>
              </w:rPr>
              <w:t>.</w:t>
            </w:r>
          </w:p>
          <w:p w:rsidR="009C18F4" w:rsidRPr="009C18F4" w:rsidRDefault="009C18F4" w:rsidP="009C18F4">
            <w:pPr>
              <w:pStyle w:val="regpar"/>
              <w:rPr>
                <w:sz w:val="20"/>
                <w:szCs w:val="20"/>
              </w:rPr>
            </w:pPr>
          </w:p>
        </w:tc>
      </w:tr>
      <w:tr w:rsidR="009C18F4" w:rsidRPr="009C18F4" w:rsidTr="00C233D4">
        <w:tc>
          <w:tcPr>
            <w:tcW w:w="1812" w:type="dxa"/>
            <w:vMerge w:val="restart"/>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Leniencies in the credit field</w:t>
            </w:r>
            <w:r w:rsidR="0009293C">
              <w:rPr>
                <w:rStyle w:val="a6"/>
                <w:b/>
                <w:bCs/>
                <w:color w:val="17365D" w:themeColor="text2" w:themeShade="BF"/>
              </w:rPr>
              <w:footnoteReference w:id="5"/>
            </w:r>
            <w:r w:rsidRPr="00627561">
              <w:rPr>
                <w:b/>
                <w:bCs/>
                <w:color w:val="17365D" w:themeColor="text2" w:themeShade="BF"/>
                <w:sz w:val="20"/>
                <w:szCs w:val="20"/>
              </w:rPr>
              <w:t>:</w:t>
            </w:r>
          </w:p>
        </w:tc>
        <w:tc>
          <w:tcPr>
            <w:tcW w:w="1812" w:type="dxa"/>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Type of credit</w:t>
            </w:r>
          </w:p>
        </w:tc>
        <w:tc>
          <w:tcPr>
            <w:tcW w:w="1812" w:type="dxa"/>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Payment delay period</w:t>
            </w:r>
          </w:p>
        </w:tc>
        <w:tc>
          <w:tcPr>
            <w:tcW w:w="1813" w:type="dxa"/>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Maximum interest rate</w:t>
            </w:r>
          </w:p>
        </w:tc>
        <w:tc>
          <w:tcPr>
            <w:tcW w:w="1813" w:type="dxa"/>
          </w:tcPr>
          <w:p w:rsidR="009C18F4" w:rsidRPr="00627561" w:rsidRDefault="00627561" w:rsidP="009C18F4">
            <w:pPr>
              <w:pStyle w:val="regpar"/>
              <w:ind w:firstLine="0"/>
              <w:rPr>
                <w:b/>
                <w:bCs/>
                <w:color w:val="17365D" w:themeColor="text2" w:themeShade="BF"/>
                <w:sz w:val="20"/>
                <w:szCs w:val="20"/>
              </w:rPr>
            </w:pPr>
            <w:r w:rsidRPr="00627561">
              <w:rPr>
                <w:b/>
                <w:bCs/>
                <w:color w:val="17365D" w:themeColor="text2" w:themeShade="BF"/>
                <w:sz w:val="20"/>
                <w:szCs w:val="20"/>
              </w:rPr>
              <w:t>How the payments are spread out</w:t>
            </w:r>
          </w:p>
        </w:tc>
      </w:tr>
      <w:tr w:rsidR="0009293C" w:rsidRPr="009C18F4" w:rsidTr="00C233D4">
        <w:tc>
          <w:tcPr>
            <w:tcW w:w="1812" w:type="dxa"/>
            <w:vMerge/>
          </w:tcPr>
          <w:p w:rsidR="0009293C" w:rsidRPr="009C18F4" w:rsidRDefault="0009293C" w:rsidP="00627561">
            <w:pPr>
              <w:pStyle w:val="regpar"/>
              <w:ind w:firstLine="0"/>
              <w:rPr>
                <w:sz w:val="20"/>
                <w:szCs w:val="20"/>
              </w:rPr>
            </w:pPr>
          </w:p>
        </w:tc>
        <w:tc>
          <w:tcPr>
            <w:tcW w:w="1812" w:type="dxa"/>
          </w:tcPr>
          <w:p w:rsidR="0009293C" w:rsidRPr="00627561" w:rsidRDefault="0009293C" w:rsidP="00627561">
            <w:pPr>
              <w:pStyle w:val="regpar"/>
              <w:ind w:firstLine="0"/>
              <w:rPr>
                <w:b/>
                <w:bCs/>
                <w:sz w:val="20"/>
                <w:szCs w:val="20"/>
              </w:rPr>
            </w:pPr>
            <w:r>
              <w:rPr>
                <w:b/>
                <w:bCs/>
                <w:sz w:val="20"/>
                <w:szCs w:val="20"/>
              </w:rPr>
              <w:t>Cumulative consumer credit up to NIS 100,000</w:t>
            </w:r>
          </w:p>
        </w:tc>
        <w:tc>
          <w:tcPr>
            <w:tcW w:w="1812" w:type="dxa"/>
            <w:vMerge w:val="restart"/>
          </w:tcPr>
          <w:p w:rsidR="0009293C" w:rsidRDefault="0009293C" w:rsidP="0009293C">
            <w:pPr>
              <w:pStyle w:val="regpar"/>
              <w:ind w:firstLine="0"/>
              <w:rPr>
                <w:sz w:val="20"/>
                <w:szCs w:val="20"/>
              </w:rPr>
            </w:pPr>
            <w:r>
              <w:rPr>
                <w:sz w:val="20"/>
                <w:szCs w:val="20"/>
              </w:rPr>
              <w:t xml:space="preserve">Three months </w:t>
            </w:r>
          </w:p>
          <w:p w:rsidR="0009293C" w:rsidRPr="009C18F4" w:rsidRDefault="0009293C" w:rsidP="00627561">
            <w:pPr>
              <w:pStyle w:val="regpar"/>
              <w:ind w:firstLine="0"/>
              <w:rPr>
                <w:sz w:val="20"/>
                <w:szCs w:val="20"/>
              </w:rPr>
            </w:pPr>
            <w:r>
              <w:rPr>
                <w:sz w:val="20"/>
                <w:szCs w:val="20"/>
              </w:rPr>
              <w:t>(After this period, a further extension will be considered)</w:t>
            </w:r>
          </w:p>
        </w:tc>
        <w:tc>
          <w:tcPr>
            <w:tcW w:w="1813" w:type="dxa"/>
            <w:vMerge w:val="restart"/>
          </w:tcPr>
          <w:p w:rsidR="0009293C" w:rsidRPr="009C18F4" w:rsidRDefault="0009293C" w:rsidP="00627561">
            <w:pPr>
              <w:pStyle w:val="regpar"/>
              <w:ind w:firstLine="0"/>
              <w:rPr>
                <w:sz w:val="20"/>
                <w:szCs w:val="20"/>
              </w:rPr>
            </w:pPr>
            <w:r>
              <w:rPr>
                <w:sz w:val="20"/>
                <w:szCs w:val="20"/>
              </w:rPr>
              <w:t>No interest cost in respect of the delayed amount</w:t>
            </w:r>
          </w:p>
        </w:tc>
        <w:tc>
          <w:tcPr>
            <w:tcW w:w="1813" w:type="dxa"/>
            <w:vMerge w:val="restart"/>
          </w:tcPr>
          <w:p w:rsidR="0009293C" w:rsidRPr="00627561" w:rsidRDefault="0009293C" w:rsidP="00DA37EB">
            <w:pPr>
              <w:pStyle w:val="regpar"/>
              <w:ind w:left="-72" w:firstLine="0"/>
              <w:rPr>
                <w:sz w:val="20"/>
                <w:szCs w:val="20"/>
              </w:rPr>
            </w:pPr>
            <w:r>
              <w:rPr>
                <w:sz w:val="20"/>
                <w:szCs w:val="20"/>
              </w:rPr>
              <w:t>Adding the payments at the end of the loan period.</w:t>
            </w:r>
            <w:r>
              <w:rPr>
                <w:rStyle w:val="a6"/>
              </w:rPr>
              <w:footnoteReference w:id="6"/>
            </w:r>
          </w:p>
        </w:tc>
      </w:tr>
      <w:tr w:rsidR="0009293C" w:rsidRPr="009C18F4" w:rsidTr="00C233D4">
        <w:tc>
          <w:tcPr>
            <w:tcW w:w="1812" w:type="dxa"/>
            <w:vMerge/>
          </w:tcPr>
          <w:p w:rsidR="0009293C" w:rsidRPr="009C18F4" w:rsidRDefault="0009293C" w:rsidP="009C18F4">
            <w:pPr>
              <w:pStyle w:val="regpar"/>
              <w:ind w:firstLine="0"/>
              <w:rPr>
                <w:sz w:val="20"/>
                <w:szCs w:val="20"/>
              </w:rPr>
            </w:pPr>
          </w:p>
        </w:tc>
        <w:tc>
          <w:tcPr>
            <w:tcW w:w="1812" w:type="dxa"/>
          </w:tcPr>
          <w:p w:rsidR="0009293C" w:rsidRPr="00627561" w:rsidRDefault="0009293C" w:rsidP="0009293C">
            <w:pPr>
              <w:pStyle w:val="regpar"/>
              <w:ind w:firstLine="0"/>
              <w:rPr>
                <w:b/>
                <w:bCs/>
                <w:sz w:val="20"/>
                <w:szCs w:val="20"/>
              </w:rPr>
            </w:pPr>
            <w:r>
              <w:rPr>
                <w:b/>
                <w:bCs/>
                <w:sz w:val="20"/>
                <w:szCs w:val="20"/>
              </w:rPr>
              <w:t>Cumulative business credit</w:t>
            </w:r>
            <w:r>
              <w:rPr>
                <w:rStyle w:val="a6"/>
                <w:b/>
                <w:bCs/>
              </w:rPr>
              <w:footnoteReference w:id="7"/>
            </w:r>
            <w:r>
              <w:rPr>
                <w:b/>
                <w:bCs/>
                <w:sz w:val="20"/>
                <w:szCs w:val="20"/>
              </w:rPr>
              <w:t xml:space="preserve"> up to NIS 300,000</w:t>
            </w:r>
          </w:p>
        </w:tc>
        <w:tc>
          <w:tcPr>
            <w:tcW w:w="1812" w:type="dxa"/>
            <w:vMerge/>
          </w:tcPr>
          <w:p w:rsidR="0009293C" w:rsidRPr="009C18F4" w:rsidRDefault="0009293C" w:rsidP="009C18F4">
            <w:pPr>
              <w:pStyle w:val="regpar"/>
              <w:ind w:firstLine="0"/>
              <w:rPr>
                <w:sz w:val="20"/>
                <w:szCs w:val="20"/>
              </w:rPr>
            </w:pPr>
          </w:p>
        </w:tc>
        <w:tc>
          <w:tcPr>
            <w:tcW w:w="1813" w:type="dxa"/>
            <w:vMerge/>
          </w:tcPr>
          <w:p w:rsidR="0009293C" w:rsidRPr="009C18F4" w:rsidRDefault="0009293C" w:rsidP="009C18F4">
            <w:pPr>
              <w:pStyle w:val="regpar"/>
              <w:ind w:firstLine="0"/>
              <w:rPr>
                <w:sz w:val="20"/>
                <w:szCs w:val="20"/>
              </w:rPr>
            </w:pPr>
          </w:p>
        </w:tc>
        <w:tc>
          <w:tcPr>
            <w:tcW w:w="1813" w:type="dxa"/>
            <w:vMerge/>
          </w:tcPr>
          <w:p w:rsidR="0009293C" w:rsidRPr="009C18F4" w:rsidRDefault="0009293C" w:rsidP="009C18F4">
            <w:pPr>
              <w:pStyle w:val="regpar"/>
              <w:ind w:firstLine="0"/>
              <w:rPr>
                <w:sz w:val="20"/>
                <w:szCs w:val="20"/>
              </w:rPr>
            </w:pPr>
          </w:p>
        </w:tc>
      </w:tr>
      <w:tr w:rsidR="0009293C" w:rsidRPr="009C18F4" w:rsidTr="00C233D4">
        <w:tc>
          <w:tcPr>
            <w:tcW w:w="1812" w:type="dxa"/>
          </w:tcPr>
          <w:p w:rsidR="0009293C" w:rsidRPr="00DA37EB" w:rsidRDefault="0009293C" w:rsidP="009C18F4">
            <w:pPr>
              <w:pStyle w:val="regpar"/>
              <w:ind w:firstLine="0"/>
              <w:rPr>
                <w:b/>
                <w:bCs/>
                <w:color w:val="17365D" w:themeColor="text2" w:themeShade="BF"/>
                <w:sz w:val="20"/>
                <w:szCs w:val="20"/>
              </w:rPr>
            </w:pPr>
            <w:r w:rsidRPr="00DA37EB">
              <w:rPr>
                <w:b/>
                <w:bCs/>
                <w:color w:val="17365D" w:themeColor="text2" w:themeShade="BF"/>
                <w:sz w:val="20"/>
                <w:szCs w:val="20"/>
              </w:rPr>
              <w:t>Leniencies in the area of fees:</w:t>
            </w:r>
            <w:r w:rsidRPr="00DA37EB">
              <w:rPr>
                <w:rStyle w:val="a6"/>
                <w:b/>
                <w:bCs/>
                <w:color w:val="17365D" w:themeColor="text2" w:themeShade="BF"/>
              </w:rPr>
              <w:footnoteReference w:id="8"/>
            </w:r>
          </w:p>
        </w:tc>
        <w:tc>
          <w:tcPr>
            <w:tcW w:w="7250" w:type="dxa"/>
            <w:gridSpan w:val="4"/>
          </w:tcPr>
          <w:p w:rsidR="0009293C" w:rsidRPr="009C18F4" w:rsidRDefault="0009293C" w:rsidP="00C233D4">
            <w:pPr>
              <w:pStyle w:val="regpar"/>
              <w:ind w:firstLine="0"/>
              <w:rPr>
                <w:sz w:val="20"/>
                <w:szCs w:val="20"/>
              </w:rPr>
            </w:pPr>
            <w:r>
              <w:rPr>
                <w:sz w:val="20"/>
                <w:szCs w:val="20"/>
              </w:rPr>
              <w:t>Blanket 3-month exemption from fees in respect of transactions made by first-degree customers, other than transactions involving foreign exchange</w:t>
            </w:r>
            <w:r w:rsidR="00C233D4">
              <w:rPr>
                <w:sz w:val="20"/>
                <w:szCs w:val="20"/>
              </w:rPr>
              <w:t xml:space="preserve"> or</w:t>
            </w:r>
            <w:r>
              <w:rPr>
                <w:sz w:val="20"/>
                <w:szCs w:val="20"/>
              </w:rPr>
              <w:t xml:space="preserve"> foreign trade (as detailed in the footnote).</w:t>
            </w:r>
          </w:p>
        </w:tc>
      </w:tr>
      <w:tr w:rsidR="00C233D4" w:rsidRPr="009C18F4" w:rsidTr="00C233D4">
        <w:tc>
          <w:tcPr>
            <w:tcW w:w="9062" w:type="dxa"/>
            <w:gridSpan w:val="5"/>
          </w:tcPr>
          <w:p w:rsidR="00C233D4" w:rsidRDefault="00C233D4" w:rsidP="00DA37EB">
            <w:pPr>
              <w:pStyle w:val="regpar"/>
              <w:ind w:firstLine="0"/>
              <w:jc w:val="center"/>
              <w:rPr>
                <w:b/>
                <w:bCs/>
                <w:color w:val="CC0000"/>
                <w:sz w:val="20"/>
                <w:szCs w:val="20"/>
              </w:rPr>
            </w:pPr>
            <w:r w:rsidRPr="00531706">
              <w:rPr>
                <w:b/>
                <w:bCs/>
                <w:color w:val="CC0000"/>
                <w:sz w:val="20"/>
                <w:szCs w:val="20"/>
              </w:rPr>
              <w:t>Second-degree customers</w:t>
            </w:r>
          </w:p>
          <w:p w:rsidR="00C233D4" w:rsidRPr="00531706" w:rsidRDefault="00C233D4" w:rsidP="005E138C">
            <w:pPr>
              <w:pStyle w:val="regpar"/>
              <w:ind w:firstLine="0"/>
              <w:jc w:val="center"/>
              <w:rPr>
                <w:b/>
                <w:bCs/>
                <w:color w:val="17365D" w:themeColor="text2" w:themeShade="BF"/>
                <w:sz w:val="20"/>
                <w:szCs w:val="20"/>
              </w:rPr>
            </w:pPr>
            <w:r>
              <w:rPr>
                <w:b/>
                <w:bCs/>
                <w:color w:val="17365D" w:themeColor="text2" w:themeShade="BF"/>
                <w:sz w:val="20"/>
                <w:szCs w:val="20"/>
              </w:rPr>
              <w:t>All other customers</w:t>
            </w:r>
            <w:r w:rsidR="005E138C">
              <w:rPr>
                <w:b/>
                <w:bCs/>
                <w:color w:val="17365D" w:themeColor="text2" w:themeShade="BF"/>
                <w:sz w:val="20"/>
                <w:szCs w:val="20"/>
              </w:rPr>
              <w:t xml:space="preserve"> of the credit card companies</w:t>
            </w:r>
          </w:p>
        </w:tc>
      </w:tr>
      <w:tr w:rsidR="0009293C" w:rsidRPr="009C18F4" w:rsidTr="00C233D4">
        <w:tc>
          <w:tcPr>
            <w:tcW w:w="1812" w:type="dxa"/>
            <w:vMerge w:val="restart"/>
          </w:tcPr>
          <w:p w:rsidR="0009293C" w:rsidRPr="00531706" w:rsidRDefault="0009293C" w:rsidP="009C18F4">
            <w:pPr>
              <w:pStyle w:val="regpar"/>
              <w:ind w:firstLine="0"/>
              <w:rPr>
                <w:b/>
                <w:bCs/>
                <w:color w:val="17365D" w:themeColor="text2" w:themeShade="BF"/>
                <w:sz w:val="20"/>
                <w:szCs w:val="20"/>
              </w:rPr>
            </w:pPr>
            <w:r>
              <w:rPr>
                <w:b/>
                <w:bCs/>
                <w:color w:val="17365D" w:themeColor="text2" w:themeShade="BF"/>
                <w:sz w:val="20"/>
                <w:szCs w:val="20"/>
              </w:rPr>
              <w:t>Leniencies in the credit field:</w:t>
            </w:r>
          </w:p>
        </w:tc>
        <w:tc>
          <w:tcPr>
            <w:tcW w:w="1812" w:type="dxa"/>
          </w:tcPr>
          <w:p w:rsidR="0009293C" w:rsidRPr="00531706" w:rsidRDefault="0009293C" w:rsidP="009C18F4">
            <w:pPr>
              <w:pStyle w:val="regpar"/>
              <w:ind w:firstLine="0"/>
              <w:rPr>
                <w:b/>
                <w:bCs/>
                <w:sz w:val="20"/>
                <w:szCs w:val="20"/>
              </w:rPr>
            </w:pPr>
            <w:r>
              <w:rPr>
                <w:b/>
                <w:bCs/>
                <w:sz w:val="20"/>
                <w:szCs w:val="20"/>
              </w:rPr>
              <w:t>Cumulative consumer credit up to NIS 100,000</w:t>
            </w:r>
          </w:p>
        </w:tc>
        <w:tc>
          <w:tcPr>
            <w:tcW w:w="1812" w:type="dxa"/>
            <w:vMerge w:val="restart"/>
          </w:tcPr>
          <w:p w:rsidR="0009293C" w:rsidRPr="009C18F4" w:rsidRDefault="0009293C" w:rsidP="009C18F4">
            <w:pPr>
              <w:pStyle w:val="regpar"/>
              <w:ind w:firstLine="0"/>
              <w:rPr>
                <w:sz w:val="20"/>
                <w:szCs w:val="20"/>
              </w:rPr>
            </w:pPr>
            <w:r>
              <w:rPr>
                <w:sz w:val="20"/>
                <w:szCs w:val="20"/>
              </w:rPr>
              <w:t xml:space="preserve">Three months (after this period, a further </w:t>
            </w:r>
            <w:r>
              <w:rPr>
                <w:sz w:val="20"/>
                <w:szCs w:val="20"/>
              </w:rPr>
              <w:lastRenderedPageBreak/>
              <w:t>extension will be considered)</w:t>
            </w:r>
          </w:p>
        </w:tc>
        <w:tc>
          <w:tcPr>
            <w:tcW w:w="1813" w:type="dxa"/>
            <w:vMerge w:val="restart"/>
          </w:tcPr>
          <w:p w:rsidR="0009293C" w:rsidRPr="009C18F4" w:rsidRDefault="0009293C" w:rsidP="009C18F4">
            <w:pPr>
              <w:pStyle w:val="regpar"/>
              <w:ind w:firstLine="0"/>
              <w:rPr>
                <w:sz w:val="20"/>
                <w:szCs w:val="20"/>
              </w:rPr>
            </w:pPr>
            <w:r>
              <w:rPr>
                <w:sz w:val="20"/>
                <w:szCs w:val="20"/>
              </w:rPr>
              <w:lastRenderedPageBreak/>
              <w:t>Interest rate in the agreement</w:t>
            </w:r>
            <w:r>
              <w:rPr>
                <w:rStyle w:val="a6"/>
              </w:rPr>
              <w:footnoteReference w:id="9"/>
            </w:r>
          </w:p>
        </w:tc>
        <w:tc>
          <w:tcPr>
            <w:tcW w:w="1813" w:type="dxa"/>
            <w:vMerge w:val="restart"/>
          </w:tcPr>
          <w:p w:rsidR="0009293C" w:rsidRPr="009C18F4" w:rsidRDefault="0009293C" w:rsidP="009C18F4">
            <w:pPr>
              <w:pStyle w:val="regpar"/>
              <w:ind w:firstLine="0"/>
              <w:rPr>
                <w:sz w:val="20"/>
                <w:szCs w:val="20"/>
              </w:rPr>
            </w:pPr>
            <w:r>
              <w:rPr>
                <w:sz w:val="20"/>
                <w:szCs w:val="20"/>
              </w:rPr>
              <w:t>Payments will be added at the end of the loan period</w:t>
            </w:r>
            <w:r>
              <w:rPr>
                <w:rStyle w:val="a6"/>
              </w:rPr>
              <w:footnoteReference w:id="10"/>
            </w:r>
          </w:p>
        </w:tc>
      </w:tr>
      <w:tr w:rsidR="0009293C" w:rsidRPr="009C18F4" w:rsidTr="00C233D4">
        <w:tc>
          <w:tcPr>
            <w:tcW w:w="1812" w:type="dxa"/>
            <w:vMerge/>
          </w:tcPr>
          <w:p w:rsidR="0009293C" w:rsidRPr="009C18F4" w:rsidRDefault="0009293C" w:rsidP="009C18F4">
            <w:pPr>
              <w:pStyle w:val="regpar"/>
              <w:ind w:firstLine="0"/>
              <w:rPr>
                <w:sz w:val="20"/>
                <w:szCs w:val="20"/>
              </w:rPr>
            </w:pPr>
          </w:p>
        </w:tc>
        <w:tc>
          <w:tcPr>
            <w:tcW w:w="1812" w:type="dxa"/>
          </w:tcPr>
          <w:p w:rsidR="0009293C" w:rsidRPr="00531706" w:rsidRDefault="00C233D4" w:rsidP="00C233D4">
            <w:pPr>
              <w:pStyle w:val="regpar"/>
              <w:ind w:firstLine="0"/>
              <w:rPr>
                <w:b/>
                <w:bCs/>
                <w:sz w:val="20"/>
                <w:szCs w:val="20"/>
              </w:rPr>
            </w:pPr>
            <w:r>
              <w:rPr>
                <w:b/>
                <w:bCs/>
                <w:sz w:val="20"/>
                <w:szCs w:val="20"/>
              </w:rPr>
              <w:t>Cumulative b</w:t>
            </w:r>
            <w:r w:rsidR="0009293C">
              <w:rPr>
                <w:b/>
                <w:bCs/>
                <w:sz w:val="20"/>
                <w:szCs w:val="20"/>
              </w:rPr>
              <w:t xml:space="preserve">usiness credit up to NIS </w:t>
            </w:r>
            <w:r>
              <w:rPr>
                <w:b/>
                <w:bCs/>
                <w:sz w:val="20"/>
                <w:szCs w:val="20"/>
              </w:rPr>
              <w:t>300,000</w:t>
            </w:r>
          </w:p>
        </w:tc>
        <w:tc>
          <w:tcPr>
            <w:tcW w:w="1812" w:type="dxa"/>
            <w:vMerge/>
          </w:tcPr>
          <w:p w:rsidR="0009293C" w:rsidRPr="009C18F4" w:rsidRDefault="0009293C" w:rsidP="009C18F4">
            <w:pPr>
              <w:pStyle w:val="regpar"/>
              <w:ind w:firstLine="0"/>
              <w:rPr>
                <w:sz w:val="20"/>
                <w:szCs w:val="20"/>
              </w:rPr>
            </w:pPr>
          </w:p>
        </w:tc>
        <w:tc>
          <w:tcPr>
            <w:tcW w:w="1813" w:type="dxa"/>
            <w:vMerge/>
          </w:tcPr>
          <w:p w:rsidR="0009293C" w:rsidRPr="009C18F4" w:rsidRDefault="0009293C" w:rsidP="009C18F4">
            <w:pPr>
              <w:pStyle w:val="regpar"/>
              <w:ind w:firstLine="0"/>
              <w:rPr>
                <w:sz w:val="20"/>
                <w:szCs w:val="20"/>
              </w:rPr>
            </w:pPr>
          </w:p>
        </w:tc>
        <w:tc>
          <w:tcPr>
            <w:tcW w:w="1813" w:type="dxa"/>
            <w:vMerge/>
          </w:tcPr>
          <w:p w:rsidR="0009293C" w:rsidRPr="009C18F4" w:rsidRDefault="0009293C" w:rsidP="009C18F4">
            <w:pPr>
              <w:pStyle w:val="regpar"/>
              <w:ind w:firstLine="0"/>
              <w:rPr>
                <w:sz w:val="20"/>
                <w:szCs w:val="20"/>
              </w:rPr>
            </w:pPr>
          </w:p>
        </w:tc>
      </w:tr>
      <w:tr w:rsidR="0009293C" w:rsidRPr="009C18F4" w:rsidTr="00C233D4">
        <w:tc>
          <w:tcPr>
            <w:tcW w:w="1812" w:type="dxa"/>
            <w:vMerge/>
          </w:tcPr>
          <w:p w:rsidR="0009293C" w:rsidRPr="009C18F4" w:rsidRDefault="0009293C" w:rsidP="009C18F4">
            <w:pPr>
              <w:pStyle w:val="regpar"/>
              <w:ind w:firstLine="0"/>
              <w:rPr>
                <w:sz w:val="20"/>
                <w:szCs w:val="20"/>
              </w:rPr>
            </w:pPr>
          </w:p>
        </w:tc>
        <w:tc>
          <w:tcPr>
            <w:tcW w:w="1812" w:type="dxa"/>
          </w:tcPr>
          <w:p w:rsidR="0009293C" w:rsidRPr="00531706" w:rsidRDefault="005E138C" w:rsidP="009C18F4">
            <w:pPr>
              <w:pStyle w:val="regpar"/>
              <w:ind w:firstLine="0"/>
              <w:rPr>
                <w:b/>
                <w:bCs/>
                <w:sz w:val="20"/>
                <w:szCs w:val="20"/>
              </w:rPr>
            </w:pPr>
            <w:r>
              <w:rPr>
                <w:b/>
                <w:bCs/>
                <w:sz w:val="20"/>
                <w:szCs w:val="20"/>
              </w:rPr>
              <w:t>Fees</w:t>
            </w:r>
          </w:p>
        </w:tc>
        <w:tc>
          <w:tcPr>
            <w:tcW w:w="5438" w:type="dxa"/>
            <w:gridSpan w:val="3"/>
          </w:tcPr>
          <w:p w:rsidR="0009293C" w:rsidRPr="009C18F4" w:rsidRDefault="0009293C" w:rsidP="009C18F4">
            <w:pPr>
              <w:pStyle w:val="regpar"/>
              <w:ind w:firstLine="0"/>
              <w:rPr>
                <w:sz w:val="20"/>
                <w:szCs w:val="20"/>
              </w:rPr>
            </w:pPr>
            <w:r>
              <w:rPr>
                <w:sz w:val="20"/>
                <w:szCs w:val="20"/>
              </w:rPr>
              <w:t>Payments will be delayed without fee charges.</w:t>
            </w:r>
          </w:p>
        </w:tc>
      </w:tr>
    </w:tbl>
    <w:p w:rsidR="009C18F4" w:rsidRPr="009C18F4" w:rsidRDefault="009C18F4" w:rsidP="009C18F4">
      <w:pPr>
        <w:pStyle w:val="regpar"/>
        <w:ind w:firstLine="0"/>
        <w:rPr>
          <w:sz w:val="26"/>
          <w:szCs w:val="26"/>
        </w:rPr>
      </w:pPr>
    </w:p>
    <w:p w:rsidR="00A70028" w:rsidRDefault="00531706" w:rsidP="00657FCE">
      <w:pPr>
        <w:pStyle w:val="regpar"/>
        <w:ind w:firstLine="0"/>
        <w:rPr>
          <w:sz w:val="20"/>
          <w:szCs w:val="20"/>
        </w:rPr>
      </w:pPr>
      <w:r>
        <w:rPr>
          <w:sz w:val="20"/>
          <w:szCs w:val="20"/>
          <w:u w:val="single"/>
        </w:rPr>
        <w:t>Clarifications:</w:t>
      </w:r>
    </w:p>
    <w:p w:rsidR="00A70028" w:rsidRPr="00531706" w:rsidRDefault="00531706" w:rsidP="00C233D4">
      <w:pPr>
        <w:pStyle w:val="regpar"/>
        <w:numPr>
          <w:ilvl w:val="0"/>
          <w:numId w:val="18"/>
        </w:numPr>
        <w:rPr>
          <w:sz w:val="26"/>
          <w:szCs w:val="26"/>
        </w:rPr>
      </w:pPr>
      <w:r>
        <w:rPr>
          <w:sz w:val="20"/>
          <w:szCs w:val="20"/>
        </w:rPr>
        <w:t xml:space="preserve">This outline will take effect no later than October 31, 2023, in order for each </w:t>
      </w:r>
      <w:r w:rsidR="00C233D4">
        <w:rPr>
          <w:sz w:val="20"/>
          <w:szCs w:val="20"/>
        </w:rPr>
        <w:t>credit card company</w:t>
      </w:r>
      <w:r>
        <w:rPr>
          <w:sz w:val="20"/>
          <w:szCs w:val="20"/>
        </w:rPr>
        <w:t xml:space="preserve"> to prepare properly, and will last for the period allocated in the outline from the date it actually takes effect.</w:t>
      </w:r>
      <w:r w:rsidR="00C233D4">
        <w:rPr>
          <w:sz w:val="20"/>
          <w:szCs w:val="20"/>
        </w:rPr>
        <w:t xml:space="preserve"> Insofar as the implementation of the outline requires an enquiry from the customer, requests submitted by December 31, 2023 will be accepted.  If necessary, an extension of these dates will be considered.</w:t>
      </w:r>
    </w:p>
    <w:p w:rsidR="00531706" w:rsidRPr="00531706" w:rsidRDefault="00531706" w:rsidP="00C233D4">
      <w:pPr>
        <w:pStyle w:val="regpar"/>
        <w:numPr>
          <w:ilvl w:val="0"/>
          <w:numId w:val="18"/>
        </w:numPr>
        <w:rPr>
          <w:sz w:val="26"/>
          <w:szCs w:val="26"/>
        </w:rPr>
      </w:pPr>
      <w:r>
        <w:rPr>
          <w:sz w:val="20"/>
          <w:szCs w:val="20"/>
        </w:rPr>
        <w:t xml:space="preserve">In order to delay payments, the customer must contact the </w:t>
      </w:r>
      <w:r w:rsidR="00C233D4">
        <w:rPr>
          <w:sz w:val="20"/>
          <w:szCs w:val="20"/>
        </w:rPr>
        <w:t>credit card company</w:t>
      </w:r>
      <w:r>
        <w:rPr>
          <w:sz w:val="20"/>
          <w:szCs w:val="20"/>
        </w:rPr>
        <w:t xml:space="preserve"> and submit a request in t</w:t>
      </w:r>
      <w:r w:rsidR="00C233D4">
        <w:rPr>
          <w:sz w:val="20"/>
          <w:szCs w:val="20"/>
        </w:rPr>
        <w:t>he manner determined by the company</w:t>
      </w:r>
      <w:r>
        <w:rPr>
          <w:sz w:val="20"/>
          <w:szCs w:val="20"/>
        </w:rPr>
        <w:t>.</w:t>
      </w:r>
      <w:r w:rsidR="00C233D4">
        <w:rPr>
          <w:sz w:val="20"/>
          <w:szCs w:val="20"/>
        </w:rPr>
        <w:t xml:space="preserve">  With regard to fees, insofar as it is possible to make a customer-initiated enquiry unnecessary, this should be prioritized.</w:t>
      </w:r>
    </w:p>
    <w:p w:rsidR="00531706" w:rsidRPr="00AB1933" w:rsidRDefault="00531706" w:rsidP="00AB1933">
      <w:pPr>
        <w:pStyle w:val="regpar"/>
        <w:numPr>
          <w:ilvl w:val="0"/>
          <w:numId w:val="18"/>
        </w:numPr>
        <w:rPr>
          <w:sz w:val="26"/>
          <w:szCs w:val="26"/>
        </w:rPr>
      </w:pPr>
      <w:r>
        <w:rPr>
          <w:sz w:val="20"/>
          <w:szCs w:val="20"/>
        </w:rPr>
        <w:t>This outline does not apply to borrowers in the midst of legal proceedings</w:t>
      </w:r>
      <w:r w:rsidR="00AB1933">
        <w:rPr>
          <w:sz w:val="20"/>
          <w:szCs w:val="20"/>
        </w:rPr>
        <w:t xml:space="preserve"> or</w:t>
      </w:r>
      <w:r>
        <w:rPr>
          <w:sz w:val="20"/>
          <w:szCs w:val="20"/>
        </w:rPr>
        <w:t xml:space="preserve"> </w:t>
      </w:r>
      <w:r w:rsidR="00AB1933">
        <w:rPr>
          <w:sz w:val="20"/>
          <w:szCs w:val="20"/>
        </w:rPr>
        <w:t>b</w:t>
      </w:r>
      <w:r>
        <w:rPr>
          <w:sz w:val="20"/>
          <w:szCs w:val="20"/>
        </w:rPr>
        <w:t xml:space="preserve">orrowers in arrears </w:t>
      </w:r>
      <w:r w:rsidR="00AB1933">
        <w:rPr>
          <w:sz w:val="20"/>
          <w:szCs w:val="20"/>
        </w:rPr>
        <w:t>for a period of more than 2 months.</w:t>
      </w:r>
    </w:p>
    <w:p w:rsidR="00AB1933" w:rsidRPr="00531706" w:rsidRDefault="00AB1933" w:rsidP="00AB1933">
      <w:pPr>
        <w:pStyle w:val="regpar"/>
        <w:numPr>
          <w:ilvl w:val="0"/>
          <w:numId w:val="18"/>
        </w:numPr>
        <w:rPr>
          <w:sz w:val="26"/>
          <w:szCs w:val="26"/>
        </w:rPr>
      </w:pPr>
      <w:r>
        <w:rPr>
          <w:sz w:val="20"/>
          <w:szCs w:val="20"/>
        </w:rPr>
        <w:t>The company may announce a freeze in all or part of the outline, except for customers regarding which the outline has been implemented at the time of the announcement.  The company shall update its customers of such an announcement accordingly.</w:t>
      </w:r>
    </w:p>
    <w:p w:rsidR="000364C3" w:rsidRPr="00B8346B" w:rsidRDefault="000364C3" w:rsidP="00531706">
      <w:pPr>
        <w:pStyle w:val="regpar"/>
        <w:numPr>
          <w:ilvl w:val="0"/>
          <w:numId w:val="18"/>
        </w:numPr>
        <w:rPr>
          <w:sz w:val="26"/>
          <w:szCs w:val="26"/>
        </w:rPr>
      </w:pPr>
      <w:r>
        <w:rPr>
          <w:sz w:val="20"/>
          <w:szCs w:val="20"/>
        </w:rPr>
        <w:t>This outline presents the minimum conditions, and each bank is permitted to expand upon it to benefit its customers and at their request.</w:t>
      </w:r>
    </w:p>
    <w:sectPr w:rsidR="000364C3" w:rsidRPr="00B8346B" w:rsidSect="004F5A85">
      <w:headerReference w:type="even" r:id="rId10"/>
      <w:headerReference w:type="default" r:id="rId11"/>
      <w:footerReference w:type="even" r:id="rId12"/>
      <w:footerReference w:type="default" r:id="rId13"/>
      <w:headerReference w:type="first" r:id="rId14"/>
      <w:footerReference w:type="first" r:id="rId15"/>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81" w:rsidRDefault="00FE5381">
      <w:pPr>
        <w:spacing w:line="240" w:lineRule="auto"/>
      </w:pPr>
      <w:r>
        <w:separator/>
      </w:r>
    </w:p>
  </w:endnote>
  <w:endnote w:type="continuationSeparator" w:id="0">
    <w:p w:rsidR="00FE5381" w:rsidRDefault="00FE5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26" w:rsidRDefault="005D5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26" w:rsidRDefault="005D522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26" w:rsidRDefault="005D52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81" w:rsidRDefault="00FE5381">
      <w:pPr>
        <w:spacing w:line="160" w:lineRule="exact"/>
      </w:pPr>
    </w:p>
  </w:footnote>
  <w:footnote w:type="continuationSeparator" w:id="0">
    <w:p w:rsidR="00FE5381" w:rsidRDefault="00FE5381">
      <w:pPr>
        <w:pStyle w:val="rule"/>
      </w:pPr>
      <w:r>
        <w:t>–––––––––––––––––––––––––––</w:t>
      </w:r>
    </w:p>
    <w:p w:rsidR="00FE5381" w:rsidRDefault="00FE5381">
      <w:pPr>
        <w:pStyle w:val="noteseparator"/>
      </w:pPr>
    </w:p>
  </w:footnote>
  <w:footnote w:id="1">
    <w:p w:rsidR="009F776D" w:rsidRDefault="009F776D">
      <w:pPr>
        <w:pStyle w:val="a7"/>
      </w:pPr>
      <w:r>
        <w:rPr>
          <w:rStyle w:val="a6"/>
        </w:rPr>
        <w:footnoteRef/>
      </w:r>
      <w:r>
        <w:t xml:space="preserve"> </w:t>
      </w:r>
      <w:r w:rsidR="009E01EF">
        <w:t>Individuals, and small businesses with an annual settlement turnover at the credit card company of no more than NIS 2 million.</w:t>
      </w:r>
    </w:p>
  </w:footnote>
  <w:footnote w:id="2">
    <w:p w:rsidR="009E01EF" w:rsidRDefault="009E01EF" w:rsidP="009E01EF">
      <w:pPr>
        <w:pStyle w:val="a7"/>
      </w:pPr>
      <w:r>
        <w:rPr>
          <w:rStyle w:val="a6"/>
        </w:rPr>
        <w:footnoteRef/>
      </w:r>
      <w:r>
        <w:t xml:space="preserve"> Cumulative consumer credit balance of up to NIS 100,000; cumulative business credit balance of up to NIS 300,000.</w:t>
      </w:r>
    </w:p>
  </w:footnote>
  <w:footnote w:id="3">
    <w:p w:rsidR="009E01EF" w:rsidRDefault="009E01EF">
      <w:pPr>
        <w:pStyle w:val="a7"/>
      </w:pPr>
      <w:r>
        <w:rPr>
          <w:rStyle w:val="a6"/>
        </w:rPr>
        <w:footnoteRef/>
      </w:r>
      <w:r>
        <w:t xml:space="preserve"> For more information, see the table.</w:t>
      </w:r>
    </w:p>
  </w:footnote>
  <w:footnote w:id="4">
    <w:p w:rsidR="00B8346B" w:rsidRDefault="00B8346B" w:rsidP="0009293C">
      <w:pPr>
        <w:pStyle w:val="a7"/>
      </w:pPr>
      <w:r>
        <w:rPr>
          <w:rStyle w:val="a6"/>
        </w:rPr>
        <w:footnoteRef/>
      </w:r>
      <w:r w:rsidR="00C41A04">
        <w:t xml:space="preserve"> C</w:t>
      </w:r>
      <w:r w:rsidR="0009293C">
        <w:t>umulative c</w:t>
      </w:r>
      <w:r w:rsidR="00C41A04">
        <w:t xml:space="preserve">onsumer credit up to NIS 100,000.  </w:t>
      </w:r>
      <w:r w:rsidR="0009293C">
        <w:t>Cumulative business credit up to NIS 300,000</w:t>
      </w:r>
      <w:r w:rsidR="00C41A04">
        <w:t>.</w:t>
      </w:r>
    </w:p>
  </w:footnote>
  <w:footnote w:id="5">
    <w:p w:rsidR="0009293C" w:rsidRDefault="0009293C">
      <w:pPr>
        <w:pStyle w:val="a7"/>
      </w:pPr>
      <w:r>
        <w:rPr>
          <w:rStyle w:val="a6"/>
        </w:rPr>
        <w:footnoteRef/>
      </w:r>
      <w:r>
        <w:t xml:space="preserve"> Referring to interest-bearing loans.</w:t>
      </w:r>
    </w:p>
  </w:footnote>
  <w:footnote w:id="6">
    <w:p w:rsidR="0009293C" w:rsidRDefault="0009293C" w:rsidP="00C233D4">
      <w:pPr>
        <w:pStyle w:val="a7"/>
      </w:pPr>
      <w:r>
        <w:rPr>
          <w:rStyle w:val="a6"/>
        </w:rPr>
        <w:footnoteRef/>
      </w:r>
      <w:r>
        <w:t xml:space="preserve"> </w:t>
      </w:r>
      <w:r w:rsidR="00C233D4">
        <w:t>The loan repayments will be spread out subject to the technical limitations derived from how this outline is implemented.</w:t>
      </w:r>
    </w:p>
  </w:footnote>
  <w:footnote w:id="7">
    <w:p w:rsidR="0009293C" w:rsidRDefault="0009293C" w:rsidP="00C233D4">
      <w:pPr>
        <w:pStyle w:val="a7"/>
      </w:pPr>
      <w:r>
        <w:rPr>
          <w:rStyle w:val="a6"/>
        </w:rPr>
        <w:footnoteRef/>
      </w:r>
      <w:r>
        <w:t xml:space="preserve"> </w:t>
      </w:r>
      <w:r w:rsidR="00C233D4">
        <w:t>Excluding loans in commercial cooperation with a third party</w:t>
      </w:r>
      <w:r>
        <w:t>.</w:t>
      </w:r>
    </w:p>
  </w:footnote>
  <w:footnote w:id="8">
    <w:p w:rsidR="0009293C" w:rsidRDefault="0009293C" w:rsidP="00C233D4">
      <w:pPr>
        <w:pStyle w:val="a7"/>
      </w:pPr>
      <w:r>
        <w:rPr>
          <w:rStyle w:val="a6"/>
        </w:rPr>
        <w:footnoteRef/>
      </w:r>
      <w:r>
        <w:t xml:space="preserve"> The fees that appear in the following sections</w:t>
      </w:r>
      <w:r w:rsidR="00C233D4">
        <w:t xml:space="preserve"> of</w:t>
      </w:r>
      <w:r>
        <w:t xml:space="preserve"> the Banking (Service to the Customer)(Fees) Rules, 5768-2008:</w:t>
      </w:r>
    </w:p>
    <w:p w:rsidR="0009293C" w:rsidRDefault="0009293C">
      <w:pPr>
        <w:pStyle w:val="a7"/>
      </w:pPr>
      <w:r>
        <w:t>Section 2 – Information, notices, and warnings (in its entirety)</w:t>
      </w:r>
    </w:p>
    <w:p w:rsidR="0009293C" w:rsidRDefault="0009293C">
      <w:pPr>
        <w:pStyle w:val="a7"/>
      </w:pPr>
      <w:r>
        <w:t>Section 3 – Credit (in its entirety)</w:t>
      </w:r>
    </w:p>
    <w:p w:rsidR="0009293C" w:rsidRDefault="0009293C" w:rsidP="00C233D4">
      <w:pPr>
        <w:pStyle w:val="a7"/>
      </w:pPr>
      <w:r>
        <w:t>Section 6 – Credit cards (in its entirety, excluding fees</w:t>
      </w:r>
      <w:r w:rsidR="00C233D4">
        <w:t xml:space="preserve"> </w:t>
      </w:r>
      <w:r>
        <w:t xml:space="preserve">– (7) foreign exchange transactions, (8) foreign exchange withdrawals abroad, (9) foreign exchange purchases from </w:t>
      </w:r>
      <w:r w:rsidR="00C233D4">
        <w:t>a money changer</w:t>
      </w:r>
      <w:r>
        <w:t>)</w:t>
      </w:r>
      <w:r w:rsidR="00C233D4">
        <w:t>.  Exemption from credit card fees may be given from December 2023 (in respect of charges from November), provided that the benefit is given for an actual 3-month period.</w:t>
      </w:r>
    </w:p>
  </w:footnote>
  <w:footnote w:id="9">
    <w:p w:rsidR="0009293C" w:rsidRDefault="0009293C">
      <w:pPr>
        <w:pStyle w:val="a7"/>
      </w:pPr>
      <w:r>
        <w:rPr>
          <w:rStyle w:val="a6"/>
        </w:rPr>
        <w:footnoteRef/>
      </w:r>
      <w:r>
        <w:t xml:space="preserve"> Delaying payments involves interest for the period of the delay.  Therefore, before making a decision to delay payments, it is important to examine the implications of the delay, including the economic price of the delay (in terms of the interest cost, the monthly payment following the delay, and so forth), in order to make an informed decision.</w:t>
      </w:r>
    </w:p>
  </w:footnote>
  <w:footnote w:id="10">
    <w:p w:rsidR="0009293C" w:rsidRDefault="0009293C" w:rsidP="00C233D4">
      <w:pPr>
        <w:pStyle w:val="a7"/>
      </w:pPr>
      <w:r>
        <w:rPr>
          <w:rStyle w:val="a6"/>
        </w:rPr>
        <w:footnoteRef/>
      </w:r>
      <w:r>
        <w:t xml:space="preserve"> The loan repayments will be spread out subject to the technical limitations derived from </w:t>
      </w:r>
      <w:r w:rsidR="00C233D4">
        <w:t>how the outline is implemented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26" w:rsidRDefault="005D52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26" w:rsidRDefault="005D52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2AC6625"/>
    <w:multiLevelType w:val="hybridMultilevel"/>
    <w:tmpl w:val="FDFC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2D0F5322"/>
    <w:multiLevelType w:val="hybridMultilevel"/>
    <w:tmpl w:val="1990F5AE"/>
    <w:lvl w:ilvl="0" w:tplc="2F02D0EA">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06E36"/>
    <w:multiLevelType w:val="hybridMultilevel"/>
    <w:tmpl w:val="6AFA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F363E"/>
    <w:multiLevelType w:val="hybridMultilevel"/>
    <w:tmpl w:val="45B6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4"/>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16"/>
  </w:num>
  <w:num w:numId="11">
    <w:abstractNumId w:val="10"/>
  </w:num>
  <w:num w:numId="12">
    <w:abstractNumId w:val="8"/>
  </w:num>
  <w:num w:numId="13">
    <w:abstractNumId w:val="2"/>
  </w:num>
  <w:num w:numId="14">
    <w:abstractNumId w:val="11"/>
  </w:num>
  <w:num w:numId="15">
    <w:abstractNumId w:val="12"/>
  </w:num>
  <w:num w:numId="16">
    <w:abstractNumId w:val="9"/>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364C3"/>
    <w:rsid w:val="0004575D"/>
    <w:rsid w:val="000466C2"/>
    <w:rsid w:val="000502D1"/>
    <w:rsid w:val="00052610"/>
    <w:rsid w:val="000614E5"/>
    <w:rsid w:val="00066C5D"/>
    <w:rsid w:val="00067EAC"/>
    <w:rsid w:val="000712EF"/>
    <w:rsid w:val="0007485B"/>
    <w:rsid w:val="00074B11"/>
    <w:rsid w:val="00076856"/>
    <w:rsid w:val="00077915"/>
    <w:rsid w:val="00085E93"/>
    <w:rsid w:val="0009048D"/>
    <w:rsid w:val="0009293C"/>
    <w:rsid w:val="00093619"/>
    <w:rsid w:val="00093A61"/>
    <w:rsid w:val="00094FFA"/>
    <w:rsid w:val="000A0AE8"/>
    <w:rsid w:val="000B2451"/>
    <w:rsid w:val="000B5143"/>
    <w:rsid w:val="000C1242"/>
    <w:rsid w:val="000D3201"/>
    <w:rsid w:val="000D3F79"/>
    <w:rsid w:val="000E08B9"/>
    <w:rsid w:val="000E2EB0"/>
    <w:rsid w:val="000E5726"/>
    <w:rsid w:val="000F3304"/>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40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318E"/>
    <w:rsid w:val="001E6D0C"/>
    <w:rsid w:val="001F1AAC"/>
    <w:rsid w:val="001F28E6"/>
    <w:rsid w:val="001F51F4"/>
    <w:rsid w:val="00203B3D"/>
    <w:rsid w:val="00210F11"/>
    <w:rsid w:val="00212EBE"/>
    <w:rsid w:val="00236391"/>
    <w:rsid w:val="00243044"/>
    <w:rsid w:val="00246FA7"/>
    <w:rsid w:val="00250C32"/>
    <w:rsid w:val="0025222B"/>
    <w:rsid w:val="002563B0"/>
    <w:rsid w:val="00263AC9"/>
    <w:rsid w:val="00265702"/>
    <w:rsid w:val="00275B82"/>
    <w:rsid w:val="00276225"/>
    <w:rsid w:val="002803D5"/>
    <w:rsid w:val="00283C91"/>
    <w:rsid w:val="002848EA"/>
    <w:rsid w:val="002878D8"/>
    <w:rsid w:val="00295684"/>
    <w:rsid w:val="002A325D"/>
    <w:rsid w:val="002A5EE7"/>
    <w:rsid w:val="002B6143"/>
    <w:rsid w:val="002C31A2"/>
    <w:rsid w:val="002D0B04"/>
    <w:rsid w:val="002D460E"/>
    <w:rsid w:val="002D6616"/>
    <w:rsid w:val="002D6644"/>
    <w:rsid w:val="002E2978"/>
    <w:rsid w:val="002E5259"/>
    <w:rsid w:val="002E77B6"/>
    <w:rsid w:val="002F02D1"/>
    <w:rsid w:val="002F0E46"/>
    <w:rsid w:val="002F761B"/>
    <w:rsid w:val="003006D9"/>
    <w:rsid w:val="00302325"/>
    <w:rsid w:val="003121C6"/>
    <w:rsid w:val="0031394B"/>
    <w:rsid w:val="003140DF"/>
    <w:rsid w:val="0031619B"/>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2087"/>
    <w:rsid w:val="00372CB6"/>
    <w:rsid w:val="00376023"/>
    <w:rsid w:val="00376976"/>
    <w:rsid w:val="003814C4"/>
    <w:rsid w:val="0038232A"/>
    <w:rsid w:val="003938F8"/>
    <w:rsid w:val="00395D70"/>
    <w:rsid w:val="003A1107"/>
    <w:rsid w:val="003A3B39"/>
    <w:rsid w:val="003B0942"/>
    <w:rsid w:val="003B0FC0"/>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3A3E"/>
    <w:rsid w:val="0042406A"/>
    <w:rsid w:val="00425894"/>
    <w:rsid w:val="004266FD"/>
    <w:rsid w:val="004307F0"/>
    <w:rsid w:val="004356C6"/>
    <w:rsid w:val="004361EA"/>
    <w:rsid w:val="00437FD7"/>
    <w:rsid w:val="00441DC9"/>
    <w:rsid w:val="004421CE"/>
    <w:rsid w:val="00452814"/>
    <w:rsid w:val="00454C06"/>
    <w:rsid w:val="00457687"/>
    <w:rsid w:val="004576AA"/>
    <w:rsid w:val="00461050"/>
    <w:rsid w:val="004655E8"/>
    <w:rsid w:val="00466D1C"/>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020C"/>
    <w:rsid w:val="00531706"/>
    <w:rsid w:val="005317F2"/>
    <w:rsid w:val="00531AD1"/>
    <w:rsid w:val="00535B9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4744"/>
    <w:rsid w:val="005C5CA6"/>
    <w:rsid w:val="005C635F"/>
    <w:rsid w:val="005C76FF"/>
    <w:rsid w:val="005D01EF"/>
    <w:rsid w:val="005D175A"/>
    <w:rsid w:val="005D225E"/>
    <w:rsid w:val="005D5226"/>
    <w:rsid w:val="005E138C"/>
    <w:rsid w:val="005E1AD6"/>
    <w:rsid w:val="005E23D5"/>
    <w:rsid w:val="006031D8"/>
    <w:rsid w:val="0061268B"/>
    <w:rsid w:val="00612A07"/>
    <w:rsid w:val="00613B3E"/>
    <w:rsid w:val="00617A39"/>
    <w:rsid w:val="00621D95"/>
    <w:rsid w:val="00621DB2"/>
    <w:rsid w:val="00624732"/>
    <w:rsid w:val="00627561"/>
    <w:rsid w:val="00632487"/>
    <w:rsid w:val="0063248B"/>
    <w:rsid w:val="00632812"/>
    <w:rsid w:val="00634A22"/>
    <w:rsid w:val="00636566"/>
    <w:rsid w:val="00641FBE"/>
    <w:rsid w:val="00644EC6"/>
    <w:rsid w:val="0064598C"/>
    <w:rsid w:val="00650B9A"/>
    <w:rsid w:val="00653813"/>
    <w:rsid w:val="006540CC"/>
    <w:rsid w:val="0065491B"/>
    <w:rsid w:val="00655D2E"/>
    <w:rsid w:val="00657FCE"/>
    <w:rsid w:val="00660075"/>
    <w:rsid w:val="00663562"/>
    <w:rsid w:val="006711B9"/>
    <w:rsid w:val="0067253E"/>
    <w:rsid w:val="0067456C"/>
    <w:rsid w:val="00677C0C"/>
    <w:rsid w:val="00681BC1"/>
    <w:rsid w:val="00683C36"/>
    <w:rsid w:val="00684279"/>
    <w:rsid w:val="006918C1"/>
    <w:rsid w:val="006931DE"/>
    <w:rsid w:val="00694066"/>
    <w:rsid w:val="00696506"/>
    <w:rsid w:val="006A1F13"/>
    <w:rsid w:val="006A29C7"/>
    <w:rsid w:val="006A2E45"/>
    <w:rsid w:val="006A36A4"/>
    <w:rsid w:val="006A51F8"/>
    <w:rsid w:val="006B03B7"/>
    <w:rsid w:val="006B39E9"/>
    <w:rsid w:val="006C17E0"/>
    <w:rsid w:val="006D10C5"/>
    <w:rsid w:val="006D738F"/>
    <w:rsid w:val="006E30C1"/>
    <w:rsid w:val="006E33B5"/>
    <w:rsid w:val="006E35F9"/>
    <w:rsid w:val="006E4E37"/>
    <w:rsid w:val="006F331D"/>
    <w:rsid w:val="007012E2"/>
    <w:rsid w:val="00701620"/>
    <w:rsid w:val="00706A01"/>
    <w:rsid w:val="0070772C"/>
    <w:rsid w:val="0071317E"/>
    <w:rsid w:val="00730C23"/>
    <w:rsid w:val="00730F15"/>
    <w:rsid w:val="007342CE"/>
    <w:rsid w:val="00740582"/>
    <w:rsid w:val="007414E1"/>
    <w:rsid w:val="00741B11"/>
    <w:rsid w:val="0074580C"/>
    <w:rsid w:val="00760F71"/>
    <w:rsid w:val="007617BD"/>
    <w:rsid w:val="00762A7B"/>
    <w:rsid w:val="00770D80"/>
    <w:rsid w:val="00772339"/>
    <w:rsid w:val="0078710E"/>
    <w:rsid w:val="00787F4C"/>
    <w:rsid w:val="007917B0"/>
    <w:rsid w:val="007A0FD3"/>
    <w:rsid w:val="007A1A5F"/>
    <w:rsid w:val="007A34C9"/>
    <w:rsid w:val="007A668F"/>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2BBE"/>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8F6009"/>
    <w:rsid w:val="009055ED"/>
    <w:rsid w:val="00907867"/>
    <w:rsid w:val="00912CE3"/>
    <w:rsid w:val="00913E11"/>
    <w:rsid w:val="00920DA1"/>
    <w:rsid w:val="009249B9"/>
    <w:rsid w:val="009269B2"/>
    <w:rsid w:val="00930D0F"/>
    <w:rsid w:val="00931EAA"/>
    <w:rsid w:val="00932779"/>
    <w:rsid w:val="009345ED"/>
    <w:rsid w:val="00934ED3"/>
    <w:rsid w:val="00940505"/>
    <w:rsid w:val="00941183"/>
    <w:rsid w:val="00943EFE"/>
    <w:rsid w:val="00946CAD"/>
    <w:rsid w:val="00970925"/>
    <w:rsid w:val="00987141"/>
    <w:rsid w:val="00991A2A"/>
    <w:rsid w:val="009937AE"/>
    <w:rsid w:val="009A2328"/>
    <w:rsid w:val="009A2A0F"/>
    <w:rsid w:val="009A374A"/>
    <w:rsid w:val="009B01E1"/>
    <w:rsid w:val="009B5ABC"/>
    <w:rsid w:val="009C18F4"/>
    <w:rsid w:val="009C2CE3"/>
    <w:rsid w:val="009D5B6B"/>
    <w:rsid w:val="009D65C5"/>
    <w:rsid w:val="009D6B3B"/>
    <w:rsid w:val="009D71A3"/>
    <w:rsid w:val="009E01EF"/>
    <w:rsid w:val="009E5610"/>
    <w:rsid w:val="009F3027"/>
    <w:rsid w:val="009F5C01"/>
    <w:rsid w:val="009F776D"/>
    <w:rsid w:val="00A06CAC"/>
    <w:rsid w:val="00A10C60"/>
    <w:rsid w:val="00A176D5"/>
    <w:rsid w:val="00A2357F"/>
    <w:rsid w:val="00A2557F"/>
    <w:rsid w:val="00A27711"/>
    <w:rsid w:val="00A30E4A"/>
    <w:rsid w:val="00A339CF"/>
    <w:rsid w:val="00A362B4"/>
    <w:rsid w:val="00A41ECF"/>
    <w:rsid w:val="00A433AC"/>
    <w:rsid w:val="00A43D36"/>
    <w:rsid w:val="00A546B7"/>
    <w:rsid w:val="00A60E0E"/>
    <w:rsid w:val="00A61B62"/>
    <w:rsid w:val="00A70028"/>
    <w:rsid w:val="00A72CBB"/>
    <w:rsid w:val="00A738CA"/>
    <w:rsid w:val="00A85159"/>
    <w:rsid w:val="00A87E8E"/>
    <w:rsid w:val="00A91D66"/>
    <w:rsid w:val="00AA125A"/>
    <w:rsid w:val="00AA4754"/>
    <w:rsid w:val="00AA4992"/>
    <w:rsid w:val="00AA4ED8"/>
    <w:rsid w:val="00AA561C"/>
    <w:rsid w:val="00AA71D5"/>
    <w:rsid w:val="00AB0EB8"/>
    <w:rsid w:val="00AB1933"/>
    <w:rsid w:val="00AB478D"/>
    <w:rsid w:val="00AC5B03"/>
    <w:rsid w:val="00AC5D5C"/>
    <w:rsid w:val="00AD75E7"/>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8346B"/>
    <w:rsid w:val="00B9723D"/>
    <w:rsid w:val="00BA3A63"/>
    <w:rsid w:val="00BA589A"/>
    <w:rsid w:val="00BA78B9"/>
    <w:rsid w:val="00BC46DE"/>
    <w:rsid w:val="00BC6BBA"/>
    <w:rsid w:val="00BD570C"/>
    <w:rsid w:val="00BE50DA"/>
    <w:rsid w:val="00BF0276"/>
    <w:rsid w:val="00BF2313"/>
    <w:rsid w:val="00BF78A3"/>
    <w:rsid w:val="00C00CE9"/>
    <w:rsid w:val="00C042B1"/>
    <w:rsid w:val="00C178D0"/>
    <w:rsid w:val="00C2256F"/>
    <w:rsid w:val="00C233D4"/>
    <w:rsid w:val="00C23F8F"/>
    <w:rsid w:val="00C24EB5"/>
    <w:rsid w:val="00C25A28"/>
    <w:rsid w:val="00C26787"/>
    <w:rsid w:val="00C3065F"/>
    <w:rsid w:val="00C313E7"/>
    <w:rsid w:val="00C34862"/>
    <w:rsid w:val="00C34F28"/>
    <w:rsid w:val="00C3506B"/>
    <w:rsid w:val="00C36FE1"/>
    <w:rsid w:val="00C4047D"/>
    <w:rsid w:val="00C40F50"/>
    <w:rsid w:val="00C41A04"/>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D732C"/>
    <w:rsid w:val="00CE1CDD"/>
    <w:rsid w:val="00CE46B4"/>
    <w:rsid w:val="00CE65D4"/>
    <w:rsid w:val="00CE7A79"/>
    <w:rsid w:val="00CF4492"/>
    <w:rsid w:val="00D00CF7"/>
    <w:rsid w:val="00D038A8"/>
    <w:rsid w:val="00D0407A"/>
    <w:rsid w:val="00D043CC"/>
    <w:rsid w:val="00D1074A"/>
    <w:rsid w:val="00D14E29"/>
    <w:rsid w:val="00D25B51"/>
    <w:rsid w:val="00D33F84"/>
    <w:rsid w:val="00D3751C"/>
    <w:rsid w:val="00D424D1"/>
    <w:rsid w:val="00D44CFE"/>
    <w:rsid w:val="00D463F8"/>
    <w:rsid w:val="00D54F0D"/>
    <w:rsid w:val="00D56394"/>
    <w:rsid w:val="00D56CA9"/>
    <w:rsid w:val="00D56FEA"/>
    <w:rsid w:val="00D61443"/>
    <w:rsid w:val="00D618EF"/>
    <w:rsid w:val="00D621C1"/>
    <w:rsid w:val="00D63D31"/>
    <w:rsid w:val="00D6747A"/>
    <w:rsid w:val="00D74C1E"/>
    <w:rsid w:val="00D776C6"/>
    <w:rsid w:val="00D77FC6"/>
    <w:rsid w:val="00D85592"/>
    <w:rsid w:val="00D866ED"/>
    <w:rsid w:val="00D907F6"/>
    <w:rsid w:val="00D93E87"/>
    <w:rsid w:val="00D94C50"/>
    <w:rsid w:val="00DA37EB"/>
    <w:rsid w:val="00DA4139"/>
    <w:rsid w:val="00DA5C83"/>
    <w:rsid w:val="00DA6F1C"/>
    <w:rsid w:val="00DC192C"/>
    <w:rsid w:val="00DD0AB5"/>
    <w:rsid w:val="00DD1273"/>
    <w:rsid w:val="00DD20B4"/>
    <w:rsid w:val="00DD51C1"/>
    <w:rsid w:val="00DE121E"/>
    <w:rsid w:val="00DE76BB"/>
    <w:rsid w:val="00E03DAD"/>
    <w:rsid w:val="00E042D4"/>
    <w:rsid w:val="00E1087D"/>
    <w:rsid w:val="00E305A3"/>
    <w:rsid w:val="00E3258A"/>
    <w:rsid w:val="00E33F37"/>
    <w:rsid w:val="00E3624F"/>
    <w:rsid w:val="00E37EA3"/>
    <w:rsid w:val="00E40792"/>
    <w:rsid w:val="00E448BF"/>
    <w:rsid w:val="00E50A6B"/>
    <w:rsid w:val="00E52DD0"/>
    <w:rsid w:val="00E6497E"/>
    <w:rsid w:val="00E65CA7"/>
    <w:rsid w:val="00E67A70"/>
    <w:rsid w:val="00E701BC"/>
    <w:rsid w:val="00E74B20"/>
    <w:rsid w:val="00E878FC"/>
    <w:rsid w:val="00E9221F"/>
    <w:rsid w:val="00E927A6"/>
    <w:rsid w:val="00E97518"/>
    <w:rsid w:val="00EA1D70"/>
    <w:rsid w:val="00EA2EEA"/>
    <w:rsid w:val="00EA2FB0"/>
    <w:rsid w:val="00EA3CE9"/>
    <w:rsid w:val="00EA3FD3"/>
    <w:rsid w:val="00EB1022"/>
    <w:rsid w:val="00EB2AB7"/>
    <w:rsid w:val="00EC6A3B"/>
    <w:rsid w:val="00ED1987"/>
    <w:rsid w:val="00ED1A90"/>
    <w:rsid w:val="00ED576F"/>
    <w:rsid w:val="00ED6F4E"/>
    <w:rsid w:val="00EE100A"/>
    <w:rsid w:val="00EE4F43"/>
    <w:rsid w:val="00EF5815"/>
    <w:rsid w:val="00F020EC"/>
    <w:rsid w:val="00F02E51"/>
    <w:rsid w:val="00F0557B"/>
    <w:rsid w:val="00F14FC5"/>
    <w:rsid w:val="00F17BE5"/>
    <w:rsid w:val="00F217C5"/>
    <w:rsid w:val="00F23C43"/>
    <w:rsid w:val="00F2605B"/>
    <w:rsid w:val="00F26C5D"/>
    <w:rsid w:val="00F32332"/>
    <w:rsid w:val="00F35D37"/>
    <w:rsid w:val="00F407DD"/>
    <w:rsid w:val="00F41E74"/>
    <w:rsid w:val="00F433E4"/>
    <w:rsid w:val="00F454A2"/>
    <w:rsid w:val="00F51981"/>
    <w:rsid w:val="00F5404C"/>
    <w:rsid w:val="00F56652"/>
    <w:rsid w:val="00F573B0"/>
    <w:rsid w:val="00F6266E"/>
    <w:rsid w:val="00F65090"/>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E5381"/>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8D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i.org.il/en/bank-of-israel/the-bank-of-israel-s-activities-during-the-swords-of-iron-war-information-and-notices-to-the-public/"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5188-F780-4095-82D7-16B2A252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6599</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2023-10-26T08:14:00Z</dcterms:created>
  <dcterms:modified xsi:type="dcterms:W3CDTF">2023-10-26T08:14:00Z</dcterms:modified>
</cp:coreProperties>
</file>