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357886" w:rsidRPr="00C85243" w:rsidTr="0075244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86" w:rsidRPr="00C85243" w:rsidRDefault="00357886" w:rsidP="00357886">
            <w:pPr>
              <w:spacing w:line="480" w:lineRule="auto"/>
              <w:ind w:left="97"/>
              <w:jc w:val="center"/>
              <w:rPr>
                <w:rFonts w:ascii="David" w:hAnsi="David"/>
                <w:b/>
                <w:bCs/>
              </w:rPr>
            </w:pPr>
            <w:r w:rsidRPr="00C85243">
              <w:rPr>
                <w:rFonts w:ascii="David" w:hAnsi="David"/>
                <w:b/>
                <w:bCs/>
                <w:sz w:val="28"/>
                <w:szCs w:val="28"/>
                <w:rtl/>
              </w:rPr>
              <w:t>בנק ישראל</w:t>
            </w:r>
          </w:p>
          <w:p w:rsidR="00357886" w:rsidRPr="00C85243" w:rsidRDefault="00357886" w:rsidP="00357886">
            <w:pPr>
              <w:spacing w:line="480" w:lineRule="auto"/>
              <w:ind w:left="97" w:right="-101"/>
              <w:jc w:val="center"/>
              <w:rPr>
                <w:rFonts w:ascii="David" w:hAnsi="David"/>
              </w:rPr>
            </w:pPr>
            <w:r w:rsidRPr="00C85243">
              <w:rPr>
                <w:rFonts w:ascii="David" w:hAnsi="David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7886" w:rsidRPr="00C85243" w:rsidRDefault="00357886" w:rsidP="00357886">
            <w:pPr>
              <w:jc w:val="center"/>
              <w:rPr>
                <w:rFonts w:ascii="David" w:hAnsi="David"/>
              </w:rPr>
            </w:pPr>
            <w:r w:rsidRPr="00C85243">
              <w:rPr>
                <w:rFonts w:ascii="David" w:hAnsi="David"/>
                <w:noProof/>
              </w:rPr>
              <w:drawing>
                <wp:inline distT="0" distB="0" distL="0" distR="0" wp14:anchorId="08AE5E42" wp14:editId="2462BB82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86" w:rsidRPr="00C85243" w:rsidRDefault="00357886" w:rsidP="00357886">
            <w:pPr>
              <w:spacing w:line="480" w:lineRule="auto"/>
              <w:jc w:val="right"/>
              <w:rPr>
                <w:rFonts w:ascii="David" w:hAnsi="David"/>
              </w:rPr>
            </w:pPr>
            <w:r w:rsidRPr="00C85243">
              <w:rPr>
                <w:rFonts w:ascii="David" w:hAnsi="David"/>
                <w:rtl/>
              </w:rPr>
              <w:t>‏ירושלים, י' בשבט, תשפ"ג</w:t>
            </w:r>
          </w:p>
          <w:p w:rsidR="00357886" w:rsidRPr="00C85243" w:rsidRDefault="00357886" w:rsidP="00357886">
            <w:pPr>
              <w:spacing w:line="480" w:lineRule="auto"/>
              <w:jc w:val="right"/>
              <w:rPr>
                <w:rFonts w:ascii="David" w:hAnsi="David"/>
              </w:rPr>
            </w:pPr>
            <w:r w:rsidRPr="00C85243">
              <w:rPr>
                <w:rFonts w:ascii="David" w:hAnsi="David"/>
                <w:rtl/>
              </w:rPr>
              <w:t>1 בפברואר 2023</w:t>
            </w:r>
          </w:p>
        </w:tc>
      </w:tr>
    </w:tbl>
    <w:p w:rsidR="00357886" w:rsidRPr="00C85243" w:rsidRDefault="00357886" w:rsidP="00357886">
      <w:pPr>
        <w:rPr>
          <w:rFonts w:ascii="David" w:hAnsi="David"/>
          <w:b/>
          <w:bCs/>
          <w:sz w:val="28"/>
          <w:szCs w:val="28"/>
          <w:rtl/>
        </w:rPr>
      </w:pPr>
    </w:p>
    <w:p w:rsidR="00357886" w:rsidRPr="00C85243" w:rsidRDefault="00357886" w:rsidP="00357886">
      <w:pPr>
        <w:rPr>
          <w:rFonts w:ascii="David" w:hAnsi="David"/>
          <w:color w:val="000000" w:themeColor="text1"/>
          <w:rtl/>
        </w:rPr>
      </w:pPr>
      <w:r w:rsidRPr="00C85243">
        <w:rPr>
          <w:rFonts w:ascii="David" w:hAnsi="David"/>
          <w:color w:val="000000" w:themeColor="text1"/>
          <w:rtl/>
        </w:rPr>
        <w:t>הודעה לעיתונות:</w:t>
      </w:r>
    </w:p>
    <w:p w:rsidR="00236DFB" w:rsidRPr="00C85243" w:rsidRDefault="00236DFB" w:rsidP="00236DFB">
      <w:pPr>
        <w:jc w:val="center"/>
        <w:rPr>
          <w:rFonts w:ascii="David" w:hAnsi="David"/>
          <w:b/>
          <w:bCs/>
          <w:sz w:val="22"/>
          <w:szCs w:val="22"/>
          <w:u w:val="single"/>
          <w:rtl/>
        </w:rPr>
      </w:pPr>
    </w:p>
    <w:p w:rsidR="00236DFB" w:rsidRPr="00C85243" w:rsidRDefault="00236DFB" w:rsidP="00236DFB">
      <w:pPr>
        <w:spacing w:after="240"/>
        <w:jc w:val="center"/>
        <w:rPr>
          <w:rFonts w:ascii="David" w:hAnsi="David"/>
          <w:b/>
          <w:bCs/>
          <w:sz w:val="28"/>
          <w:szCs w:val="28"/>
        </w:rPr>
      </w:pPr>
      <w:r w:rsidRPr="00C85243">
        <w:rPr>
          <w:rFonts w:ascii="David" w:hAnsi="David"/>
          <w:b/>
          <w:bCs/>
          <w:sz w:val="28"/>
          <w:szCs w:val="28"/>
          <w:rtl/>
        </w:rPr>
        <w:t>החלטת ועדת העיצומים לתאגידים בנקאיים בעניין הפרת הוראות מכוח חוק איסור הלבנת הון על ידי בנק לאומי לישראל בע"מ</w:t>
      </w:r>
      <w:r w:rsidR="00F13AEB" w:rsidRPr="00C85243">
        <w:rPr>
          <w:rFonts w:ascii="David" w:hAnsi="David"/>
          <w:b/>
          <w:bCs/>
          <w:sz w:val="28"/>
          <w:szCs w:val="28"/>
          <w:rtl/>
        </w:rPr>
        <w:t xml:space="preserve"> – הטלת עיצום כספי בסך 1.88 מיליוני ש"ח</w:t>
      </w:r>
    </w:p>
    <w:p w:rsidR="00A574BA" w:rsidRPr="00C85243" w:rsidRDefault="00A574BA" w:rsidP="00A574BA">
      <w:pPr>
        <w:rPr>
          <w:rFonts w:ascii="David" w:hAnsi="David"/>
          <w:color w:val="000000"/>
          <w:rtl/>
        </w:rPr>
      </w:pPr>
      <w:r w:rsidRPr="00C85243">
        <w:rPr>
          <w:rFonts w:ascii="David" w:hAnsi="David"/>
          <w:color w:val="000000"/>
          <w:rtl/>
        </w:rPr>
        <w:t>ועדת העיצומים לתאגידים בנקאיים (</w:t>
      </w:r>
      <w:r w:rsidRPr="00C85243">
        <w:rPr>
          <w:rFonts w:ascii="David" w:hAnsi="David"/>
          <w:rtl/>
        </w:rPr>
        <w:t>להלן - "הוועדה")</w:t>
      </w:r>
      <w:r w:rsidRPr="00C85243">
        <w:rPr>
          <w:rFonts w:ascii="David" w:hAnsi="David"/>
          <w:color w:val="000000"/>
          <w:rtl/>
        </w:rPr>
        <w:t xml:space="preserve">, הינה ועדה שהוקמה מכוח חוק </w:t>
      </w:r>
      <w:r w:rsidRPr="00C85243">
        <w:rPr>
          <w:rFonts w:ascii="David" w:hAnsi="David"/>
          <w:rtl/>
        </w:rPr>
        <w:t>איסור הלבנת הון, התש"ס-2000 (להלן - "החוק")</w:t>
      </w:r>
      <w:r w:rsidRPr="00C85243">
        <w:rPr>
          <w:rFonts w:ascii="David" w:hAnsi="David"/>
          <w:color w:val="000000"/>
          <w:rtl/>
        </w:rPr>
        <w:t xml:space="preserve">, ושבסמכותה, כחלק מאמצעי האכיפה בכל הנוגע לאיסור הלבנת הון, להטיל עיצומים כספיים, על תאגידים בנקאיים (עד לגובה של כ-2.26 מיליוני ש"ח להפרה), בגין הפרות של החוק, צווים ותקנות שהוצאו מכוחו. </w:t>
      </w:r>
    </w:p>
    <w:p w:rsidR="00A574BA" w:rsidRPr="00C85243" w:rsidRDefault="00CE1C53" w:rsidP="00CE1C53">
      <w:pPr>
        <w:spacing w:before="240"/>
        <w:rPr>
          <w:rFonts w:ascii="David" w:hAnsi="David"/>
        </w:rPr>
      </w:pPr>
      <w:r w:rsidRPr="00C85243">
        <w:rPr>
          <w:rFonts w:ascii="David" w:hAnsi="David"/>
          <w:color w:val="000000"/>
          <w:rtl/>
        </w:rPr>
        <w:t xml:space="preserve">בראש </w:t>
      </w:r>
      <w:r w:rsidR="00A574BA" w:rsidRPr="00C85243">
        <w:rPr>
          <w:rFonts w:ascii="David" w:hAnsi="David"/>
          <w:color w:val="000000"/>
          <w:rtl/>
        </w:rPr>
        <w:t xml:space="preserve">הוועדה </w:t>
      </w:r>
      <w:r w:rsidRPr="00C85243">
        <w:rPr>
          <w:rFonts w:ascii="David" w:hAnsi="David"/>
          <w:color w:val="000000"/>
          <w:rtl/>
        </w:rPr>
        <w:t>יושב</w:t>
      </w:r>
      <w:r w:rsidR="00A574BA" w:rsidRPr="00C85243">
        <w:rPr>
          <w:rFonts w:ascii="David" w:hAnsi="David"/>
          <w:color w:val="000000"/>
          <w:rtl/>
        </w:rPr>
        <w:t xml:space="preserve"> המפקח על הבנקים, מר יאיר אבידן, וחבר</w:t>
      </w:r>
      <w:r w:rsidRPr="00C85243">
        <w:rPr>
          <w:rFonts w:ascii="David" w:hAnsi="David"/>
          <w:color w:val="000000"/>
          <w:rtl/>
        </w:rPr>
        <w:t>ות</w:t>
      </w:r>
      <w:r w:rsidR="00A574BA" w:rsidRPr="00C85243">
        <w:rPr>
          <w:rFonts w:ascii="David" w:hAnsi="David"/>
          <w:color w:val="000000"/>
          <w:rtl/>
        </w:rPr>
        <w:t xml:space="preserve"> בה </w:t>
      </w:r>
      <w:proofErr w:type="spellStart"/>
      <w:r w:rsidR="00A574BA" w:rsidRPr="00C85243">
        <w:rPr>
          <w:rFonts w:ascii="David" w:hAnsi="David"/>
          <w:color w:val="000000"/>
          <w:rtl/>
        </w:rPr>
        <w:t>ראשת</w:t>
      </w:r>
      <w:proofErr w:type="spellEnd"/>
      <w:r w:rsidR="00A574BA" w:rsidRPr="00C85243">
        <w:rPr>
          <w:rFonts w:ascii="David" w:hAnsi="David"/>
          <w:color w:val="000000"/>
          <w:rtl/>
        </w:rPr>
        <w:t xml:space="preserve"> הרשות לאיסור הלבנת הון ומימון טרור, עו"ד </w:t>
      </w:r>
      <w:r w:rsidR="00A574BA" w:rsidRPr="00C85243">
        <w:rPr>
          <w:rFonts w:ascii="David" w:hAnsi="David"/>
          <w:rtl/>
        </w:rPr>
        <w:t xml:space="preserve">עילית </w:t>
      </w:r>
      <w:proofErr w:type="spellStart"/>
      <w:r w:rsidR="00A574BA" w:rsidRPr="00C85243">
        <w:rPr>
          <w:rFonts w:ascii="David" w:hAnsi="David"/>
          <w:rtl/>
        </w:rPr>
        <w:t>אוסטרוביץ</w:t>
      </w:r>
      <w:proofErr w:type="spellEnd"/>
      <w:r w:rsidR="00A574BA" w:rsidRPr="00C85243">
        <w:rPr>
          <w:rFonts w:ascii="David" w:hAnsi="David"/>
          <w:rtl/>
        </w:rPr>
        <w:t xml:space="preserve"> לוי ו</w:t>
      </w:r>
      <w:r w:rsidRPr="00C85243">
        <w:rPr>
          <w:rFonts w:ascii="David" w:hAnsi="David"/>
          <w:rtl/>
        </w:rPr>
        <w:t xml:space="preserve">מנהלת מדור ציות בפיקוח על הבנקים, </w:t>
      </w:r>
      <w:r w:rsidR="00A574BA" w:rsidRPr="00C85243">
        <w:rPr>
          <w:rFonts w:ascii="David" w:hAnsi="David"/>
          <w:rtl/>
        </w:rPr>
        <w:t>גב' אושרית לין.</w:t>
      </w:r>
    </w:p>
    <w:p w:rsidR="00F664DE" w:rsidRPr="00C85243" w:rsidRDefault="00A574BA" w:rsidP="00B539A6">
      <w:pPr>
        <w:spacing w:before="240" w:after="240"/>
        <w:rPr>
          <w:rFonts w:ascii="David" w:hAnsi="David"/>
          <w:b/>
          <w:bCs/>
          <w:rtl/>
        </w:rPr>
      </w:pPr>
      <w:r w:rsidRPr="00C85243">
        <w:rPr>
          <w:rFonts w:ascii="David" w:hAnsi="David"/>
          <w:b/>
          <w:bCs/>
          <w:rtl/>
        </w:rPr>
        <w:t>הוועדה</w:t>
      </w:r>
      <w:r w:rsidR="00F664DE" w:rsidRPr="00C85243">
        <w:rPr>
          <w:rFonts w:ascii="David" w:hAnsi="David"/>
          <w:b/>
          <w:bCs/>
          <w:rtl/>
        </w:rPr>
        <w:t xml:space="preserve"> החליטה להטיל עיצום כספי בסך 1.88 מיליוני ש"ח על בנק לאומי לישראל בע"מ (להלן - "הבנק"), </w:t>
      </w:r>
      <w:r w:rsidR="0067097C">
        <w:rPr>
          <w:rFonts w:ascii="David" w:hAnsi="David" w:hint="cs"/>
          <w:b/>
          <w:bCs/>
          <w:rtl/>
        </w:rPr>
        <w:t>בקשר לפעילות הבנק במסגרת הדיגיטלית "</w:t>
      </w:r>
      <w:proofErr w:type="spellStart"/>
      <w:r w:rsidR="0067097C">
        <w:rPr>
          <w:rFonts w:ascii="David" w:hAnsi="David" w:hint="cs"/>
          <w:b/>
          <w:bCs/>
          <w:rtl/>
        </w:rPr>
        <w:t>פפר</w:t>
      </w:r>
      <w:proofErr w:type="spellEnd"/>
      <w:r w:rsidR="0067097C">
        <w:rPr>
          <w:rFonts w:ascii="David" w:hAnsi="David" w:hint="cs"/>
          <w:b/>
          <w:bCs/>
          <w:rtl/>
        </w:rPr>
        <w:t xml:space="preserve">", בגין </w:t>
      </w:r>
      <w:r w:rsidRPr="00C85243">
        <w:rPr>
          <w:rFonts w:ascii="David" w:hAnsi="David"/>
          <w:b/>
          <w:bCs/>
          <w:rtl/>
        </w:rPr>
        <w:t>שתי</w:t>
      </w:r>
      <w:r w:rsidR="00F664DE" w:rsidRPr="00C85243">
        <w:rPr>
          <w:rFonts w:ascii="David" w:hAnsi="David"/>
          <w:b/>
          <w:bCs/>
          <w:rtl/>
        </w:rPr>
        <w:t xml:space="preserve"> הפרות של הוראות מכוח </w:t>
      </w:r>
      <w:r w:rsidRPr="00C85243">
        <w:rPr>
          <w:rFonts w:ascii="David" w:hAnsi="David"/>
          <w:b/>
          <w:bCs/>
          <w:rtl/>
        </w:rPr>
        <w:t>ה</w:t>
      </w:r>
      <w:r w:rsidR="00F664DE" w:rsidRPr="00C85243">
        <w:rPr>
          <w:rFonts w:ascii="David" w:hAnsi="David"/>
          <w:b/>
          <w:bCs/>
          <w:rtl/>
        </w:rPr>
        <w:t xml:space="preserve">חוק. </w:t>
      </w:r>
    </w:p>
    <w:p w:rsidR="009D28C6" w:rsidRPr="00C85243" w:rsidRDefault="00A574BA" w:rsidP="00CA5B85">
      <w:pPr>
        <w:spacing w:after="240"/>
        <w:rPr>
          <w:rFonts w:ascii="David" w:hAnsi="David"/>
          <w:rtl/>
        </w:rPr>
      </w:pPr>
      <w:r w:rsidRPr="00C85243">
        <w:rPr>
          <w:rFonts w:ascii="David" w:hAnsi="David"/>
          <w:rtl/>
        </w:rPr>
        <w:t>ההפרות נובעות מתקלות טכנולוגיות ו</w:t>
      </w:r>
      <w:r w:rsidR="0090767A" w:rsidRPr="00C85243">
        <w:rPr>
          <w:rFonts w:ascii="David" w:hAnsi="David"/>
          <w:rtl/>
        </w:rPr>
        <w:t>מהותן היא</w:t>
      </w:r>
      <w:r w:rsidR="00DE0A1F" w:rsidRPr="00C85243">
        <w:rPr>
          <w:rFonts w:ascii="David" w:hAnsi="David"/>
          <w:rtl/>
        </w:rPr>
        <w:t xml:space="preserve"> אי שמירת מסמכי הזיהוי כנדרש בצו איסור הלבנת הון (חובות זיהוי, דיווח וניהול רישומים של תאגידים בנקאיים למניעת הלבנת הון ומימון טרור), התשס"א-2001 בעת פתיחת חשבונות באופן מקוון.</w:t>
      </w:r>
    </w:p>
    <w:p w:rsidR="009D28C6" w:rsidRPr="00C85243" w:rsidRDefault="00CE1C53" w:rsidP="0031074C">
      <w:pPr>
        <w:rPr>
          <w:rFonts w:ascii="David" w:hAnsi="David"/>
          <w:color w:val="000000"/>
          <w:rtl/>
        </w:rPr>
      </w:pPr>
      <w:r w:rsidRPr="00C85243">
        <w:rPr>
          <w:rFonts w:ascii="David" w:hAnsi="David"/>
          <w:color w:val="000000"/>
          <w:rtl/>
        </w:rPr>
        <w:t xml:space="preserve">במסגרת החלטתה הדגישה </w:t>
      </w:r>
      <w:r w:rsidR="009D28C6" w:rsidRPr="00C85243">
        <w:rPr>
          <w:rFonts w:ascii="David" w:hAnsi="David"/>
          <w:color w:val="000000"/>
          <w:rtl/>
        </w:rPr>
        <w:t xml:space="preserve">הוועדה את הנושאים הבאים: </w:t>
      </w:r>
    </w:p>
    <w:p w:rsidR="00A655ED" w:rsidRPr="00C85243" w:rsidRDefault="00A655ED" w:rsidP="0031074C">
      <w:pPr>
        <w:numPr>
          <w:ilvl w:val="0"/>
          <w:numId w:val="1"/>
        </w:numPr>
        <w:tabs>
          <w:tab w:val="clear" w:pos="567"/>
          <w:tab w:val="clear" w:pos="1134"/>
          <w:tab w:val="clear" w:pos="1814"/>
          <w:tab w:val="clear" w:pos="2665"/>
        </w:tabs>
        <w:rPr>
          <w:rFonts w:ascii="David" w:hAnsi="David"/>
        </w:rPr>
      </w:pPr>
      <w:r w:rsidRPr="00C85243">
        <w:rPr>
          <w:rFonts w:ascii="David" w:hAnsi="David"/>
          <w:rtl/>
        </w:rPr>
        <w:t xml:space="preserve">חובת שמירת מסמכי הזיהוי מהווה </w:t>
      </w:r>
      <w:r w:rsidR="00CE1C53" w:rsidRPr="00C85243">
        <w:rPr>
          <w:rFonts w:ascii="David" w:hAnsi="David"/>
          <w:rtl/>
        </w:rPr>
        <w:t>נדבך</w:t>
      </w:r>
      <w:r w:rsidRPr="00C85243">
        <w:rPr>
          <w:rFonts w:ascii="David" w:hAnsi="David"/>
          <w:rtl/>
        </w:rPr>
        <w:t xml:space="preserve"> חיוני</w:t>
      </w:r>
      <w:r w:rsidR="00CE1C53" w:rsidRPr="00C85243">
        <w:rPr>
          <w:rFonts w:ascii="David" w:hAnsi="David"/>
          <w:rtl/>
        </w:rPr>
        <w:t xml:space="preserve"> של </w:t>
      </w:r>
      <w:r w:rsidRPr="00C85243">
        <w:rPr>
          <w:rFonts w:ascii="David" w:hAnsi="David"/>
          <w:rtl/>
        </w:rPr>
        <w:t xml:space="preserve">משטר איסור הלבנת הון ואיסור מימון טרור. בהתאם לסטנדרטים הבינלאומיים שקבע ארגון ה- </w:t>
      </w:r>
      <w:r w:rsidRPr="00C85243">
        <w:rPr>
          <w:rFonts w:ascii="David" w:hAnsi="David"/>
        </w:rPr>
        <w:t>FATF</w:t>
      </w:r>
      <w:r w:rsidRPr="00C85243">
        <w:rPr>
          <w:rFonts w:ascii="David" w:hAnsi="David"/>
          <w:rtl/>
        </w:rPr>
        <w:t xml:space="preserve">, תיעוד </w:t>
      </w:r>
      <w:r w:rsidR="00CE1C53" w:rsidRPr="00C85243">
        <w:rPr>
          <w:rFonts w:ascii="David" w:hAnsi="David"/>
          <w:rtl/>
        </w:rPr>
        <w:t xml:space="preserve">ושמירת </w:t>
      </w:r>
      <w:r w:rsidRPr="00C85243">
        <w:rPr>
          <w:rFonts w:ascii="David" w:hAnsi="David"/>
          <w:rtl/>
        </w:rPr>
        <w:t>מסמכי הזיהוי לא נועד רק לצרכי הבנק או הפיקוח</w:t>
      </w:r>
      <w:r w:rsidR="00CE1C53" w:rsidRPr="00C85243">
        <w:rPr>
          <w:rFonts w:ascii="David" w:hAnsi="David"/>
          <w:rtl/>
        </w:rPr>
        <w:t xml:space="preserve"> על הבנקים</w:t>
      </w:r>
      <w:r w:rsidRPr="00C85243">
        <w:rPr>
          <w:rFonts w:ascii="David" w:hAnsi="David"/>
          <w:rtl/>
        </w:rPr>
        <w:t xml:space="preserve"> אלא גם </w:t>
      </w:r>
      <w:r w:rsidR="007B6A3B" w:rsidRPr="00C85243">
        <w:rPr>
          <w:rFonts w:ascii="David" w:hAnsi="David"/>
          <w:rtl/>
        </w:rPr>
        <w:t xml:space="preserve">ובעיקר </w:t>
      </w:r>
      <w:r w:rsidRPr="00C85243">
        <w:rPr>
          <w:rFonts w:ascii="David" w:hAnsi="David"/>
          <w:rtl/>
        </w:rPr>
        <w:t>לצרכי</w:t>
      </w:r>
      <w:r w:rsidR="00CE1C53" w:rsidRPr="00C85243">
        <w:rPr>
          <w:rFonts w:ascii="David" w:hAnsi="David"/>
          <w:rtl/>
        </w:rPr>
        <w:t>הם</w:t>
      </w:r>
      <w:r w:rsidRPr="00C85243">
        <w:rPr>
          <w:rFonts w:ascii="David" w:hAnsi="David"/>
          <w:rtl/>
        </w:rPr>
        <w:t xml:space="preserve"> </w:t>
      </w:r>
      <w:r w:rsidR="00CE1C53" w:rsidRPr="00C85243">
        <w:rPr>
          <w:rFonts w:ascii="David" w:hAnsi="David"/>
          <w:rtl/>
        </w:rPr>
        <w:t xml:space="preserve">של </w:t>
      </w:r>
      <w:r w:rsidRPr="00C85243">
        <w:rPr>
          <w:rFonts w:ascii="David" w:hAnsi="David"/>
          <w:rtl/>
        </w:rPr>
        <w:t xml:space="preserve">גופי האכיפה במדינה. </w:t>
      </w:r>
    </w:p>
    <w:p w:rsidR="00CC4C91" w:rsidRPr="00C85243" w:rsidRDefault="00CC4C91" w:rsidP="00CA5B85">
      <w:pPr>
        <w:pStyle w:val="1"/>
        <w:numPr>
          <w:ilvl w:val="0"/>
          <w:numId w:val="1"/>
        </w:numPr>
        <w:rPr>
          <w:rFonts w:ascii="David" w:hAnsi="David"/>
          <w:sz w:val="24"/>
          <w:rtl/>
        </w:rPr>
      </w:pPr>
      <w:r w:rsidRPr="00C85243">
        <w:rPr>
          <w:rFonts w:ascii="David" w:hAnsi="David"/>
          <w:sz w:val="24"/>
          <w:rtl/>
        </w:rPr>
        <w:t xml:space="preserve">קיימת חשיבות לעידוד ואימוץ חדשנות תוך הטמעת כלים טכנולוגיים שיאפשרו פתיחת חשבון באופן מקוון. </w:t>
      </w:r>
      <w:r w:rsidR="00E04554" w:rsidRPr="00C85243">
        <w:rPr>
          <w:rFonts w:ascii="David" w:hAnsi="David"/>
          <w:sz w:val="24"/>
          <w:rtl/>
        </w:rPr>
        <w:t>יחד עם זאת</w:t>
      </w:r>
      <w:r w:rsidRPr="00C85243">
        <w:rPr>
          <w:rFonts w:ascii="David" w:hAnsi="David"/>
          <w:sz w:val="24"/>
          <w:rtl/>
        </w:rPr>
        <w:t xml:space="preserve">, חיוני לקיים מערכת בקרה אפקטיבית אחר הטמעת כלים ותהליכים חדשים. </w:t>
      </w:r>
    </w:p>
    <w:p w:rsidR="00CC4C91" w:rsidRPr="00C85243" w:rsidRDefault="00CC4C91" w:rsidP="00E04554">
      <w:pPr>
        <w:numPr>
          <w:ilvl w:val="0"/>
          <w:numId w:val="1"/>
        </w:numPr>
        <w:tabs>
          <w:tab w:val="clear" w:pos="567"/>
          <w:tab w:val="clear" w:pos="1134"/>
          <w:tab w:val="clear" w:pos="1814"/>
          <w:tab w:val="clear" w:pos="2665"/>
        </w:tabs>
        <w:rPr>
          <w:rFonts w:ascii="David" w:hAnsi="David"/>
        </w:rPr>
      </w:pPr>
      <w:r w:rsidRPr="00C85243">
        <w:rPr>
          <w:rFonts w:ascii="David" w:hAnsi="David"/>
          <w:rtl/>
        </w:rPr>
        <w:t>המערכת הבנקאית</w:t>
      </w:r>
      <w:r w:rsidR="00E04554" w:rsidRPr="00C85243">
        <w:rPr>
          <w:rFonts w:ascii="David" w:hAnsi="David"/>
          <w:rtl/>
        </w:rPr>
        <w:t>,</w:t>
      </w:r>
      <w:r w:rsidRPr="00C85243">
        <w:rPr>
          <w:rFonts w:ascii="David" w:hAnsi="David"/>
          <w:rtl/>
        </w:rPr>
        <w:t xml:space="preserve"> משקיעה מאמצים ומשאבים ביישום </w:t>
      </w:r>
      <w:r w:rsidR="00E04554" w:rsidRPr="00C85243">
        <w:rPr>
          <w:rFonts w:ascii="David" w:hAnsi="David"/>
          <w:rtl/>
        </w:rPr>
        <w:t>ה</w:t>
      </w:r>
      <w:r w:rsidRPr="00C85243">
        <w:rPr>
          <w:rFonts w:ascii="David" w:hAnsi="David"/>
          <w:rtl/>
        </w:rPr>
        <w:t xml:space="preserve">חובות </w:t>
      </w:r>
      <w:r w:rsidR="00E04554" w:rsidRPr="00C85243">
        <w:rPr>
          <w:rFonts w:ascii="David" w:hAnsi="David"/>
          <w:rtl/>
        </w:rPr>
        <w:t xml:space="preserve">מכוח </w:t>
      </w:r>
      <w:r w:rsidRPr="00C85243">
        <w:rPr>
          <w:rFonts w:ascii="David" w:hAnsi="David"/>
          <w:rtl/>
        </w:rPr>
        <w:t xml:space="preserve">משטר איסור הלבנת הון ואיסור מימון טרור. לצד </w:t>
      </w:r>
      <w:r w:rsidR="00E04554" w:rsidRPr="00C85243">
        <w:rPr>
          <w:rFonts w:ascii="David" w:hAnsi="David"/>
          <w:rtl/>
        </w:rPr>
        <w:t>ה</w:t>
      </w:r>
      <w:r w:rsidRPr="00C85243">
        <w:rPr>
          <w:rFonts w:ascii="David" w:hAnsi="David"/>
          <w:rtl/>
        </w:rPr>
        <w:t>השקע</w:t>
      </w:r>
      <w:r w:rsidR="00E04554" w:rsidRPr="00C85243">
        <w:rPr>
          <w:rFonts w:ascii="David" w:hAnsi="David"/>
          <w:rtl/>
        </w:rPr>
        <w:t>ה</w:t>
      </w:r>
      <w:r w:rsidRPr="00C85243">
        <w:rPr>
          <w:rFonts w:ascii="David" w:hAnsi="David"/>
          <w:rtl/>
        </w:rPr>
        <w:t xml:space="preserve"> </w:t>
      </w:r>
      <w:r w:rsidR="00E04554" w:rsidRPr="00C85243">
        <w:rPr>
          <w:rFonts w:ascii="David" w:hAnsi="David"/>
          <w:rtl/>
        </w:rPr>
        <w:t>ו</w:t>
      </w:r>
      <w:r w:rsidRPr="00C85243">
        <w:rPr>
          <w:rFonts w:ascii="David" w:hAnsi="David"/>
          <w:rtl/>
        </w:rPr>
        <w:t>המאמ</w:t>
      </w:r>
      <w:r w:rsidR="00E04554" w:rsidRPr="00C85243">
        <w:rPr>
          <w:rFonts w:ascii="David" w:hAnsi="David"/>
          <w:rtl/>
        </w:rPr>
        <w:t>ץ</w:t>
      </w:r>
      <w:r w:rsidR="002A5A57" w:rsidRPr="00C85243">
        <w:rPr>
          <w:rFonts w:ascii="David" w:hAnsi="David"/>
          <w:rtl/>
        </w:rPr>
        <w:t>,</w:t>
      </w:r>
      <w:r w:rsidRPr="00C85243">
        <w:rPr>
          <w:rFonts w:ascii="David" w:hAnsi="David"/>
          <w:rtl/>
        </w:rPr>
        <w:t xml:space="preserve"> </w:t>
      </w:r>
      <w:r w:rsidR="002A5A57" w:rsidRPr="00C85243">
        <w:rPr>
          <w:rFonts w:ascii="David" w:hAnsi="David"/>
          <w:rtl/>
        </w:rPr>
        <w:t>ישנו</w:t>
      </w:r>
      <w:r w:rsidRPr="00C85243">
        <w:rPr>
          <w:rFonts w:ascii="David" w:hAnsi="David"/>
          <w:rtl/>
        </w:rPr>
        <w:t xml:space="preserve"> גם </w:t>
      </w:r>
      <w:r w:rsidR="002A5A57" w:rsidRPr="00C85243">
        <w:rPr>
          <w:rFonts w:ascii="David" w:hAnsi="David"/>
          <w:rtl/>
        </w:rPr>
        <w:t>מבחן ה</w:t>
      </w:r>
      <w:r w:rsidRPr="00C85243">
        <w:rPr>
          <w:rFonts w:ascii="David" w:hAnsi="David"/>
          <w:rtl/>
        </w:rPr>
        <w:t>תוצאה של קיום חובות הצו והוראות הפיקוח לעניין ניהול סיכוני איסור הלבנת הון.</w:t>
      </w:r>
    </w:p>
    <w:p w:rsidR="00DE0A1F" w:rsidRPr="00C85243" w:rsidRDefault="00E04554" w:rsidP="00E04554">
      <w:pPr>
        <w:pStyle w:val="1"/>
        <w:numPr>
          <w:ilvl w:val="0"/>
          <w:numId w:val="0"/>
        </w:numPr>
        <w:spacing w:before="240"/>
        <w:rPr>
          <w:rFonts w:ascii="David" w:hAnsi="David"/>
          <w:rtl/>
        </w:rPr>
      </w:pPr>
      <w:r w:rsidRPr="00C85243">
        <w:rPr>
          <w:rFonts w:ascii="David" w:hAnsi="David"/>
          <w:rtl/>
        </w:rPr>
        <w:lastRenderedPageBreak/>
        <w:t>יצוין כי הוועדה קיבלה את ההחלטה לאחר שימוע שנערך לבנק וכי</w:t>
      </w:r>
      <w:r w:rsidR="00A574BA" w:rsidRPr="00C85243">
        <w:rPr>
          <w:rFonts w:ascii="David" w:hAnsi="David"/>
          <w:rtl/>
        </w:rPr>
        <w:t xml:space="preserve"> ה</w:t>
      </w:r>
      <w:r w:rsidR="001B7717" w:rsidRPr="00C85243">
        <w:rPr>
          <w:rFonts w:ascii="David" w:hAnsi="David"/>
          <w:rtl/>
        </w:rPr>
        <w:t>וועדה ה</w:t>
      </w:r>
      <w:r w:rsidR="00A574BA" w:rsidRPr="00C85243">
        <w:rPr>
          <w:rFonts w:ascii="David" w:hAnsi="David"/>
          <w:rtl/>
        </w:rPr>
        <w:t>חליטה על הפחתת גובה העיצום ביחס לגובה העיצום המקסימאלי שנקבע בחוק מאחר והבנק גילה באופן עצמאי את ה</w:t>
      </w:r>
      <w:r w:rsidR="00DE0A1F" w:rsidRPr="00C85243">
        <w:rPr>
          <w:rFonts w:ascii="David" w:hAnsi="David"/>
          <w:rtl/>
        </w:rPr>
        <w:t>הפרות, דיווח עליהן לפיקוח על הבנקים ו</w:t>
      </w:r>
      <w:r w:rsidR="00A574BA" w:rsidRPr="00C85243">
        <w:rPr>
          <w:rFonts w:ascii="David" w:hAnsi="David"/>
          <w:rtl/>
        </w:rPr>
        <w:t xml:space="preserve">פעל </w:t>
      </w:r>
      <w:r w:rsidR="00DE0A1F" w:rsidRPr="00C85243">
        <w:rPr>
          <w:rFonts w:ascii="David" w:hAnsi="David"/>
          <w:rtl/>
        </w:rPr>
        <w:t xml:space="preserve">לתיקון הליקויים. </w:t>
      </w:r>
    </w:p>
    <w:p w:rsidR="00CE1C53" w:rsidRPr="00C85243" w:rsidRDefault="00CE1C53" w:rsidP="00CE1C53">
      <w:pPr>
        <w:spacing w:before="240" w:after="240"/>
        <w:rPr>
          <w:rFonts w:ascii="David" w:hAnsi="David"/>
          <w:rtl/>
        </w:rPr>
      </w:pPr>
      <w:r w:rsidRPr="00C85243">
        <w:rPr>
          <w:rFonts w:ascii="David" w:hAnsi="David"/>
          <w:rtl/>
        </w:rPr>
        <w:t>לבנק עומדת זכות ערעור לבית משפט השלום תוך 30 ימים.</w:t>
      </w:r>
    </w:p>
    <w:p w:rsidR="005B5778" w:rsidRPr="00C85243" w:rsidRDefault="005B5778" w:rsidP="00836221">
      <w:pPr>
        <w:pStyle w:val="1"/>
        <w:numPr>
          <w:ilvl w:val="0"/>
          <w:numId w:val="0"/>
        </w:numPr>
        <w:spacing w:before="240"/>
        <w:rPr>
          <w:rFonts w:ascii="David" w:hAnsi="David"/>
          <w:rtl/>
        </w:rPr>
      </w:pPr>
      <w:r w:rsidRPr="00C85243">
        <w:rPr>
          <w:rFonts w:ascii="David" w:hAnsi="David"/>
          <w:rtl/>
        </w:rPr>
        <w:t>נוסח ההחלטה</w:t>
      </w:r>
      <w:r w:rsidR="00836221">
        <w:rPr>
          <w:rFonts w:ascii="David" w:hAnsi="David" w:hint="cs"/>
          <w:rtl/>
        </w:rPr>
        <w:t xml:space="preserve"> (</w:t>
      </w:r>
      <w:r w:rsidR="00836221">
        <w:rPr>
          <w:rFonts w:ascii="David" w:hAnsi="David"/>
          <w:rtl/>
        </w:rPr>
        <w:fldChar w:fldCharType="begin"/>
      </w:r>
      <w:r w:rsidR="00E649FE">
        <w:rPr>
          <w:rFonts w:ascii="David" w:hAnsi="David"/>
        </w:rPr>
        <w:instrText>HYPERLINK</w:instrText>
      </w:r>
      <w:r w:rsidR="00E649FE">
        <w:rPr>
          <w:rFonts w:ascii="David" w:hAnsi="David"/>
          <w:rtl/>
        </w:rPr>
        <w:instrText xml:space="preserve"> "</w:instrText>
      </w:r>
      <w:r w:rsidR="00E649FE">
        <w:rPr>
          <w:rFonts w:ascii="David" w:hAnsi="David"/>
        </w:rPr>
        <w:instrText>C:\\Users\\U70D\\Downloads</w:instrText>
      </w:r>
      <w:r w:rsidR="00E649FE">
        <w:rPr>
          <w:rFonts w:ascii="David" w:hAnsi="David"/>
          <w:rtl/>
        </w:rPr>
        <w:instrText>\\תיאור-החלטת-הוועדה-להטיל-עיצום-כספי-על-לאומי-לפרסום_מתוקן.</w:instrText>
      </w:r>
      <w:r w:rsidR="00E649FE">
        <w:rPr>
          <w:rFonts w:ascii="David" w:hAnsi="David"/>
        </w:rPr>
        <w:instrText>pdf</w:instrText>
      </w:r>
      <w:r w:rsidR="00E649FE">
        <w:rPr>
          <w:rFonts w:ascii="David" w:hAnsi="David"/>
          <w:rtl/>
        </w:rPr>
        <w:instrText>"</w:instrText>
      </w:r>
      <w:bookmarkStart w:id="0" w:name="_GoBack"/>
      <w:bookmarkEnd w:id="0"/>
      <w:r w:rsidR="00E649FE">
        <w:rPr>
          <w:rFonts w:ascii="David" w:hAnsi="David"/>
          <w:rtl/>
        </w:rPr>
      </w:r>
      <w:r w:rsidR="00836221">
        <w:rPr>
          <w:rFonts w:ascii="David" w:hAnsi="David"/>
          <w:rtl/>
        </w:rPr>
        <w:fldChar w:fldCharType="separate"/>
      </w:r>
      <w:r w:rsidR="00836221" w:rsidRPr="00836221">
        <w:rPr>
          <w:rStyle w:val="Hyperlink"/>
          <w:rFonts w:ascii="David" w:hAnsi="David" w:hint="cs"/>
          <w:rtl/>
        </w:rPr>
        <w:t>קישור</w:t>
      </w:r>
      <w:r w:rsidR="00836221">
        <w:rPr>
          <w:rFonts w:ascii="David" w:hAnsi="David"/>
          <w:rtl/>
        </w:rPr>
        <w:fldChar w:fldCharType="end"/>
      </w:r>
      <w:r w:rsidR="00836221">
        <w:rPr>
          <w:rFonts w:ascii="David" w:hAnsi="David" w:hint="cs"/>
          <w:rtl/>
        </w:rPr>
        <w:t xml:space="preserve"> </w:t>
      </w:r>
      <w:r w:rsidRPr="00C85243">
        <w:rPr>
          <w:rFonts w:ascii="David" w:hAnsi="David"/>
          <w:rtl/>
        </w:rPr>
        <w:t>)</w:t>
      </w:r>
    </w:p>
    <w:p w:rsidR="009D28C6" w:rsidRPr="00C85243" w:rsidRDefault="009D28C6" w:rsidP="00F664DE">
      <w:pPr>
        <w:spacing w:after="240"/>
        <w:rPr>
          <w:rFonts w:ascii="David" w:hAnsi="David"/>
          <w:rtl/>
        </w:rPr>
      </w:pPr>
    </w:p>
    <w:p w:rsidR="001C457D" w:rsidRPr="00C85243" w:rsidRDefault="001C457D">
      <w:pPr>
        <w:rPr>
          <w:rFonts w:ascii="David" w:hAnsi="David"/>
        </w:rPr>
      </w:pPr>
    </w:p>
    <w:sectPr w:rsidR="001C457D" w:rsidRPr="00C85243" w:rsidSect="00E62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31" w:rsidRDefault="00E54B31" w:rsidP="009B1662">
      <w:pPr>
        <w:spacing w:line="240" w:lineRule="auto"/>
      </w:pPr>
      <w:r>
        <w:separator/>
      </w:r>
    </w:p>
  </w:endnote>
  <w:endnote w:type="continuationSeparator" w:id="0">
    <w:p w:rsidR="00E54B31" w:rsidRDefault="00E54B31" w:rsidP="009B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2" w:rsidRDefault="009B16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2" w:rsidRDefault="009B16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2" w:rsidRDefault="009B16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31" w:rsidRDefault="00E54B31" w:rsidP="009B1662">
      <w:pPr>
        <w:spacing w:line="240" w:lineRule="auto"/>
      </w:pPr>
      <w:r>
        <w:separator/>
      </w:r>
    </w:p>
  </w:footnote>
  <w:footnote w:type="continuationSeparator" w:id="0">
    <w:p w:rsidR="00E54B31" w:rsidRDefault="00E54B31" w:rsidP="009B1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2" w:rsidRDefault="009B1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2" w:rsidRDefault="009B16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62" w:rsidRDefault="009B16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7851"/>
    <w:multiLevelType w:val="multilevel"/>
    <w:tmpl w:val="8F9AB302"/>
    <w:lvl w:ilvl="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56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8"/>
        </w:tabs>
        <w:ind w:left="1138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72"/>
        </w:tabs>
        <w:ind w:left="1872" w:hanging="73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79"/>
        </w:tabs>
        <w:ind w:left="2779" w:hanging="907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" w15:restartNumberingAfterBreak="0">
    <w:nsid w:val="67D22757"/>
    <w:multiLevelType w:val="hybridMultilevel"/>
    <w:tmpl w:val="C98E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39BF"/>
    <w:multiLevelType w:val="hybridMultilevel"/>
    <w:tmpl w:val="39F25E4A"/>
    <w:lvl w:ilvl="0" w:tplc="FFFFFFFF">
      <w:start w:val="1"/>
      <w:numFmt w:val="chosung"/>
      <w:lvlText w:val=""/>
      <w:legacy w:legacy="1" w:legacySpace="0" w:legacyIndent="360"/>
      <w:lvlJc w:val="center"/>
      <w:pPr>
        <w:ind w:left="360" w:hanging="360"/>
      </w:pPr>
      <w:rPr>
        <w:rFonts w:ascii="Symbol" w:hAnsi="Symbol" w:hint="default"/>
      </w:rPr>
    </w:lvl>
    <w:lvl w:ilvl="1" w:tplc="EB28F6C4">
      <w:start w:val="1"/>
      <w:numFmt w:val="bullet"/>
      <w:lvlText w:val="­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5D"/>
    <w:rsid w:val="00060A0C"/>
    <w:rsid w:val="000932C4"/>
    <w:rsid w:val="000C4DB2"/>
    <w:rsid w:val="00114116"/>
    <w:rsid w:val="00160AA3"/>
    <w:rsid w:val="00167E64"/>
    <w:rsid w:val="001B7717"/>
    <w:rsid w:val="001C457D"/>
    <w:rsid w:val="001E3AF5"/>
    <w:rsid w:val="00236DFB"/>
    <w:rsid w:val="00247115"/>
    <w:rsid w:val="002A5A57"/>
    <w:rsid w:val="002A609E"/>
    <w:rsid w:val="002C732E"/>
    <w:rsid w:val="002D5DCE"/>
    <w:rsid w:val="0031074C"/>
    <w:rsid w:val="00310A04"/>
    <w:rsid w:val="00315E82"/>
    <w:rsid w:val="00333E46"/>
    <w:rsid w:val="00357886"/>
    <w:rsid w:val="00377F35"/>
    <w:rsid w:val="00382F3C"/>
    <w:rsid w:val="003D39A2"/>
    <w:rsid w:val="003E7B61"/>
    <w:rsid w:val="003F5A69"/>
    <w:rsid w:val="00401239"/>
    <w:rsid w:val="004F2D23"/>
    <w:rsid w:val="00541AE1"/>
    <w:rsid w:val="00564912"/>
    <w:rsid w:val="005B5778"/>
    <w:rsid w:val="00653604"/>
    <w:rsid w:val="0067097C"/>
    <w:rsid w:val="00676311"/>
    <w:rsid w:val="00724E25"/>
    <w:rsid w:val="007579A0"/>
    <w:rsid w:val="00762CFA"/>
    <w:rsid w:val="007A1EA1"/>
    <w:rsid w:val="007B6A3B"/>
    <w:rsid w:val="007F7CE7"/>
    <w:rsid w:val="0081046D"/>
    <w:rsid w:val="00836221"/>
    <w:rsid w:val="00837917"/>
    <w:rsid w:val="0086261C"/>
    <w:rsid w:val="008C42C5"/>
    <w:rsid w:val="008F4860"/>
    <w:rsid w:val="0090767A"/>
    <w:rsid w:val="009B1662"/>
    <w:rsid w:val="009D28C6"/>
    <w:rsid w:val="009E2A5D"/>
    <w:rsid w:val="00A2241B"/>
    <w:rsid w:val="00A3002A"/>
    <w:rsid w:val="00A4226B"/>
    <w:rsid w:val="00A53E0A"/>
    <w:rsid w:val="00A574BA"/>
    <w:rsid w:val="00A655ED"/>
    <w:rsid w:val="00A703FE"/>
    <w:rsid w:val="00B04BE5"/>
    <w:rsid w:val="00B13531"/>
    <w:rsid w:val="00B17E10"/>
    <w:rsid w:val="00B42582"/>
    <w:rsid w:val="00B539A6"/>
    <w:rsid w:val="00B57C1A"/>
    <w:rsid w:val="00BD7B4F"/>
    <w:rsid w:val="00C04011"/>
    <w:rsid w:val="00C42ADF"/>
    <w:rsid w:val="00C544ED"/>
    <w:rsid w:val="00C5595E"/>
    <w:rsid w:val="00C85243"/>
    <w:rsid w:val="00C92032"/>
    <w:rsid w:val="00CA0F8E"/>
    <w:rsid w:val="00CA5B85"/>
    <w:rsid w:val="00CC1C24"/>
    <w:rsid w:val="00CC4C91"/>
    <w:rsid w:val="00CC70DA"/>
    <w:rsid w:val="00CE1C53"/>
    <w:rsid w:val="00D432C2"/>
    <w:rsid w:val="00D95FC5"/>
    <w:rsid w:val="00DE0A1F"/>
    <w:rsid w:val="00E04554"/>
    <w:rsid w:val="00E22D2C"/>
    <w:rsid w:val="00E25A5C"/>
    <w:rsid w:val="00E31D25"/>
    <w:rsid w:val="00E54B31"/>
    <w:rsid w:val="00E62F2D"/>
    <w:rsid w:val="00E649FE"/>
    <w:rsid w:val="00E73406"/>
    <w:rsid w:val="00EE243C"/>
    <w:rsid w:val="00F1305B"/>
    <w:rsid w:val="00F13AEB"/>
    <w:rsid w:val="00F579BE"/>
    <w:rsid w:val="00F63CB0"/>
    <w:rsid w:val="00F664DE"/>
    <w:rsid w:val="00F97301"/>
    <w:rsid w:val="00FD6B8E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1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B"/>
    <w:pPr>
      <w:tabs>
        <w:tab w:val="left" w:pos="567"/>
        <w:tab w:val="left" w:pos="1134"/>
        <w:tab w:val="left" w:pos="1814"/>
        <w:tab w:val="left" w:pos="2665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link w:val="10"/>
    <w:qFormat/>
    <w:rsid w:val="00DE0A1F"/>
    <w:pPr>
      <w:numPr>
        <w:numId w:val="2"/>
      </w:numPr>
      <w:tabs>
        <w:tab w:val="clear" w:pos="1134"/>
      </w:tabs>
      <w:outlineLvl w:val="0"/>
    </w:pPr>
    <w:rPr>
      <w:kern w:val="28"/>
      <w:sz w:val="22"/>
    </w:rPr>
  </w:style>
  <w:style w:type="paragraph" w:styleId="2">
    <w:name w:val="heading 2"/>
    <w:basedOn w:val="1"/>
    <w:link w:val="20"/>
    <w:qFormat/>
    <w:rsid w:val="00DE0A1F"/>
    <w:pPr>
      <w:numPr>
        <w:ilvl w:val="1"/>
      </w:numPr>
      <w:tabs>
        <w:tab w:val="clear" w:pos="1814"/>
        <w:tab w:val="clear" w:pos="2665"/>
      </w:tabs>
      <w:outlineLvl w:val="1"/>
    </w:pPr>
  </w:style>
  <w:style w:type="paragraph" w:styleId="3">
    <w:name w:val="heading 3"/>
    <w:basedOn w:val="2"/>
    <w:link w:val="30"/>
    <w:qFormat/>
    <w:rsid w:val="00DE0A1F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DE0A1F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D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36DFB"/>
    <w:rPr>
      <w:rFonts w:ascii="Times New Roman" w:eastAsia="Times New Roman" w:hAnsi="Times New Roman" w:cs="David"/>
      <w:sz w:val="24"/>
      <w:szCs w:val="24"/>
    </w:rPr>
  </w:style>
  <w:style w:type="character" w:customStyle="1" w:styleId="10">
    <w:name w:val="כותרת 1 תו"/>
    <w:basedOn w:val="a0"/>
    <w:link w:val="1"/>
    <w:rsid w:val="00DE0A1F"/>
    <w:rPr>
      <w:rFonts w:ascii="Times New Roman" w:eastAsia="Times New Roman" w:hAnsi="Times New Roman" w:cs="David"/>
      <w:kern w:val="28"/>
      <w:szCs w:val="24"/>
    </w:rPr>
  </w:style>
  <w:style w:type="character" w:customStyle="1" w:styleId="20">
    <w:name w:val="כותרת 2 תו"/>
    <w:basedOn w:val="a0"/>
    <w:link w:val="2"/>
    <w:rsid w:val="00DE0A1F"/>
    <w:rPr>
      <w:rFonts w:ascii="Times New Roman" w:eastAsia="Times New Roman" w:hAnsi="Times New Roman" w:cs="David"/>
      <w:kern w:val="28"/>
      <w:szCs w:val="24"/>
    </w:rPr>
  </w:style>
  <w:style w:type="character" w:customStyle="1" w:styleId="30">
    <w:name w:val="כותרת 3 תו"/>
    <w:basedOn w:val="a0"/>
    <w:link w:val="3"/>
    <w:rsid w:val="00DE0A1F"/>
    <w:rPr>
      <w:rFonts w:ascii="Times New Roman" w:eastAsia="Times New Roman" w:hAnsi="Times New Roman" w:cs="David"/>
      <w:kern w:val="28"/>
      <w:szCs w:val="24"/>
    </w:rPr>
  </w:style>
  <w:style w:type="character" w:customStyle="1" w:styleId="40">
    <w:name w:val="כותרת 4 תו"/>
    <w:basedOn w:val="a0"/>
    <w:link w:val="4"/>
    <w:rsid w:val="00DE0A1F"/>
    <w:rPr>
      <w:rFonts w:ascii="Times New Roman" w:eastAsia="Times New Roman" w:hAnsi="Times New Roman" w:cs="David"/>
      <w:kern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167E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7E64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167E64"/>
    <w:rPr>
      <w:rFonts w:ascii="Times New Roman" w:eastAsia="Times New Roman" w:hAnsi="Times New Roman" w:cs="David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7E64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67E64"/>
    <w:rPr>
      <w:rFonts w:ascii="Times New Roman" w:eastAsia="Times New Roman" w:hAnsi="Times New Roman" w:cs="David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7E64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167E64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22D2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33E46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9B1662"/>
    <w:pPr>
      <w:tabs>
        <w:tab w:val="clear" w:pos="567"/>
        <w:tab w:val="clear" w:pos="1134"/>
        <w:tab w:val="clear" w:pos="1814"/>
        <w:tab w:val="clear" w:pos="2665"/>
        <w:tab w:val="center" w:pos="4153"/>
        <w:tab w:val="right" w:pos="8306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9B1662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59D8-EBB6-48DD-A42F-405630D6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2023-02-02T08:22:00Z</dcterms:created>
  <dcterms:modified xsi:type="dcterms:W3CDTF">2023-02-02T08:22:00Z</dcterms:modified>
</cp:coreProperties>
</file>