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4E" w:rsidRPr="007512EA" w:rsidRDefault="00E10A4E" w:rsidP="00E10A4E">
      <w:pPr>
        <w:bidi/>
        <w:spacing w:line="360" w:lineRule="auto"/>
        <w:ind w:right="-101"/>
        <w:rPr>
          <w:rFonts w:ascii="David" w:eastAsiaTheme="minorHAnsi" w:hAnsi="David" w:cs="David"/>
          <w:b/>
          <w:bCs/>
          <w:sz w:val="24"/>
          <w:szCs w:val="24"/>
          <w:rtl/>
          <w:lang w:eastAsia="en-US"/>
        </w:rPr>
      </w:pPr>
      <w:r w:rsidRPr="007512EA">
        <w:rPr>
          <w:rFonts w:ascii="David" w:eastAsiaTheme="minorHAnsi" w:hAnsi="David" w:cs="David"/>
          <w:b/>
          <w:bCs/>
          <w:sz w:val="24"/>
          <w:szCs w:val="24"/>
          <w:rtl/>
          <w:lang w:eastAsia="en-US"/>
        </w:rPr>
        <w:t>הודעה לעיתונות:</w:t>
      </w:r>
    </w:p>
    <w:tbl>
      <w:tblPr>
        <w:tblpPr w:leftFromText="180" w:rightFromText="180" w:vertAnchor="page" w:horzAnchor="margin" w:tblpY="901"/>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7512EA" w:rsidRPr="007512EA" w:rsidTr="0077316B">
        <w:trPr>
          <w:trHeight w:val="1566"/>
          <w:tblHeader/>
        </w:trPr>
        <w:tc>
          <w:tcPr>
            <w:tcW w:w="2916" w:type="dxa"/>
            <w:tcBorders>
              <w:top w:val="nil"/>
              <w:left w:val="nil"/>
              <w:bottom w:val="nil"/>
              <w:right w:val="nil"/>
            </w:tcBorders>
            <w:vAlign w:val="center"/>
          </w:tcPr>
          <w:p w:rsidR="007512EA" w:rsidRPr="007512EA" w:rsidRDefault="007512EA" w:rsidP="007512EA">
            <w:pPr>
              <w:bidi/>
              <w:spacing w:after="200" w:line="276" w:lineRule="auto"/>
              <w:jc w:val="center"/>
              <w:rPr>
                <w:rFonts w:ascii="David" w:eastAsia="Calibri" w:hAnsi="David" w:cs="David"/>
                <w:b/>
                <w:bCs/>
                <w:sz w:val="28"/>
                <w:szCs w:val="28"/>
                <w:rtl/>
                <w:lang w:eastAsia="en-US"/>
              </w:rPr>
            </w:pPr>
            <w:r w:rsidRPr="007512EA">
              <w:rPr>
                <w:rFonts w:ascii="David" w:eastAsia="Calibri" w:hAnsi="David" w:cs="David"/>
                <w:b/>
                <w:bCs/>
                <w:sz w:val="28"/>
                <w:szCs w:val="28"/>
                <w:rtl/>
                <w:lang w:eastAsia="en-US"/>
              </w:rPr>
              <w:t>בנק ישראל</w:t>
            </w:r>
          </w:p>
          <w:p w:rsidR="007512EA" w:rsidRPr="007512EA" w:rsidRDefault="007512EA" w:rsidP="007512EA">
            <w:pPr>
              <w:bidi/>
              <w:spacing w:after="200" w:line="276" w:lineRule="auto"/>
              <w:ind w:right="-101"/>
              <w:jc w:val="center"/>
              <w:rPr>
                <w:rFonts w:ascii="David" w:eastAsia="Calibri" w:hAnsi="David" w:cs="David"/>
                <w:sz w:val="24"/>
                <w:szCs w:val="24"/>
                <w:rtl/>
                <w:lang w:eastAsia="en-US"/>
              </w:rPr>
            </w:pPr>
            <w:r w:rsidRPr="007512EA">
              <w:rPr>
                <w:rFonts w:ascii="David" w:eastAsia="Calibri" w:hAnsi="David" w:cs="David"/>
                <w:sz w:val="24"/>
                <w:szCs w:val="24"/>
                <w:rtl/>
                <w:lang w:eastAsia="en-US"/>
              </w:rPr>
              <w:t>דוברות והסברה כלכלית</w:t>
            </w:r>
          </w:p>
          <w:p w:rsidR="007512EA" w:rsidRPr="007512EA" w:rsidRDefault="007512EA" w:rsidP="007512EA">
            <w:pPr>
              <w:bidi/>
              <w:spacing w:after="200" w:line="276" w:lineRule="auto"/>
              <w:ind w:right="-101"/>
              <w:jc w:val="center"/>
              <w:rPr>
                <w:rFonts w:ascii="David" w:eastAsia="Calibri" w:hAnsi="David" w:cs="David"/>
                <w:sz w:val="22"/>
                <w:szCs w:val="22"/>
                <w:rtl/>
                <w:lang w:eastAsia="en-US"/>
              </w:rPr>
            </w:pPr>
          </w:p>
          <w:p w:rsidR="007512EA" w:rsidRPr="007512EA" w:rsidRDefault="007512EA" w:rsidP="007512EA">
            <w:pPr>
              <w:bidi/>
              <w:spacing w:after="200" w:line="276" w:lineRule="auto"/>
              <w:ind w:right="-101"/>
              <w:jc w:val="center"/>
              <w:rPr>
                <w:rFonts w:ascii="David" w:eastAsia="Calibri" w:hAnsi="David" w:cs="David"/>
                <w:sz w:val="22"/>
                <w:szCs w:val="22"/>
                <w:rtl/>
                <w:lang w:eastAsia="en-US"/>
              </w:rPr>
            </w:pPr>
          </w:p>
        </w:tc>
        <w:tc>
          <w:tcPr>
            <w:tcW w:w="2835" w:type="dxa"/>
            <w:tcBorders>
              <w:top w:val="nil"/>
              <w:left w:val="nil"/>
              <w:bottom w:val="nil"/>
              <w:right w:val="nil"/>
            </w:tcBorders>
          </w:tcPr>
          <w:p w:rsidR="007512EA" w:rsidRPr="007512EA" w:rsidRDefault="007512EA" w:rsidP="007512EA">
            <w:pPr>
              <w:bidi/>
              <w:spacing w:after="200" w:line="276" w:lineRule="auto"/>
              <w:jc w:val="center"/>
              <w:rPr>
                <w:rFonts w:ascii="David" w:eastAsia="Calibri" w:hAnsi="David" w:cs="David"/>
                <w:sz w:val="22"/>
                <w:szCs w:val="22"/>
                <w:lang w:eastAsia="en-US"/>
              </w:rPr>
            </w:pPr>
            <w:r w:rsidRPr="007512EA">
              <w:rPr>
                <w:rFonts w:ascii="David" w:eastAsia="Calibri" w:hAnsi="David" w:cs="David"/>
                <w:noProof/>
                <w:sz w:val="22"/>
                <w:szCs w:val="22"/>
                <w:lang w:eastAsia="en-US"/>
              </w:rPr>
              <w:drawing>
                <wp:inline distT="0" distB="0" distL="0" distR="0" wp14:anchorId="3037ECFD" wp14:editId="6C8B7C13">
                  <wp:extent cx="749935" cy="74993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977" w:type="dxa"/>
            <w:tcBorders>
              <w:top w:val="nil"/>
              <w:left w:val="nil"/>
              <w:bottom w:val="nil"/>
              <w:right w:val="nil"/>
            </w:tcBorders>
            <w:vAlign w:val="center"/>
          </w:tcPr>
          <w:p w:rsidR="007512EA" w:rsidRPr="007512EA" w:rsidRDefault="007512EA" w:rsidP="007512EA">
            <w:pPr>
              <w:bidi/>
              <w:spacing w:after="200" w:line="480" w:lineRule="auto"/>
              <w:jc w:val="right"/>
              <w:rPr>
                <w:rFonts w:ascii="David" w:eastAsia="Calibri" w:hAnsi="David" w:cs="David"/>
                <w:sz w:val="24"/>
                <w:szCs w:val="24"/>
                <w:rtl/>
                <w:lang w:eastAsia="en-US"/>
              </w:rPr>
            </w:pPr>
            <w:r w:rsidRPr="007512EA">
              <w:rPr>
                <w:rFonts w:ascii="David" w:eastAsia="Calibri" w:hAnsi="David" w:cs="David"/>
                <w:sz w:val="24"/>
                <w:szCs w:val="24"/>
                <w:rtl/>
                <w:lang w:eastAsia="en-US"/>
              </w:rPr>
              <w:t>‏‏ירושלים, ‏‏‏</w:t>
            </w:r>
            <w:r>
              <w:rPr>
                <w:rFonts w:ascii="David" w:eastAsia="Calibri" w:hAnsi="David" w:cs="David" w:hint="cs"/>
                <w:sz w:val="24"/>
                <w:szCs w:val="24"/>
                <w:rtl/>
                <w:lang w:eastAsia="en-US"/>
              </w:rPr>
              <w:t>כ"ג</w:t>
            </w:r>
            <w:r w:rsidRPr="007512EA">
              <w:rPr>
                <w:rFonts w:ascii="David" w:eastAsia="Calibri" w:hAnsi="David" w:cs="David"/>
                <w:sz w:val="24"/>
                <w:szCs w:val="24"/>
                <w:rtl/>
                <w:lang w:eastAsia="en-US"/>
              </w:rPr>
              <w:t xml:space="preserve"> באדר, </w:t>
            </w:r>
            <w:proofErr w:type="spellStart"/>
            <w:r w:rsidRPr="007512EA">
              <w:rPr>
                <w:rFonts w:ascii="David" w:eastAsia="Calibri" w:hAnsi="David" w:cs="David"/>
                <w:sz w:val="24"/>
                <w:szCs w:val="24"/>
                <w:rtl/>
                <w:lang w:eastAsia="en-US"/>
              </w:rPr>
              <w:t>תש"ף</w:t>
            </w:r>
            <w:proofErr w:type="spellEnd"/>
          </w:p>
          <w:p w:rsidR="007512EA" w:rsidRPr="007512EA" w:rsidRDefault="007512EA" w:rsidP="007512EA">
            <w:pPr>
              <w:spacing w:after="200" w:line="480" w:lineRule="auto"/>
              <w:rPr>
                <w:rFonts w:ascii="David" w:eastAsia="Calibri" w:hAnsi="David" w:cs="David"/>
                <w:sz w:val="24"/>
                <w:szCs w:val="24"/>
                <w:highlight w:val="yellow"/>
                <w:lang w:eastAsia="en-US"/>
              </w:rPr>
            </w:pPr>
            <w:r w:rsidRPr="007512EA">
              <w:rPr>
                <w:rFonts w:ascii="David" w:eastAsia="Calibri" w:hAnsi="David" w:cs="David"/>
                <w:sz w:val="24"/>
                <w:szCs w:val="24"/>
                <w:rtl/>
                <w:lang w:eastAsia="en-US"/>
              </w:rPr>
              <w:t>‏‏</w:t>
            </w:r>
            <w:r>
              <w:rPr>
                <w:rFonts w:ascii="David" w:eastAsia="Calibri" w:hAnsi="David" w:cs="David" w:hint="cs"/>
                <w:sz w:val="24"/>
                <w:szCs w:val="24"/>
                <w:rtl/>
                <w:lang w:eastAsia="en-US"/>
              </w:rPr>
              <w:t>19</w:t>
            </w:r>
            <w:bookmarkStart w:id="0" w:name="_GoBack"/>
            <w:bookmarkEnd w:id="0"/>
            <w:r w:rsidRPr="007512EA">
              <w:rPr>
                <w:rFonts w:ascii="David" w:eastAsia="Calibri" w:hAnsi="David" w:cs="David"/>
                <w:sz w:val="24"/>
                <w:szCs w:val="24"/>
                <w:rtl/>
                <w:lang w:eastAsia="en-US"/>
              </w:rPr>
              <w:t xml:space="preserve"> במרץ, 2020</w:t>
            </w:r>
          </w:p>
        </w:tc>
      </w:tr>
    </w:tbl>
    <w:p w:rsidR="007512EA" w:rsidRPr="007512EA" w:rsidRDefault="007512EA" w:rsidP="007512EA">
      <w:pPr>
        <w:bidi/>
        <w:spacing w:after="200" w:line="276" w:lineRule="auto"/>
        <w:rPr>
          <w:rFonts w:ascii="David" w:eastAsia="Calibri" w:hAnsi="David" w:cs="David"/>
          <w:sz w:val="22"/>
          <w:szCs w:val="22"/>
          <w:rtl/>
          <w:lang w:eastAsia="en-US"/>
        </w:rPr>
      </w:pPr>
    </w:p>
    <w:p w:rsidR="00E10A4E" w:rsidRPr="007512EA" w:rsidRDefault="00E10A4E" w:rsidP="00E10A4E">
      <w:pPr>
        <w:bidi/>
        <w:spacing w:line="360" w:lineRule="auto"/>
        <w:ind w:right="-101"/>
        <w:rPr>
          <w:rFonts w:ascii="David" w:eastAsiaTheme="minorHAnsi" w:hAnsi="David" w:cs="David"/>
          <w:b/>
          <w:bCs/>
          <w:sz w:val="24"/>
          <w:szCs w:val="24"/>
          <w:rtl/>
          <w:lang w:eastAsia="en-US"/>
        </w:rPr>
      </w:pPr>
    </w:p>
    <w:p w:rsidR="00E10A4E" w:rsidRPr="007512EA" w:rsidRDefault="00E10A4E" w:rsidP="007512EA">
      <w:pPr>
        <w:bidi/>
        <w:spacing w:line="360" w:lineRule="auto"/>
        <w:ind w:right="-101"/>
        <w:jc w:val="center"/>
        <w:rPr>
          <w:rFonts w:ascii="David" w:eastAsiaTheme="minorHAnsi" w:hAnsi="David" w:cs="David"/>
          <w:b/>
          <w:bCs/>
          <w:sz w:val="28"/>
          <w:szCs w:val="28"/>
          <w:rtl/>
          <w:lang w:eastAsia="en-US"/>
        </w:rPr>
      </w:pPr>
      <w:r w:rsidRPr="007512EA">
        <w:rPr>
          <w:rFonts w:ascii="David" w:eastAsiaTheme="minorHAnsi" w:hAnsi="David" w:cs="David"/>
          <w:b/>
          <w:bCs/>
          <w:sz w:val="28"/>
          <w:szCs w:val="28"/>
          <w:rtl/>
          <w:lang w:eastAsia="en-US"/>
        </w:rPr>
        <w:t xml:space="preserve">בנק ישראל השיק דף </w:t>
      </w:r>
      <w:r w:rsidR="00F8319B" w:rsidRPr="007512EA">
        <w:rPr>
          <w:rFonts w:ascii="David" w:eastAsiaTheme="minorHAnsi" w:hAnsi="David" w:cs="David"/>
          <w:b/>
          <w:bCs/>
          <w:sz w:val="28"/>
          <w:szCs w:val="28"/>
          <w:rtl/>
          <w:lang w:eastAsia="en-US"/>
        </w:rPr>
        <w:t>ייעודי</w:t>
      </w:r>
      <w:r w:rsidR="00523987" w:rsidRPr="007512EA">
        <w:rPr>
          <w:rFonts w:ascii="David" w:eastAsiaTheme="minorHAnsi" w:hAnsi="David" w:cs="David"/>
          <w:b/>
          <w:bCs/>
          <w:sz w:val="28"/>
          <w:szCs w:val="28"/>
          <w:rtl/>
          <w:lang w:eastAsia="en-US"/>
        </w:rPr>
        <w:t xml:space="preserve"> באתר האינטרנט </w:t>
      </w:r>
      <w:r w:rsidRPr="007512EA">
        <w:rPr>
          <w:rFonts w:ascii="David" w:eastAsiaTheme="minorHAnsi" w:hAnsi="David" w:cs="David"/>
          <w:b/>
          <w:bCs/>
          <w:sz w:val="28"/>
          <w:szCs w:val="28"/>
          <w:rtl/>
          <w:lang w:eastAsia="en-US"/>
        </w:rPr>
        <w:t>בנושא הקורונה</w:t>
      </w:r>
      <w:r w:rsidR="007512EA">
        <w:rPr>
          <w:rFonts w:ascii="David" w:eastAsiaTheme="minorHAnsi" w:hAnsi="David" w:cs="David"/>
          <w:b/>
          <w:bCs/>
          <w:sz w:val="28"/>
          <w:szCs w:val="28"/>
          <w:rtl/>
          <w:lang w:eastAsia="en-US"/>
        </w:rPr>
        <w:t xml:space="preserve"> וסט שאלות ותשובות בנושא בנקאות</w:t>
      </w:r>
    </w:p>
    <w:p w:rsidR="00E10A4E" w:rsidRPr="007512EA" w:rsidRDefault="00E10A4E" w:rsidP="00E10A4E">
      <w:pPr>
        <w:bidi/>
        <w:spacing w:line="360" w:lineRule="auto"/>
        <w:ind w:right="-101"/>
        <w:rPr>
          <w:rFonts w:ascii="David" w:eastAsiaTheme="minorHAnsi" w:hAnsi="David" w:cs="David"/>
          <w:b/>
          <w:bCs/>
          <w:sz w:val="24"/>
          <w:szCs w:val="24"/>
          <w:rtl/>
          <w:lang w:eastAsia="en-US"/>
        </w:rPr>
      </w:pPr>
    </w:p>
    <w:p w:rsidR="00E10A4E" w:rsidRPr="007512EA" w:rsidRDefault="00E10A4E" w:rsidP="00523987">
      <w:pPr>
        <w:shd w:val="clear" w:color="auto" w:fill="FFFFFF"/>
        <w:bidi/>
        <w:spacing w:line="360" w:lineRule="auto"/>
        <w:rPr>
          <w:rFonts w:ascii="David" w:hAnsi="David" w:cs="David"/>
          <w:color w:val="000000"/>
          <w:sz w:val="24"/>
          <w:szCs w:val="24"/>
          <w:rtl/>
          <w:lang w:eastAsia="en-US"/>
        </w:rPr>
      </w:pPr>
      <w:r w:rsidRPr="007512EA">
        <w:rPr>
          <w:rFonts w:ascii="David" w:hAnsi="David" w:cs="David"/>
          <w:color w:val="000000"/>
          <w:sz w:val="24"/>
          <w:szCs w:val="24"/>
          <w:rtl/>
          <w:lang w:eastAsia="en-US"/>
        </w:rPr>
        <w:t>לנוכח התפתחות נגיף הקורונה והשלכותיו על הכלכלה בעולם ובישראל, ובתוך כך על כל משק בית פרטי ועסק, הקים בנק ישראל דף שמרכז את כל המידע שפרסם בנק ישראל בנושא, לרבות ההודעות לעיתונות, ראיונות לתקשורת, כלים מוניטריים, החלטות מדיניות, הוראות למערכת הבנקאית ומידע אודות הסניפים הפעילים והמוקדים הטלפוניים של התאגידים הבנקאיים.</w:t>
      </w:r>
      <w:r w:rsidR="00F8319B" w:rsidRPr="007512EA">
        <w:rPr>
          <w:rFonts w:ascii="David" w:hAnsi="David" w:cs="David"/>
          <w:color w:val="000000"/>
          <w:sz w:val="24"/>
          <w:szCs w:val="24"/>
          <w:rtl/>
          <w:lang w:eastAsia="en-US"/>
        </w:rPr>
        <w:t xml:space="preserve"> מצ"ב </w:t>
      </w:r>
      <w:hyperlink r:id="rId5" w:history="1">
        <w:r w:rsidR="00F8319B" w:rsidRPr="007512EA">
          <w:rPr>
            <w:rStyle w:val="Hyperlink"/>
            <w:rFonts w:ascii="David" w:hAnsi="David" w:cs="David"/>
            <w:sz w:val="24"/>
            <w:szCs w:val="24"/>
            <w:rtl/>
            <w:lang w:eastAsia="en-US"/>
          </w:rPr>
          <w:t>קישור</w:t>
        </w:r>
      </w:hyperlink>
      <w:r w:rsidR="00F8319B" w:rsidRPr="007512EA">
        <w:rPr>
          <w:rFonts w:ascii="David" w:hAnsi="David" w:cs="David"/>
          <w:color w:val="000000"/>
          <w:sz w:val="24"/>
          <w:szCs w:val="24"/>
          <w:rtl/>
          <w:lang w:eastAsia="en-US"/>
        </w:rPr>
        <w:t xml:space="preserve"> לדף.</w:t>
      </w:r>
    </w:p>
    <w:p w:rsidR="00E10A4E" w:rsidRPr="007512EA" w:rsidRDefault="00E10A4E" w:rsidP="00F8319B">
      <w:pPr>
        <w:shd w:val="clear" w:color="auto" w:fill="FFFFFF"/>
        <w:bidi/>
        <w:spacing w:line="360" w:lineRule="auto"/>
        <w:rPr>
          <w:rFonts w:ascii="David" w:hAnsi="David" w:cs="David"/>
          <w:color w:val="000000"/>
          <w:sz w:val="24"/>
          <w:szCs w:val="24"/>
          <w:rtl/>
          <w:lang w:eastAsia="en-US"/>
        </w:rPr>
      </w:pPr>
    </w:p>
    <w:p w:rsidR="00F8319B" w:rsidRPr="007512EA" w:rsidRDefault="00E10A4E" w:rsidP="00F8319B">
      <w:pPr>
        <w:shd w:val="clear" w:color="auto" w:fill="FFFFFF"/>
        <w:bidi/>
        <w:spacing w:line="360" w:lineRule="auto"/>
        <w:rPr>
          <w:rFonts w:ascii="David" w:hAnsi="David" w:cs="David"/>
          <w:color w:val="000000"/>
          <w:sz w:val="24"/>
          <w:szCs w:val="24"/>
          <w:lang w:eastAsia="en-US"/>
        </w:rPr>
      </w:pPr>
      <w:r w:rsidRPr="007512EA">
        <w:rPr>
          <w:rFonts w:ascii="David" w:hAnsi="David" w:cs="David"/>
          <w:color w:val="000000"/>
          <w:sz w:val="24"/>
          <w:szCs w:val="24"/>
          <w:rtl/>
          <w:lang w:eastAsia="en-US"/>
        </w:rPr>
        <w:t xml:space="preserve">בנוסף </w:t>
      </w:r>
      <w:r w:rsidR="00F8319B" w:rsidRPr="007512EA">
        <w:rPr>
          <w:rFonts w:ascii="David" w:hAnsi="David" w:cs="David"/>
          <w:color w:val="000000"/>
          <w:sz w:val="24"/>
          <w:szCs w:val="24"/>
          <w:rtl/>
          <w:lang w:eastAsia="en-US"/>
        </w:rPr>
        <w:t>פרסם הבנק קובץ מרכז של תשובות לשאלות נפוצות הנוגעות להתמודדות משקי בית ועסקים קטנים עם השלכות משבר הקורונה בכל הנוגע להתנהלות מול המערכת הבנקאית</w:t>
      </w:r>
      <w:r w:rsidR="00F8319B" w:rsidRPr="007512EA">
        <w:rPr>
          <w:rFonts w:ascii="David" w:hAnsi="David" w:cs="David"/>
          <w:color w:val="000000"/>
          <w:sz w:val="24"/>
          <w:szCs w:val="24"/>
          <w:lang w:eastAsia="en-US"/>
        </w:rPr>
        <w:t>.</w:t>
      </w:r>
      <w:r w:rsidR="00F8319B" w:rsidRPr="007512EA">
        <w:rPr>
          <w:rFonts w:ascii="David" w:hAnsi="David" w:cs="David"/>
          <w:color w:val="000000"/>
          <w:sz w:val="24"/>
          <w:szCs w:val="24"/>
          <w:rtl/>
          <w:lang w:eastAsia="en-US"/>
        </w:rPr>
        <w:t xml:space="preserve"> המסמך יעודכן ככל שיתווספו נושאים נוספים. מצורף </w:t>
      </w:r>
      <w:hyperlink r:id="rId6" w:history="1">
        <w:r w:rsidR="00F8319B" w:rsidRPr="007512EA">
          <w:rPr>
            <w:rStyle w:val="Hyperlink"/>
            <w:rFonts w:ascii="David" w:hAnsi="David" w:cs="David"/>
            <w:sz w:val="24"/>
            <w:szCs w:val="24"/>
            <w:rtl/>
            <w:lang w:eastAsia="en-US"/>
          </w:rPr>
          <w:t>קישור</w:t>
        </w:r>
      </w:hyperlink>
      <w:r w:rsidR="00F8319B" w:rsidRPr="007512EA">
        <w:rPr>
          <w:rFonts w:ascii="David" w:hAnsi="David" w:cs="David"/>
          <w:color w:val="000000"/>
          <w:sz w:val="24"/>
          <w:szCs w:val="24"/>
          <w:rtl/>
          <w:lang w:eastAsia="en-US"/>
        </w:rPr>
        <w:t xml:space="preserve"> לדף והמסמך עצמו.</w:t>
      </w:r>
    </w:p>
    <w:p w:rsidR="00E10A4E" w:rsidRPr="007512EA" w:rsidRDefault="00E10A4E" w:rsidP="00E10A4E">
      <w:pPr>
        <w:shd w:val="clear" w:color="auto" w:fill="FFFFFF"/>
        <w:rPr>
          <w:rFonts w:ascii="David" w:hAnsi="David" w:cs="David"/>
          <w:color w:val="000000"/>
          <w:sz w:val="21"/>
          <w:szCs w:val="21"/>
          <w:rtl/>
          <w:lang w:eastAsia="en-US"/>
        </w:rPr>
      </w:pPr>
      <w:r w:rsidRPr="007512EA">
        <w:rPr>
          <w:rFonts w:ascii="Arial" w:hAnsi="Arial" w:cs="Arial"/>
          <w:color w:val="000000"/>
          <w:sz w:val="21"/>
          <w:szCs w:val="21"/>
          <w:lang w:eastAsia="en-US"/>
        </w:rPr>
        <w:t>​​​</w:t>
      </w:r>
    </w:p>
    <w:p w:rsidR="00E10A4E" w:rsidRPr="00F8319B" w:rsidRDefault="00E10A4E" w:rsidP="00E10A4E">
      <w:pPr>
        <w:bidi/>
        <w:spacing w:line="360" w:lineRule="auto"/>
        <w:ind w:right="-101"/>
        <w:rPr>
          <w:rFonts w:ascii="Arial" w:hAnsi="Arial" w:cs="Arial"/>
          <w:color w:val="000000"/>
          <w:sz w:val="21"/>
          <w:szCs w:val="21"/>
          <w:rtl/>
          <w:lang w:eastAsia="en-US"/>
        </w:rPr>
      </w:pPr>
    </w:p>
    <w:p w:rsidR="00EB358F" w:rsidRPr="00F8319B" w:rsidRDefault="00EB358F">
      <w:pPr>
        <w:rPr>
          <w:rFonts w:ascii="Arial" w:hAnsi="Arial" w:cs="Arial"/>
          <w:color w:val="000000"/>
          <w:sz w:val="21"/>
          <w:szCs w:val="21"/>
          <w:lang w:eastAsia="en-US"/>
        </w:rPr>
      </w:pPr>
    </w:p>
    <w:sectPr w:rsidR="00EB358F" w:rsidRPr="00F8319B" w:rsidSect="00955B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4E"/>
    <w:rsid w:val="00523987"/>
    <w:rsid w:val="007512EA"/>
    <w:rsid w:val="00955BFD"/>
    <w:rsid w:val="00E10A4E"/>
    <w:rsid w:val="00EB358F"/>
    <w:rsid w:val="00F83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2434"/>
  <w15:chartTrackingRefBased/>
  <w15:docId w15:val="{063136FA-8F17-4C60-A4DC-3D65E011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A4E"/>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83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9322">
      <w:bodyDiv w:val="1"/>
      <w:marLeft w:val="0"/>
      <w:marRight w:val="0"/>
      <w:marTop w:val="0"/>
      <w:marBottom w:val="0"/>
      <w:divBdr>
        <w:top w:val="none" w:sz="0" w:space="0" w:color="auto"/>
        <w:left w:val="none" w:sz="0" w:space="0" w:color="auto"/>
        <w:bottom w:val="none" w:sz="0" w:space="0" w:color="auto"/>
        <w:right w:val="none" w:sz="0" w:space="0" w:color="auto"/>
      </w:divBdr>
      <w:divsChild>
        <w:div w:id="5972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i.org.il/he/BankingSupervision/Pages/SupervisionQandACOVID19VIRUS.aspx" TargetMode="External"/><Relationship Id="rId5" Type="http://schemas.openxmlformats.org/officeDocument/2006/relationships/hyperlink" Target="https://www.boi.org.il/he/Pages/CoronaUpdates.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764</Characters>
  <Application>Microsoft Office Word</Application>
  <DocSecurity>4</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boiuser</dc:creator>
  <cp:keywords/>
  <dc:description/>
  <cp:lastModifiedBy>יפעת כהן סידי</cp:lastModifiedBy>
  <cp:revision>2</cp:revision>
  <dcterms:created xsi:type="dcterms:W3CDTF">2020-03-19T08:58:00Z</dcterms:created>
  <dcterms:modified xsi:type="dcterms:W3CDTF">2020-03-19T08:58:00Z</dcterms:modified>
</cp:coreProperties>
</file>