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78B67" w14:textId="77777777" w:rsidR="00CD72C3" w:rsidRPr="00CD72C3" w:rsidRDefault="00CD72C3" w:rsidP="00CD72C3">
      <w:pPr>
        <w:pStyle w:val="regpar"/>
        <w:spacing w:line="300" w:lineRule="atLeast"/>
        <w:ind w:firstLine="0"/>
        <w:jc w:val="center"/>
        <w:rPr>
          <w:rFonts w:ascii="Calibri" w:hAnsi="Calibri" w:cs="Calibri"/>
          <w:bCs/>
        </w:rPr>
      </w:pPr>
      <w:r w:rsidRPr="00CD72C3">
        <w:rPr>
          <w:rFonts w:ascii="Calibri" w:hAnsi="Calibri" w:cs="Calibri"/>
          <w:noProof/>
        </w:rPr>
        <w:drawing>
          <wp:inline distT="0" distB="0" distL="0" distR="0" wp14:anchorId="5AA918D5" wp14:editId="242A79C6">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7CABDD75" w14:textId="77777777" w:rsidR="00CD72C3" w:rsidRPr="00CD72C3" w:rsidRDefault="00CD72C3" w:rsidP="00CD72C3">
      <w:pPr>
        <w:pStyle w:val="regpar"/>
        <w:spacing w:line="300" w:lineRule="atLeast"/>
        <w:ind w:firstLine="0"/>
        <w:jc w:val="center"/>
        <w:rPr>
          <w:rFonts w:ascii="Calibri" w:hAnsi="Calibri" w:cs="Calibri"/>
          <w:bCs/>
        </w:rPr>
      </w:pPr>
    </w:p>
    <w:p w14:paraId="685BD90C" w14:textId="77777777" w:rsidR="00CD72C3" w:rsidRPr="00CD72C3" w:rsidRDefault="00CD72C3" w:rsidP="00CD72C3">
      <w:pPr>
        <w:pStyle w:val="regpar"/>
        <w:spacing w:line="300" w:lineRule="atLeast"/>
        <w:ind w:firstLine="0"/>
        <w:jc w:val="center"/>
        <w:rPr>
          <w:rFonts w:ascii="Calibri" w:hAnsi="Calibri" w:cs="Calibri"/>
          <w:bCs/>
          <w:sz w:val="22"/>
          <w:szCs w:val="22"/>
        </w:rPr>
      </w:pPr>
      <w:r w:rsidRPr="00CD72C3">
        <w:rPr>
          <w:rFonts w:ascii="Calibri" w:hAnsi="Calibri" w:cs="Calibri"/>
          <w:bCs/>
          <w:sz w:val="22"/>
          <w:szCs w:val="22"/>
        </w:rPr>
        <w:t>BANK OF ISRAEL</w:t>
      </w:r>
    </w:p>
    <w:p w14:paraId="26A291D4" w14:textId="77777777" w:rsidR="00CD72C3" w:rsidRPr="00CD72C3" w:rsidRDefault="00CD72C3" w:rsidP="00CD72C3">
      <w:pPr>
        <w:pStyle w:val="regpar"/>
        <w:spacing w:line="300" w:lineRule="atLeast"/>
        <w:ind w:firstLine="0"/>
        <w:jc w:val="center"/>
        <w:rPr>
          <w:rFonts w:ascii="Calibri" w:hAnsi="Calibri" w:cs="Calibri"/>
          <w:sz w:val="22"/>
          <w:szCs w:val="22"/>
        </w:rPr>
      </w:pPr>
      <w:r w:rsidRPr="00CD72C3">
        <w:rPr>
          <w:rFonts w:ascii="Calibri" w:hAnsi="Calibri" w:cs="Calibri"/>
          <w:sz w:val="22"/>
          <w:szCs w:val="22"/>
        </w:rPr>
        <w:t>Office of the Spokesperson and Economic Information</w:t>
      </w:r>
    </w:p>
    <w:p w14:paraId="45C13E25" w14:textId="77777777" w:rsidR="00CD72C3" w:rsidRPr="00CD72C3" w:rsidRDefault="00CD72C3" w:rsidP="00CD72C3">
      <w:pPr>
        <w:pStyle w:val="regpar"/>
        <w:spacing w:line="300" w:lineRule="atLeast"/>
        <w:ind w:firstLine="0"/>
        <w:jc w:val="center"/>
        <w:rPr>
          <w:rFonts w:ascii="Calibri" w:hAnsi="Calibri" w:cs="Calibri"/>
          <w:sz w:val="22"/>
          <w:szCs w:val="22"/>
        </w:rPr>
      </w:pPr>
    </w:p>
    <w:p w14:paraId="322CCA6F" w14:textId="77777777" w:rsidR="00867523" w:rsidRPr="00CD72C3" w:rsidRDefault="00867523" w:rsidP="00894F88">
      <w:pPr>
        <w:spacing w:after="0" w:line="240" w:lineRule="auto"/>
        <w:jc w:val="center"/>
        <w:rPr>
          <w:rFonts w:ascii="Calibri" w:hAnsi="Calibri" w:cs="Calibri"/>
          <w:b/>
          <w:bCs/>
          <w:sz w:val="24"/>
          <w:szCs w:val="24"/>
          <w:rtl/>
        </w:rPr>
      </w:pPr>
    </w:p>
    <w:p w14:paraId="7B5ECFB3" w14:textId="1D4A1C5C" w:rsidR="00BD6B80" w:rsidRPr="00CD72C3" w:rsidRDefault="007B2236" w:rsidP="00356E1D">
      <w:pPr>
        <w:spacing w:after="0" w:line="240" w:lineRule="auto"/>
        <w:jc w:val="right"/>
        <w:rPr>
          <w:rFonts w:ascii="Calibri" w:hAnsi="Calibri" w:cs="Calibri"/>
          <w:sz w:val="24"/>
          <w:szCs w:val="24"/>
        </w:rPr>
      </w:pPr>
      <w:r w:rsidRPr="00CD72C3">
        <w:rPr>
          <w:rFonts w:ascii="Calibri" w:hAnsi="Calibri" w:cs="Calibri"/>
          <w:sz w:val="24"/>
          <w:szCs w:val="24"/>
        </w:rPr>
        <w:t>Dec</w:t>
      </w:r>
      <w:r w:rsidR="00356E1D" w:rsidRPr="00CD72C3">
        <w:rPr>
          <w:rFonts w:ascii="Calibri" w:hAnsi="Calibri" w:cs="Calibri"/>
          <w:sz w:val="24"/>
          <w:szCs w:val="24"/>
        </w:rPr>
        <w:t>ember</w:t>
      </w:r>
      <w:r w:rsidR="009F4F50" w:rsidRPr="00CD72C3">
        <w:rPr>
          <w:rFonts w:ascii="Calibri" w:hAnsi="Calibri" w:cs="Calibri"/>
          <w:sz w:val="24"/>
          <w:szCs w:val="24"/>
        </w:rPr>
        <w:t xml:space="preserve"> 2</w:t>
      </w:r>
      <w:r w:rsidR="00356E1D" w:rsidRPr="00CD72C3">
        <w:rPr>
          <w:rFonts w:ascii="Calibri" w:hAnsi="Calibri" w:cs="Calibri"/>
          <w:sz w:val="24"/>
          <w:szCs w:val="24"/>
        </w:rPr>
        <w:t>2</w:t>
      </w:r>
      <w:r w:rsidR="009F4F50" w:rsidRPr="00CD72C3">
        <w:rPr>
          <w:rFonts w:ascii="Calibri" w:hAnsi="Calibri" w:cs="Calibri"/>
          <w:sz w:val="24"/>
          <w:szCs w:val="24"/>
        </w:rPr>
        <w:t>, 2024</w:t>
      </w:r>
    </w:p>
    <w:p w14:paraId="7F52FBE3" w14:textId="77777777" w:rsidR="00BD6B80" w:rsidRPr="00CD72C3" w:rsidRDefault="00BD6B80" w:rsidP="00BD6B80">
      <w:pPr>
        <w:spacing w:after="0" w:line="240" w:lineRule="auto"/>
        <w:jc w:val="right"/>
        <w:rPr>
          <w:rFonts w:ascii="Calibri" w:hAnsi="Calibri" w:cs="Calibri"/>
        </w:rPr>
      </w:pPr>
    </w:p>
    <w:p w14:paraId="2D962907" w14:textId="7F9A67C3" w:rsidR="00BD6B80" w:rsidRPr="00CD72C3" w:rsidRDefault="00BD6B80" w:rsidP="00BD6B80">
      <w:pPr>
        <w:pStyle w:val="PressReleaseTitle"/>
        <w:jc w:val="left"/>
        <w:rPr>
          <w:rFonts w:ascii="Calibri" w:hAnsi="Calibri" w:cs="Calibri"/>
        </w:rPr>
      </w:pPr>
      <w:r w:rsidRPr="00CD72C3">
        <w:rPr>
          <w:rFonts w:ascii="Calibri" w:hAnsi="Calibri" w:cs="Calibri"/>
        </w:rPr>
        <w:t>Press Release</w:t>
      </w:r>
      <w:r w:rsidR="00614C9D" w:rsidRPr="00CD72C3">
        <w:rPr>
          <w:rFonts w:ascii="Calibri" w:hAnsi="Calibri" w:cs="Calibri"/>
        </w:rPr>
        <w:t>:</w:t>
      </w:r>
    </w:p>
    <w:p w14:paraId="74B0CB3B" w14:textId="77777777" w:rsidR="00BD6B80" w:rsidRPr="00CD72C3" w:rsidRDefault="00BD6B80" w:rsidP="00BD6B80">
      <w:pPr>
        <w:pStyle w:val="PressReleaseTitle"/>
        <w:rPr>
          <w:rFonts w:ascii="Calibri" w:hAnsi="Calibri" w:cs="Calibri"/>
        </w:rPr>
      </w:pPr>
    </w:p>
    <w:p w14:paraId="3D718088" w14:textId="77777777" w:rsidR="00BD6B80" w:rsidRPr="00CD72C3" w:rsidRDefault="00BD6B80" w:rsidP="00BD6B80">
      <w:pPr>
        <w:pStyle w:val="PressReleaseTitle"/>
        <w:rPr>
          <w:rFonts w:ascii="Calibri" w:hAnsi="Calibri" w:cs="Calibri"/>
          <w:sz w:val="32"/>
          <w:szCs w:val="32"/>
        </w:rPr>
      </w:pPr>
      <w:r w:rsidRPr="00CD72C3">
        <w:rPr>
          <w:rFonts w:ascii="Calibri" w:hAnsi="Calibri" w:cs="Calibri"/>
          <w:sz w:val="32"/>
          <w:szCs w:val="32"/>
        </w:rPr>
        <w:t xml:space="preserve">Debt Developments in the Nonfinancial Private Sector, </w:t>
      </w:r>
    </w:p>
    <w:p w14:paraId="465CC30A" w14:textId="21E147BC" w:rsidR="00BD6B80" w:rsidRPr="00CD72C3" w:rsidRDefault="007B2236" w:rsidP="009F4F50">
      <w:pPr>
        <w:pStyle w:val="PressReleaseTitle"/>
        <w:rPr>
          <w:rFonts w:ascii="Calibri" w:hAnsi="Calibri" w:cs="Calibri"/>
          <w:b w:val="0"/>
          <w:bCs w:val="0"/>
          <w:sz w:val="40"/>
          <w:szCs w:val="40"/>
        </w:rPr>
      </w:pPr>
      <w:r w:rsidRPr="00CD72C3">
        <w:rPr>
          <w:rFonts w:ascii="Calibri" w:hAnsi="Calibri" w:cs="Calibri"/>
          <w:sz w:val="32"/>
          <w:szCs w:val="32"/>
        </w:rPr>
        <w:t>Third</w:t>
      </w:r>
      <w:r w:rsidR="009F4F50" w:rsidRPr="00CD72C3">
        <w:rPr>
          <w:rFonts w:ascii="Calibri" w:hAnsi="Calibri" w:cs="Calibri"/>
          <w:sz w:val="32"/>
          <w:szCs w:val="32"/>
        </w:rPr>
        <w:t xml:space="preserve"> </w:t>
      </w:r>
      <w:r w:rsidR="001435F1" w:rsidRPr="00CD72C3">
        <w:rPr>
          <w:rFonts w:ascii="Calibri" w:hAnsi="Calibri" w:cs="Calibri"/>
          <w:sz w:val="32"/>
          <w:szCs w:val="32"/>
        </w:rPr>
        <w:t>Q</w:t>
      </w:r>
      <w:r w:rsidR="00C8124F" w:rsidRPr="00CD72C3">
        <w:rPr>
          <w:rFonts w:ascii="Calibri" w:hAnsi="Calibri" w:cs="Calibri"/>
          <w:sz w:val="32"/>
          <w:szCs w:val="32"/>
        </w:rPr>
        <w:t>uarter</w:t>
      </w:r>
      <w:r w:rsidR="00BD6B80" w:rsidRPr="00CD72C3">
        <w:rPr>
          <w:rFonts w:ascii="Calibri" w:hAnsi="Calibri" w:cs="Calibri"/>
          <w:sz w:val="32"/>
          <w:szCs w:val="32"/>
        </w:rPr>
        <w:t xml:space="preserve"> of </w:t>
      </w:r>
      <w:r w:rsidR="004040B7" w:rsidRPr="00CD72C3">
        <w:rPr>
          <w:rFonts w:ascii="Calibri" w:hAnsi="Calibri" w:cs="Calibri"/>
          <w:sz w:val="32"/>
          <w:szCs w:val="32"/>
        </w:rPr>
        <w:t>202</w:t>
      </w:r>
      <w:r w:rsidR="009F4F50" w:rsidRPr="00CD72C3">
        <w:rPr>
          <w:rFonts w:ascii="Calibri" w:hAnsi="Calibri" w:cs="Calibri"/>
          <w:sz w:val="32"/>
          <w:szCs w:val="32"/>
        </w:rPr>
        <w:t>4</w:t>
      </w:r>
    </w:p>
    <w:p w14:paraId="6FB3241B" w14:textId="212830A3" w:rsidR="00BD6B80" w:rsidRPr="00CD72C3" w:rsidRDefault="00BD6B80" w:rsidP="00BD6B80">
      <w:pPr>
        <w:spacing w:after="0" w:line="240" w:lineRule="auto"/>
        <w:rPr>
          <w:rFonts w:ascii="Calibri" w:hAnsi="Calibri" w:cs="Calibri"/>
          <w:sz w:val="24"/>
          <w:szCs w:val="24"/>
        </w:rPr>
      </w:pPr>
    </w:p>
    <w:p w14:paraId="060C637C" w14:textId="77777777" w:rsidR="006E3D12" w:rsidRPr="00CD72C3" w:rsidRDefault="006E3D12" w:rsidP="00407985">
      <w:pPr>
        <w:spacing w:after="0" w:line="240" w:lineRule="auto"/>
        <w:jc w:val="both"/>
        <w:rPr>
          <w:rFonts w:ascii="Calibri" w:hAnsi="Calibri" w:cs="Calibri"/>
          <w:sz w:val="24"/>
          <w:szCs w:val="24"/>
        </w:rPr>
      </w:pPr>
    </w:p>
    <w:p w14:paraId="467D18F8" w14:textId="1F147FBF" w:rsidR="00BD6B80" w:rsidRPr="00CD72C3" w:rsidRDefault="00356E1D" w:rsidP="007B2236">
      <w:pPr>
        <w:spacing w:after="0" w:line="240" w:lineRule="auto"/>
        <w:jc w:val="both"/>
        <w:rPr>
          <w:rFonts w:ascii="Calibri" w:hAnsi="Calibri" w:cs="Calibri"/>
          <w:sz w:val="24"/>
          <w:szCs w:val="24"/>
        </w:rPr>
      </w:pPr>
      <w:r w:rsidRPr="00CD72C3">
        <w:rPr>
          <w:rFonts w:ascii="Calibri" w:hAnsi="Calibri" w:cs="Calibri"/>
          <w:sz w:val="24"/>
          <w:szCs w:val="24"/>
        </w:rPr>
        <w:t>The f</w:t>
      </w:r>
      <w:r w:rsidR="00355962" w:rsidRPr="00CD72C3">
        <w:rPr>
          <w:rFonts w:ascii="Calibri" w:hAnsi="Calibri" w:cs="Calibri"/>
          <w:sz w:val="24"/>
          <w:szCs w:val="24"/>
        </w:rPr>
        <w:t>ollowing is a summary of developments in nonfinancial private sector debt</w:t>
      </w:r>
      <w:r w:rsidR="009304FA" w:rsidRPr="00CD72C3">
        <w:rPr>
          <w:rFonts w:ascii="Calibri" w:hAnsi="Calibri" w:cs="Calibri"/>
          <w:sz w:val="24"/>
          <w:szCs w:val="24"/>
        </w:rPr>
        <w:t xml:space="preserve"> </w:t>
      </w:r>
      <w:r w:rsidR="00355962" w:rsidRPr="00CD72C3">
        <w:rPr>
          <w:rFonts w:ascii="Calibri" w:hAnsi="Calibri" w:cs="Calibri"/>
          <w:sz w:val="24"/>
          <w:szCs w:val="24"/>
        </w:rPr>
        <w:t xml:space="preserve">in the </w:t>
      </w:r>
      <w:r w:rsidR="007B2236" w:rsidRPr="00CD72C3">
        <w:rPr>
          <w:rFonts w:ascii="Calibri" w:hAnsi="Calibri" w:cs="Calibri"/>
          <w:sz w:val="24"/>
          <w:szCs w:val="24"/>
        </w:rPr>
        <w:t>third</w:t>
      </w:r>
      <w:r w:rsidR="00596A54" w:rsidRPr="00CD72C3">
        <w:rPr>
          <w:rFonts w:ascii="Calibri" w:hAnsi="Calibri" w:cs="Calibri"/>
          <w:sz w:val="24"/>
          <w:szCs w:val="24"/>
        </w:rPr>
        <w:t xml:space="preserve"> </w:t>
      </w:r>
      <w:r w:rsidR="006E3D12" w:rsidRPr="00CD72C3">
        <w:rPr>
          <w:rFonts w:ascii="Calibri" w:hAnsi="Calibri" w:cs="Calibri"/>
          <w:sz w:val="24"/>
          <w:szCs w:val="24"/>
        </w:rPr>
        <w:t>quarter</w:t>
      </w:r>
      <w:r w:rsidR="00355962" w:rsidRPr="00CD72C3">
        <w:rPr>
          <w:rFonts w:ascii="Calibri" w:hAnsi="Calibri" w:cs="Calibri"/>
          <w:sz w:val="24"/>
          <w:szCs w:val="24"/>
        </w:rPr>
        <w:t xml:space="preserve"> of </w:t>
      </w:r>
      <w:r w:rsidR="00BA6F38" w:rsidRPr="00CD72C3">
        <w:rPr>
          <w:rFonts w:ascii="Calibri" w:hAnsi="Calibri" w:cs="Calibri"/>
          <w:sz w:val="24"/>
          <w:szCs w:val="24"/>
        </w:rPr>
        <w:t>202</w:t>
      </w:r>
      <w:r w:rsidR="00596A54" w:rsidRPr="00CD72C3">
        <w:rPr>
          <w:rFonts w:ascii="Calibri" w:hAnsi="Calibri" w:cs="Calibri"/>
          <w:sz w:val="24"/>
          <w:szCs w:val="24"/>
        </w:rPr>
        <w:t>4</w:t>
      </w:r>
      <w:r w:rsidR="006B46BE" w:rsidRPr="00CD72C3">
        <w:rPr>
          <w:rFonts w:ascii="Calibri" w:hAnsi="Calibri" w:cs="Calibri"/>
          <w:sz w:val="24"/>
          <w:szCs w:val="24"/>
        </w:rPr>
        <w:t>:</w:t>
      </w:r>
    </w:p>
    <w:p w14:paraId="4833B0FE" w14:textId="77777777" w:rsidR="006B46BE" w:rsidRPr="00CD72C3" w:rsidRDefault="006B46BE" w:rsidP="00BD6B80">
      <w:pPr>
        <w:spacing w:after="0" w:line="240" w:lineRule="auto"/>
        <w:jc w:val="both"/>
        <w:rPr>
          <w:rFonts w:ascii="Calibri" w:hAnsi="Calibri" w:cs="Calibri"/>
          <w:sz w:val="24"/>
          <w:szCs w:val="24"/>
        </w:rPr>
      </w:pPr>
    </w:p>
    <w:p w14:paraId="1FCB464A" w14:textId="29673310" w:rsidR="00930C80" w:rsidRPr="00CD72C3" w:rsidRDefault="006E3D12" w:rsidP="007B2236">
      <w:pPr>
        <w:pStyle w:val="a3"/>
        <w:numPr>
          <w:ilvl w:val="0"/>
          <w:numId w:val="5"/>
        </w:numPr>
        <w:spacing w:after="0" w:line="240" w:lineRule="auto"/>
        <w:ind w:left="426"/>
        <w:jc w:val="both"/>
        <w:rPr>
          <w:rFonts w:ascii="Calibri" w:hAnsi="Calibri" w:cs="Calibri"/>
          <w:sz w:val="24"/>
          <w:szCs w:val="24"/>
        </w:rPr>
      </w:pPr>
      <w:r w:rsidRPr="00CD72C3">
        <w:rPr>
          <w:rFonts w:ascii="Calibri" w:hAnsi="Calibri" w:cs="Calibri"/>
          <w:sz w:val="24"/>
          <w:szCs w:val="24"/>
        </w:rPr>
        <w:t xml:space="preserve">In the </w:t>
      </w:r>
      <w:r w:rsidR="007B2236" w:rsidRPr="00CD72C3">
        <w:rPr>
          <w:rFonts w:ascii="Calibri" w:hAnsi="Calibri" w:cs="Calibri"/>
          <w:sz w:val="24"/>
          <w:szCs w:val="24"/>
        </w:rPr>
        <w:t>third quarter</w:t>
      </w:r>
      <w:r w:rsidRPr="00CD72C3">
        <w:rPr>
          <w:rFonts w:ascii="Calibri" w:hAnsi="Calibri" w:cs="Calibri"/>
          <w:sz w:val="24"/>
          <w:szCs w:val="24"/>
        </w:rPr>
        <w:t xml:space="preserve"> of 202</w:t>
      </w:r>
      <w:r w:rsidR="00596A54" w:rsidRPr="00CD72C3">
        <w:rPr>
          <w:rFonts w:ascii="Calibri" w:hAnsi="Calibri" w:cs="Calibri"/>
          <w:sz w:val="24"/>
          <w:szCs w:val="24"/>
        </w:rPr>
        <w:t>4</w:t>
      </w:r>
      <w:r w:rsidRPr="00CD72C3">
        <w:rPr>
          <w:rFonts w:ascii="Calibri" w:hAnsi="Calibri" w:cs="Calibri"/>
          <w:sz w:val="24"/>
          <w:szCs w:val="24"/>
        </w:rPr>
        <w:t>,</w:t>
      </w:r>
      <w:r w:rsidR="00596A54" w:rsidRPr="00CD72C3">
        <w:rPr>
          <w:rFonts w:ascii="Calibri" w:hAnsi="Calibri" w:cs="Calibri"/>
          <w:sz w:val="24"/>
          <w:szCs w:val="24"/>
        </w:rPr>
        <w:t xml:space="preserve"> </w:t>
      </w:r>
      <w:r w:rsidRPr="00CD72C3">
        <w:rPr>
          <w:rFonts w:ascii="Calibri" w:hAnsi="Calibri" w:cs="Calibri"/>
          <w:sz w:val="24"/>
          <w:szCs w:val="24"/>
        </w:rPr>
        <w:t xml:space="preserve">the </w:t>
      </w:r>
      <w:r w:rsidR="001246EE" w:rsidRPr="00CD72C3">
        <w:rPr>
          <w:rFonts w:ascii="Calibri" w:hAnsi="Calibri" w:cs="Calibri"/>
          <w:sz w:val="24"/>
          <w:szCs w:val="24"/>
        </w:rPr>
        <w:t xml:space="preserve">balance of </w:t>
      </w:r>
      <w:r w:rsidR="001435F1" w:rsidRPr="00CD72C3">
        <w:rPr>
          <w:rFonts w:ascii="Calibri" w:hAnsi="Calibri" w:cs="Calibri"/>
          <w:b/>
          <w:bCs/>
          <w:sz w:val="24"/>
          <w:szCs w:val="24"/>
        </w:rPr>
        <w:t>nonfinancial private</w:t>
      </w:r>
      <w:r w:rsidR="001246EE" w:rsidRPr="00CD72C3">
        <w:rPr>
          <w:rFonts w:ascii="Calibri" w:hAnsi="Calibri" w:cs="Calibri"/>
          <w:b/>
          <w:bCs/>
          <w:sz w:val="24"/>
          <w:szCs w:val="24"/>
        </w:rPr>
        <w:t xml:space="preserve"> sector debt</w:t>
      </w:r>
      <w:r w:rsidRPr="00CD72C3">
        <w:rPr>
          <w:rFonts w:ascii="Calibri" w:hAnsi="Calibri" w:cs="Calibri"/>
          <w:b/>
          <w:bCs/>
          <w:sz w:val="24"/>
          <w:szCs w:val="24"/>
        </w:rPr>
        <w:t xml:space="preserve"> </w:t>
      </w:r>
      <w:r w:rsidR="007B2236" w:rsidRPr="00CD72C3">
        <w:rPr>
          <w:rFonts w:ascii="Calibri" w:hAnsi="Calibri" w:cs="Calibri"/>
          <w:b/>
          <w:bCs/>
          <w:sz w:val="24"/>
          <w:szCs w:val="24"/>
        </w:rPr>
        <w:t>(both</w:t>
      </w:r>
      <w:r w:rsidR="007B2236" w:rsidRPr="00CD72C3">
        <w:rPr>
          <w:rFonts w:ascii="Calibri" w:hAnsi="Calibri" w:cs="Calibri"/>
          <w:sz w:val="24"/>
          <w:szCs w:val="24"/>
        </w:rPr>
        <w:t xml:space="preserve"> </w:t>
      </w:r>
      <w:r w:rsidR="007B2236" w:rsidRPr="00CD72C3">
        <w:rPr>
          <w:rFonts w:ascii="Calibri" w:hAnsi="Calibri" w:cs="Calibri"/>
          <w:b/>
          <w:bCs/>
          <w:sz w:val="24"/>
          <w:szCs w:val="24"/>
        </w:rPr>
        <w:t xml:space="preserve">business and household) </w:t>
      </w:r>
      <w:r w:rsidR="00D20DD7" w:rsidRPr="00CD72C3">
        <w:rPr>
          <w:rFonts w:ascii="Calibri" w:hAnsi="Calibri" w:cs="Calibri"/>
          <w:sz w:val="24"/>
          <w:szCs w:val="24"/>
        </w:rPr>
        <w:t>increase</w:t>
      </w:r>
      <w:r w:rsidR="00356E1D" w:rsidRPr="00CD72C3">
        <w:rPr>
          <w:rFonts w:ascii="Calibri" w:hAnsi="Calibri" w:cs="Calibri"/>
          <w:sz w:val="24"/>
          <w:szCs w:val="24"/>
        </w:rPr>
        <w:t>d</w:t>
      </w:r>
      <w:r w:rsidR="00D20DD7" w:rsidRPr="00CD72C3">
        <w:rPr>
          <w:rFonts w:ascii="Calibri" w:hAnsi="Calibri" w:cs="Calibri"/>
          <w:sz w:val="24"/>
          <w:szCs w:val="24"/>
        </w:rPr>
        <w:t xml:space="preserve">, </w:t>
      </w:r>
      <w:r w:rsidR="001246EE" w:rsidRPr="00CD72C3">
        <w:rPr>
          <w:rFonts w:ascii="Calibri" w:hAnsi="Calibri" w:cs="Calibri"/>
          <w:sz w:val="24"/>
          <w:szCs w:val="24"/>
        </w:rPr>
        <w:t>by</w:t>
      </w:r>
      <w:r w:rsidR="00416276" w:rsidRPr="00CD72C3">
        <w:rPr>
          <w:rFonts w:ascii="Calibri" w:hAnsi="Calibri" w:cs="Calibri"/>
          <w:sz w:val="24"/>
          <w:szCs w:val="24"/>
        </w:rPr>
        <w:t xml:space="preserve"> </w:t>
      </w:r>
      <w:r w:rsidR="003506A9" w:rsidRPr="00CD72C3">
        <w:rPr>
          <w:rFonts w:ascii="Calibri" w:hAnsi="Calibri" w:cs="Calibri"/>
          <w:sz w:val="24"/>
          <w:szCs w:val="24"/>
        </w:rPr>
        <w:t xml:space="preserve">approximately </w:t>
      </w:r>
      <w:r w:rsidR="007B2236" w:rsidRPr="00CD72C3">
        <w:rPr>
          <w:rFonts w:ascii="Calibri" w:hAnsi="Calibri" w:cs="Calibri"/>
          <w:sz w:val="24"/>
          <w:szCs w:val="24"/>
        </w:rPr>
        <w:t>3</w:t>
      </w:r>
      <w:r w:rsidR="00D20DD7" w:rsidRPr="00CD72C3">
        <w:rPr>
          <w:rFonts w:ascii="Calibri" w:hAnsi="Calibri" w:cs="Calibri"/>
          <w:sz w:val="24"/>
          <w:szCs w:val="24"/>
        </w:rPr>
        <w:t xml:space="preserve"> </w:t>
      </w:r>
      <w:r w:rsidR="00D3526C" w:rsidRPr="00CD72C3">
        <w:rPr>
          <w:rFonts w:ascii="Calibri" w:hAnsi="Calibri" w:cs="Calibri"/>
          <w:sz w:val="24"/>
          <w:szCs w:val="24"/>
        </w:rPr>
        <w:t>percent</w:t>
      </w:r>
      <w:r w:rsidR="007B2236" w:rsidRPr="00CD72C3">
        <w:rPr>
          <w:rFonts w:ascii="Calibri" w:hAnsi="Calibri" w:cs="Calibri"/>
          <w:sz w:val="24"/>
          <w:szCs w:val="24"/>
        </w:rPr>
        <w:t xml:space="preserve"> to about NIS 2.2 trillion</w:t>
      </w:r>
      <w:r w:rsidR="00356E1D" w:rsidRPr="00CD72C3">
        <w:rPr>
          <w:rFonts w:ascii="Calibri" w:hAnsi="Calibri" w:cs="Calibri"/>
          <w:sz w:val="24"/>
          <w:szCs w:val="24"/>
        </w:rPr>
        <w:t>.</w:t>
      </w:r>
      <w:r w:rsidR="00930C80" w:rsidRPr="00CD72C3">
        <w:rPr>
          <w:rFonts w:ascii="Calibri" w:hAnsi="Calibri" w:cs="Calibri"/>
          <w:sz w:val="24"/>
          <w:szCs w:val="24"/>
        </w:rPr>
        <w:t xml:space="preserve"> </w:t>
      </w:r>
      <w:r w:rsidR="00356E1D" w:rsidRPr="00CD72C3">
        <w:rPr>
          <w:rFonts w:ascii="Calibri" w:hAnsi="Calibri" w:cs="Calibri"/>
          <w:sz w:val="24"/>
          <w:szCs w:val="24"/>
        </w:rPr>
        <w:t>The annual growth rate of outstanding debt</w:t>
      </w:r>
      <w:r w:rsidR="007B2236" w:rsidRPr="00CD72C3">
        <w:rPr>
          <w:rFonts w:ascii="Calibri" w:hAnsi="Calibri" w:cs="Calibri"/>
          <w:sz w:val="24"/>
          <w:szCs w:val="24"/>
        </w:rPr>
        <w:t xml:space="preserve"> increased to about 5 percent</w:t>
      </w:r>
      <w:r w:rsidR="00356E1D" w:rsidRPr="00CD72C3">
        <w:rPr>
          <w:rFonts w:ascii="Calibri" w:hAnsi="Calibri" w:cs="Calibri"/>
          <w:sz w:val="24"/>
          <w:szCs w:val="24"/>
        </w:rPr>
        <w:t>,</w:t>
      </w:r>
      <w:r w:rsidR="007B2236" w:rsidRPr="00CD72C3">
        <w:rPr>
          <w:rFonts w:ascii="Calibri" w:hAnsi="Calibri" w:cs="Calibri"/>
          <w:sz w:val="24"/>
          <w:szCs w:val="24"/>
        </w:rPr>
        <w:t xml:space="preserve"> following a downward trend that</w:t>
      </w:r>
      <w:r w:rsidR="00356E1D" w:rsidRPr="00CD72C3">
        <w:rPr>
          <w:rFonts w:ascii="Calibri" w:hAnsi="Calibri" w:cs="Calibri"/>
          <w:sz w:val="24"/>
          <w:szCs w:val="24"/>
        </w:rPr>
        <w:t xml:space="preserve"> began in the second half of 2022.</w:t>
      </w:r>
      <w:r w:rsidR="007B2236" w:rsidRPr="00CD72C3">
        <w:rPr>
          <w:rFonts w:ascii="Calibri" w:hAnsi="Calibri" w:cs="Calibri"/>
          <w:sz w:val="24"/>
          <w:szCs w:val="24"/>
        </w:rPr>
        <w:t xml:space="preserve">  This rate is lower than the growth rates recorded in previous years.</w:t>
      </w:r>
      <w:r w:rsidR="00356E1D" w:rsidRPr="00CD72C3">
        <w:rPr>
          <w:rFonts w:ascii="Calibri" w:hAnsi="Calibri" w:cs="Calibri"/>
          <w:sz w:val="24"/>
          <w:szCs w:val="24"/>
        </w:rPr>
        <w:t xml:space="preserve"> </w:t>
      </w:r>
    </w:p>
    <w:p w14:paraId="63F782D8" w14:textId="2752E8D3" w:rsidR="001435F1" w:rsidRPr="00CD72C3" w:rsidRDefault="001435F1" w:rsidP="007B2236">
      <w:pPr>
        <w:pStyle w:val="a3"/>
        <w:numPr>
          <w:ilvl w:val="0"/>
          <w:numId w:val="5"/>
        </w:numPr>
        <w:spacing w:after="0" w:line="240" w:lineRule="auto"/>
        <w:ind w:left="426"/>
        <w:jc w:val="both"/>
        <w:rPr>
          <w:rFonts w:ascii="Calibri" w:hAnsi="Calibri" w:cs="Calibri"/>
          <w:sz w:val="24"/>
          <w:szCs w:val="24"/>
        </w:rPr>
      </w:pPr>
      <w:r w:rsidRPr="00CD72C3">
        <w:rPr>
          <w:rFonts w:ascii="Calibri" w:hAnsi="Calibri" w:cs="Calibri"/>
          <w:sz w:val="24"/>
          <w:szCs w:val="24"/>
        </w:rPr>
        <w:t xml:space="preserve">The balance of </w:t>
      </w:r>
      <w:r w:rsidRPr="00CD72C3">
        <w:rPr>
          <w:rFonts w:ascii="Calibri" w:hAnsi="Calibri" w:cs="Calibri"/>
          <w:b/>
          <w:bCs/>
          <w:sz w:val="24"/>
          <w:szCs w:val="24"/>
        </w:rPr>
        <w:t>business sector</w:t>
      </w:r>
      <w:r w:rsidRPr="00CD72C3">
        <w:rPr>
          <w:rFonts w:ascii="Calibri" w:hAnsi="Calibri" w:cs="Calibri"/>
          <w:sz w:val="24"/>
          <w:szCs w:val="24"/>
        </w:rPr>
        <w:t xml:space="preserve"> debt </w:t>
      </w:r>
      <w:r w:rsidR="00930C80" w:rsidRPr="00CD72C3">
        <w:rPr>
          <w:rFonts w:ascii="Calibri" w:hAnsi="Calibri" w:cs="Calibri"/>
          <w:sz w:val="24"/>
          <w:szCs w:val="24"/>
        </w:rPr>
        <w:t xml:space="preserve">increased </w:t>
      </w:r>
      <w:r w:rsidRPr="00CD72C3">
        <w:rPr>
          <w:rFonts w:ascii="Calibri" w:hAnsi="Calibri" w:cs="Calibri"/>
          <w:sz w:val="24"/>
          <w:szCs w:val="24"/>
        </w:rPr>
        <w:t xml:space="preserve">by about </w:t>
      </w:r>
      <w:r w:rsidR="007B2236" w:rsidRPr="00CD72C3">
        <w:rPr>
          <w:rFonts w:ascii="Calibri" w:hAnsi="Calibri" w:cs="Calibri"/>
          <w:sz w:val="24"/>
          <w:szCs w:val="24"/>
        </w:rPr>
        <w:t>3</w:t>
      </w:r>
      <w:r w:rsidR="00930C80" w:rsidRPr="00CD72C3">
        <w:rPr>
          <w:rFonts w:ascii="Calibri" w:hAnsi="Calibri" w:cs="Calibri"/>
          <w:sz w:val="24"/>
          <w:szCs w:val="24"/>
        </w:rPr>
        <w:t xml:space="preserve"> </w:t>
      </w:r>
      <w:r w:rsidRPr="00CD72C3">
        <w:rPr>
          <w:rFonts w:ascii="Calibri" w:hAnsi="Calibri" w:cs="Calibri"/>
          <w:sz w:val="24"/>
          <w:szCs w:val="24"/>
        </w:rPr>
        <w:t xml:space="preserve">percent (about NIS </w:t>
      </w:r>
      <w:r w:rsidR="007B2236" w:rsidRPr="00CD72C3">
        <w:rPr>
          <w:rFonts w:ascii="Calibri" w:hAnsi="Calibri" w:cs="Calibri"/>
          <w:sz w:val="24"/>
          <w:szCs w:val="24"/>
        </w:rPr>
        <w:t>40</w:t>
      </w:r>
      <w:r w:rsidRPr="00CD72C3">
        <w:rPr>
          <w:rFonts w:ascii="Calibri" w:hAnsi="Calibri" w:cs="Calibri"/>
          <w:sz w:val="24"/>
          <w:szCs w:val="24"/>
        </w:rPr>
        <w:t xml:space="preserve"> billion) during the quarter, to about NIS 1.</w:t>
      </w:r>
      <w:r w:rsidR="007B2236" w:rsidRPr="00CD72C3">
        <w:rPr>
          <w:rFonts w:ascii="Calibri" w:hAnsi="Calibri" w:cs="Calibri"/>
          <w:sz w:val="24"/>
          <w:szCs w:val="24"/>
        </w:rPr>
        <w:t>4</w:t>
      </w:r>
      <w:r w:rsidRPr="00CD72C3">
        <w:rPr>
          <w:rFonts w:ascii="Calibri" w:hAnsi="Calibri" w:cs="Calibri"/>
          <w:sz w:val="24"/>
          <w:szCs w:val="24"/>
        </w:rPr>
        <w:t xml:space="preserve"> trillion. This was mainly due to </w:t>
      </w:r>
      <w:r w:rsidR="00C662A6" w:rsidRPr="00CD72C3">
        <w:rPr>
          <w:rFonts w:ascii="Calibri" w:hAnsi="Calibri" w:cs="Calibri"/>
          <w:sz w:val="24"/>
          <w:szCs w:val="24"/>
        </w:rPr>
        <w:t xml:space="preserve">net debt </w:t>
      </w:r>
      <w:r w:rsidR="00930C80" w:rsidRPr="00CD72C3">
        <w:rPr>
          <w:rFonts w:ascii="Calibri" w:hAnsi="Calibri" w:cs="Calibri"/>
          <w:sz w:val="24"/>
          <w:szCs w:val="24"/>
        </w:rPr>
        <w:t>raised via bank loans</w:t>
      </w:r>
      <w:r w:rsidR="007B2236" w:rsidRPr="00CD72C3">
        <w:rPr>
          <w:rFonts w:ascii="Calibri" w:hAnsi="Calibri" w:cs="Calibri"/>
          <w:sz w:val="24"/>
          <w:szCs w:val="24"/>
        </w:rPr>
        <w:t xml:space="preserve">, which were concentrated in the large business segment, </w:t>
      </w:r>
      <w:r w:rsidR="00356E1D" w:rsidRPr="00CD72C3">
        <w:rPr>
          <w:rFonts w:ascii="Calibri" w:hAnsi="Calibri" w:cs="Calibri"/>
          <w:sz w:val="24"/>
          <w:szCs w:val="24"/>
        </w:rPr>
        <w:t xml:space="preserve">and </w:t>
      </w:r>
      <w:r w:rsidR="007B2236" w:rsidRPr="00CD72C3">
        <w:rPr>
          <w:rFonts w:ascii="Calibri" w:hAnsi="Calibri" w:cs="Calibri"/>
          <w:sz w:val="24"/>
          <w:szCs w:val="24"/>
        </w:rPr>
        <w:t xml:space="preserve">debt raised </w:t>
      </w:r>
      <w:r w:rsidR="00356E1D" w:rsidRPr="00CD72C3">
        <w:rPr>
          <w:rFonts w:ascii="Calibri" w:hAnsi="Calibri" w:cs="Calibri"/>
          <w:sz w:val="24"/>
          <w:szCs w:val="24"/>
        </w:rPr>
        <w:t xml:space="preserve">through </w:t>
      </w:r>
      <w:r w:rsidR="00846122" w:rsidRPr="00CD72C3">
        <w:rPr>
          <w:rFonts w:ascii="Calibri" w:hAnsi="Calibri" w:cs="Calibri"/>
          <w:sz w:val="24"/>
          <w:szCs w:val="24"/>
        </w:rPr>
        <w:t xml:space="preserve">tradable bonds in </w:t>
      </w:r>
      <w:r w:rsidR="007B2236" w:rsidRPr="00CD72C3">
        <w:rPr>
          <w:rFonts w:ascii="Calibri" w:hAnsi="Calibri" w:cs="Calibri"/>
          <w:sz w:val="24"/>
          <w:szCs w:val="24"/>
        </w:rPr>
        <w:t>Israel</w:t>
      </w:r>
      <w:r w:rsidR="00930C80" w:rsidRPr="00CD72C3">
        <w:rPr>
          <w:rFonts w:ascii="Calibri" w:hAnsi="Calibri" w:cs="Calibri"/>
          <w:sz w:val="24"/>
          <w:szCs w:val="24"/>
        </w:rPr>
        <w:t>.</w:t>
      </w:r>
    </w:p>
    <w:p w14:paraId="4F08B9A5" w14:textId="26040789" w:rsidR="00356E1D" w:rsidRPr="00CD72C3" w:rsidRDefault="00356E1D" w:rsidP="007B2236">
      <w:pPr>
        <w:pStyle w:val="a3"/>
        <w:numPr>
          <w:ilvl w:val="0"/>
          <w:numId w:val="5"/>
        </w:numPr>
        <w:spacing w:after="0" w:line="240" w:lineRule="auto"/>
        <w:ind w:left="426"/>
        <w:jc w:val="both"/>
        <w:rPr>
          <w:rFonts w:ascii="Calibri" w:hAnsi="Calibri" w:cs="Calibri"/>
          <w:sz w:val="24"/>
          <w:szCs w:val="24"/>
        </w:rPr>
      </w:pPr>
      <w:r w:rsidRPr="00CD72C3">
        <w:rPr>
          <w:rFonts w:ascii="Calibri" w:hAnsi="Calibri" w:cs="Calibri"/>
          <w:sz w:val="24"/>
          <w:szCs w:val="24"/>
        </w:rPr>
        <w:t xml:space="preserve">Bond issuances in the </w:t>
      </w:r>
      <w:r w:rsidRPr="00CD72C3">
        <w:rPr>
          <w:rFonts w:ascii="Calibri" w:hAnsi="Calibri" w:cs="Calibri"/>
          <w:b/>
          <w:bCs/>
          <w:sz w:val="24"/>
          <w:szCs w:val="24"/>
        </w:rPr>
        <w:t>business sector</w:t>
      </w:r>
      <w:r w:rsidRPr="00CD72C3">
        <w:rPr>
          <w:rFonts w:ascii="Calibri" w:hAnsi="Calibri" w:cs="Calibri"/>
          <w:sz w:val="24"/>
          <w:szCs w:val="24"/>
        </w:rPr>
        <w:t xml:space="preserve"> in Israel totaled about NIS </w:t>
      </w:r>
      <w:r w:rsidR="007B2236" w:rsidRPr="00CD72C3">
        <w:rPr>
          <w:rFonts w:ascii="Calibri" w:hAnsi="Calibri" w:cs="Calibri"/>
          <w:sz w:val="24"/>
          <w:szCs w:val="24"/>
        </w:rPr>
        <w:t xml:space="preserve">21 </w:t>
      </w:r>
      <w:r w:rsidRPr="00CD72C3">
        <w:rPr>
          <w:rFonts w:ascii="Calibri" w:hAnsi="Calibri" w:cs="Calibri"/>
          <w:sz w:val="24"/>
          <w:szCs w:val="24"/>
        </w:rPr>
        <w:t xml:space="preserve">billion during the </w:t>
      </w:r>
      <w:r w:rsidR="007B2236" w:rsidRPr="00CD72C3">
        <w:rPr>
          <w:rFonts w:ascii="Calibri" w:hAnsi="Calibri" w:cs="Calibri"/>
          <w:sz w:val="24"/>
          <w:szCs w:val="24"/>
        </w:rPr>
        <w:t>third quarter</w:t>
      </w:r>
      <w:r w:rsidRPr="00CD72C3">
        <w:rPr>
          <w:rFonts w:ascii="Calibri" w:hAnsi="Calibri" w:cs="Calibri"/>
          <w:sz w:val="24"/>
          <w:szCs w:val="24"/>
        </w:rPr>
        <w:t xml:space="preserve">, </w:t>
      </w:r>
      <w:r w:rsidR="007B2236" w:rsidRPr="00CD72C3">
        <w:rPr>
          <w:rFonts w:ascii="Calibri" w:hAnsi="Calibri" w:cs="Calibri"/>
          <w:sz w:val="24"/>
          <w:szCs w:val="24"/>
        </w:rPr>
        <w:t>significantly higher</w:t>
      </w:r>
      <w:r w:rsidRPr="00CD72C3">
        <w:rPr>
          <w:rFonts w:ascii="Calibri" w:hAnsi="Calibri" w:cs="Calibri"/>
          <w:sz w:val="24"/>
          <w:szCs w:val="24"/>
        </w:rPr>
        <w:t xml:space="preserve"> than the quarterly average of the previous four quarters.  About </w:t>
      </w:r>
      <w:r w:rsidR="007B2236" w:rsidRPr="00CD72C3">
        <w:rPr>
          <w:rFonts w:ascii="Calibri" w:hAnsi="Calibri" w:cs="Calibri"/>
          <w:sz w:val="24"/>
          <w:szCs w:val="24"/>
        </w:rPr>
        <w:t>half</w:t>
      </w:r>
      <w:r w:rsidRPr="00CD72C3">
        <w:rPr>
          <w:rFonts w:ascii="Calibri" w:hAnsi="Calibri" w:cs="Calibri"/>
          <w:sz w:val="24"/>
          <w:szCs w:val="24"/>
        </w:rPr>
        <w:t xml:space="preserve"> of the bond issuances were made by companies in the </w:t>
      </w:r>
      <w:r w:rsidR="007B2236" w:rsidRPr="00CD72C3">
        <w:rPr>
          <w:rFonts w:ascii="Calibri" w:hAnsi="Calibri" w:cs="Calibri"/>
          <w:sz w:val="24"/>
          <w:szCs w:val="24"/>
        </w:rPr>
        <w:t>c</w:t>
      </w:r>
      <w:r w:rsidRPr="00CD72C3">
        <w:rPr>
          <w:rFonts w:ascii="Calibri" w:hAnsi="Calibri" w:cs="Calibri"/>
          <w:sz w:val="24"/>
          <w:szCs w:val="24"/>
        </w:rPr>
        <w:t>onstruction</w:t>
      </w:r>
      <w:r w:rsidR="007B2236" w:rsidRPr="00CD72C3">
        <w:rPr>
          <w:rFonts w:ascii="Calibri" w:hAnsi="Calibri" w:cs="Calibri"/>
          <w:sz w:val="24"/>
          <w:szCs w:val="24"/>
        </w:rPr>
        <w:t xml:space="preserve"> and real estate</w:t>
      </w:r>
      <w:r w:rsidRPr="00CD72C3">
        <w:rPr>
          <w:rFonts w:ascii="Calibri" w:hAnsi="Calibri" w:cs="Calibri"/>
          <w:sz w:val="24"/>
          <w:szCs w:val="24"/>
        </w:rPr>
        <w:t xml:space="preserve"> industry, which continues to lead bond issuances similar to previous years.</w:t>
      </w:r>
    </w:p>
    <w:p w14:paraId="6E63927A" w14:textId="6BA7551D" w:rsidR="00E2691B" w:rsidRPr="00CD72C3" w:rsidRDefault="006B46BE" w:rsidP="007B2236">
      <w:pPr>
        <w:pStyle w:val="a3"/>
        <w:numPr>
          <w:ilvl w:val="0"/>
          <w:numId w:val="5"/>
        </w:numPr>
        <w:spacing w:after="0" w:line="240" w:lineRule="auto"/>
        <w:ind w:left="426"/>
        <w:jc w:val="both"/>
        <w:rPr>
          <w:rFonts w:ascii="Calibri" w:hAnsi="Calibri" w:cs="Calibri"/>
          <w:sz w:val="24"/>
          <w:szCs w:val="24"/>
        </w:rPr>
      </w:pPr>
      <w:r w:rsidRPr="00CD72C3">
        <w:rPr>
          <w:rFonts w:ascii="Calibri" w:hAnsi="Calibri" w:cs="Calibri"/>
          <w:sz w:val="24"/>
          <w:szCs w:val="24"/>
        </w:rPr>
        <w:t xml:space="preserve">The balance of </w:t>
      </w:r>
      <w:r w:rsidRPr="00CD72C3">
        <w:rPr>
          <w:rFonts w:ascii="Calibri" w:hAnsi="Calibri" w:cs="Calibri"/>
          <w:b/>
          <w:bCs/>
          <w:sz w:val="24"/>
          <w:szCs w:val="24"/>
        </w:rPr>
        <w:t>household debt</w:t>
      </w:r>
      <w:r w:rsidRPr="00CD72C3">
        <w:rPr>
          <w:rFonts w:ascii="Calibri" w:hAnsi="Calibri" w:cs="Calibri"/>
          <w:sz w:val="24"/>
          <w:szCs w:val="24"/>
        </w:rPr>
        <w:t xml:space="preserve"> </w:t>
      </w:r>
      <w:r w:rsidR="00356E1D" w:rsidRPr="00CD72C3">
        <w:rPr>
          <w:rFonts w:ascii="Calibri" w:hAnsi="Calibri" w:cs="Calibri"/>
          <w:sz w:val="24"/>
          <w:szCs w:val="24"/>
        </w:rPr>
        <w:t xml:space="preserve">also continued to </w:t>
      </w:r>
      <w:r w:rsidR="00E2691B" w:rsidRPr="00CD72C3">
        <w:rPr>
          <w:rFonts w:ascii="Calibri" w:hAnsi="Calibri" w:cs="Calibri"/>
          <w:sz w:val="24"/>
          <w:szCs w:val="24"/>
        </w:rPr>
        <w:t xml:space="preserve">increase </w:t>
      </w:r>
      <w:r w:rsidR="006E3D12" w:rsidRPr="00CD72C3">
        <w:rPr>
          <w:rFonts w:ascii="Calibri" w:hAnsi="Calibri" w:cs="Calibri"/>
          <w:sz w:val="24"/>
          <w:szCs w:val="24"/>
        </w:rPr>
        <w:t>during</w:t>
      </w:r>
      <w:r w:rsidR="00A14BC3" w:rsidRPr="00CD72C3">
        <w:rPr>
          <w:rFonts w:ascii="Calibri" w:hAnsi="Calibri" w:cs="Calibri"/>
          <w:sz w:val="24"/>
          <w:szCs w:val="24"/>
        </w:rPr>
        <w:t xml:space="preserve"> the quarter</w:t>
      </w:r>
      <w:r w:rsidR="006E3D12" w:rsidRPr="00CD72C3">
        <w:rPr>
          <w:rFonts w:ascii="Calibri" w:hAnsi="Calibri" w:cs="Calibri"/>
          <w:sz w:val="24"/>
          <w:szCs w:val="24"/>
        </w:rPr>
        <w:t xml:space="preserve">, to about NIS </w:t>
      </w:r>
      <w:r w:rsidR="00E2691B" w:rsidRPr="00CD72C3">
        <w:rPr>
          <w:rFonts w:ascii="Calibri" w:hAnsi="Calibri" w:cs="Calibri"/>
          <w:sz w:val="24"/>
          <w:szCs w:val="24"/>
        </w:rPr>
        <w:t>8</w:t>
      </w:r>
      <w:r w:rsidR="007B2236" w:rsidRPr="00CD72C3">
        <w:rPr>
          <w:rFonts w:ascii="Calibri" w:hAnsi="Calibri" w:cs="Calibri"/>
          <w:sz w:val="24"/>
          <w:szCs w:val="24"/>
        </w:rPr>
        <w:t>3</w:t>
      </w:r>
      <w:r w:rsidR="00356E1D" w:rsidRPr="00CD72C3">
        <w:rPr>
          <w:rFonts w:ascii="Calibri" w:hAnsi="Calibri" w:cs="Calibri"/>
          <w:sz w:val="24"/>
          <w:szCs w:val="24"/>
        </w:rPr>
        <w:t>1</w:t>
      </w:r>
      <w:r w:rsidR="00E2691B" w:rsidRPr="00CD72C3">
        <w:rPr>
          <w:rFonts w:ascii="Calibri" w:hAnsi="Calibri" w:cs="Calibri"/>
          <w:sz w:val="24"/>
          <w:szCs w:val="24"/>
        </w:rPr>
        <w:t xml:space="preserve"> </w:t>
      </w:r>
      <w:r w:rsidR="006E3D12" w:rsidRPr="00CD72C3">
        <w:rPr>
          <w:rFonts w:ascii="Calibri" w:hAnsi="Calibri" w:cs="Calibri"/>
          <w:sz w:val="24"/>
          <w:szCs w:val="24"/>
        </w:rPr>
        <w:t>billion</w:t>
      </w:r>
      <w:r w:rsidR="00E2691B" w:rsidRPr="00CD72C3">
        <w:rPr>
          <w:rFonts w:ascii="Calibri" w:hAnsi="Calibri" w:cs="Calibri"/>
          <w:sz w:val="24"/>
          <w:szCs w:val="24"/>
        </w:rPr>
        <w:t xml:space="preserve">, </w:t>
      </w:r>
      <w:r w:rsidR="00356E1D" w:rsidRPr="00CD72C3">
        <w:rPr>
          <w:rFonts w:ascii="Calibri" w:hAnsi="Calibri" w:cs="Calibri"/>
          <w:sz w:val="24"/>
          <w:szCs w:val="24"/>
        </w:rPr>
        <w:t xml:space="preserve">mainly due to </w:t>
      </w:r>
      <w:r w:rsidR="00E2691B" w:rsidRPr="00CD72C3">
        <w:rPr>
          <w:rFonts w:ascii="Calibri" w:hAnsi="Calibri" w:cs="Calibri"/>
          <w:sz w:val="24"/>
          <w:szCs w:val="24"/>
        </w:rPr>
        <w:t>a</w:t>
      </w:r>
      <w:r w:rsidR="00356E1D" w:rsidRPr="00CD72C3">
        <w:rPr>
          <w:rFonts w:ascii="Calibri" w:hAnsi="Calibri" w:cs="Calibri"/>
          <w:sz w:val="24"/>
          <w:szCs w:val="24"/>
        </w:rPr>
        <w:t>n</w:t>
      </w:r>
      <w:r w:rsidR="00E2691B" w:rsidRPr="00CD72C3">
        <w:rPr>
          <w:rFonts w:ascii="Calibri" w:hAnsi="Calibri" w:cs="Calibri"/>
          <w:sz w:val="24"/>
          <w:szCs w:val="24"/>
        </w:rPr>
        <w:t xml:space="preserve"> increase in the balance of </w:t>
      </w:r>
      <w:r w:rsidR="00E2691B" w:rsidRPr="00CD72C3">
        <w:rPr>
          <w:rFonts w:ascii="Calibri" w:hAnsi="Calibri" w:cs="Calibri"/>
          <w:b/>
          <w:bCs/>
          <w:sz w:val="24"/>
          <w:szCs w:val="24"/>
        </w:rPr>
        <w:t>housing debt</w:t>
      </w:r>
      <w:r w:rsidR="00356E1D" w:rsidRPr="00CD72C3">
        <w:rPr>
          <w:rFonts w:ascii="Calibri" w:hAnsi="Calibri" w:cs="Calibri"/>
          <w:sz w:val="24"/>
          <w:szCs w:val="24"/>
        </w:rPr>
        <w:t xml:space="preserve"> (about NIS 1</w:t>
      </w:r>
      <w:r w:rsidR="007B2236" w:rsidRPr="00CD72C3">
        <w:rPr>
          <w:rFonts w:ascii="Calibri" w:hAnsi="Calibri" w:cs="Calibri"/>
          <w:sz w:val="24"/>
          <w:szCs w:val="24"/>
        </w:rPr>
        <w:t>4</w:t>
      </w:r>
      <w:r w:rsidR="00356E1D" w:rsidRPr="00CD72C3">
        <w:rPr>
          <w:rFonts w:ascii="Calibri" w:hAnsi="Calibri" w:cs="Calibri"/>
          <w:sz w:val="24"/>
          <w:szCs w:val="24"/>
        </w:rPr>
        <w:t xml:space="preserve"> billion, 2 percent)</w:t>
      </w:r>
      <w:r w:rsidR="00E2691B" w:rsidRPr="00CD72C3">
        <w:rPr>
          <w:rFonts w:ascii="Calibri" w:hAnsi="Calibri" w:cs="Calibri"/>
          <w:sz w:val="24"/>
          <w:szCs w:val="24"/>
        </w:rPr>
        <w:t xml:space="preserve">, which </w:t>
      </w:r>
      <w:r w:rsidR="00356E1D" w:rsidRPr="00CD72C3">
        <w:rPr>
          <w:rFonts w:ascii="Calibri" w:hAnsi="Calibri" w:cs="Calibri"/>
          <w:sz w:val="24"/>
          <w:szCs w:val="24"/>
        </w:rPr>
        <w:t>was due to a recovery in new mortgage borrowing from banks.</w:t>
      </w:r>
      <w:r w:rsidR="00E2691B" w:rsidRPr="00CD72C3">
        <w:rPr>
          <w:rFonts w:ascii="Calibri" w:hAnsi="Calibri" w:cs="Calibri"/>
          <w:sz w:val="24"/>
          <w:szCs w:val="24"/>
        </w:rPr>
        <w:t xml:space="preserve"> </w:t>
      </w:r>
      <w:r w:rsidR="00356E1D" w:rsidRPr="00CD72C3">
        <w:rPr>
          <w:rFonts w:ascii="Calibri" w:hAnsi="Calibri" w:cs="Calibri"/>
          <w:sz w:val="24"/>
          <w:szCs w:val="24"/>
        </w:rPr>
        <w:t>T</w:t>
      </w:r>
      <w:r w:rsidR="00E2691B" w:rsidRPr="00CD72C3">
        <w:rPr>
          <w:rFonts w:ascii="Calibri" w:hAnsi="Calibri" w:cs="Calibri"/>
          <w:sz w:val="24"/>
          <w:szCs w:val="24"/>
        </w:rPr>
        <w:t>he</w:t>
      </w:r>
      <w:r w:rsidR="00356E1D" w:rsidRPr="00CD72C3">
        <w:rPr>
          <w:rFonts w:ascii="Calibri" w:hAnsi="Calibri" w:cs="Calibri"/>
          <w:sz w:val="24"/>
          <w:szCs w:val="24"/>
        </w:rPr>
        <w:t xml:space="preserve"> balance of</w:t>
      </w:r>
      <w:r w:rsidR="00E2691B" w:rsidRPr="00CD72C3">
        <w:rPr>
          <w:rFonts w:ascii="Calibri" w:hAnsi="Calibri" w:cs="Calibri"/>
          <w:sz w:val="24"/>
          <w:szCs w:val="24"/>
        </w:rPr>
        <w:t xml:space="preserve"> </w:t>
      </w:r>
      <w:proofErr w:type="spellStart"/>
      <w:r w:rsidR="00E2691B" w:rsidRPr="00CD72C3">
        <w:rPr>
          <w:rFonts w:ascii="Calibri" w:hAnsi="Calibri" w:cs="Calibri"/>
          <w:b/>
          <w:bCs/>
          <w:sz w:val="24"/>
          <w:szCs w:val="24"/>
        </w:rPr>
        <w:t>nonhousing</w:t>
      </w:r>
      <w:proofErr w:type="spellEnd"/>
      <w:r w:rsidR="00E2691B" w:rsidRPr="00CD72C3">
        <w:rPr>
          <w:rFonts w:ascii="Calibri" w:hAnsi="Calibri" w:cs="Calibri"/>
          <w:b/>
          <w:bCs/>
          <w:sz w:val="24"/>
          <w:szCs w:val="24"/>
        </w:rPr>
        <w:t xml:space="preserve"> debt</w:t>
      </w:r>
      <w:r w:rsidR="00E2691B" w:rsidRPr="00CD72C3">
        <w:rPr>
          <w:rFonts w:ascii="Calibri" w:hAnsi="Calibri" w:cs="Calibri"/>
          <w:sz w:val="24"/>
          <w:szCs w:val="24"/>
        </w:rPr>
        <w:t xml:space="preserve"> </w:t>
      </w:r>
      <w:r w:rsidR="00356E1D" w:rsidRPr="00CD72C3">
        <w:rPr>
          <w:rFonts w:ascii="Calibri" w:hAnsi="Calibri" w:cs="Calibri"/>
          <w:sz w:val="24"/>
          <w:szCs w:val="24"/>
        </w:rPr>
        <w:t xml:space="preserve">also grew (by about NIS </w:t>
      </w:r>
      <w:r w:rsidR="007B2236" w:rsidRPr="00CD72C3">
        <w:rPr>
          <w:rFonts w:ascii="Calibri" w:hAnsi="Calibri" w:cs="Calibri"/>
          <w:sz w:val="24"/>
          <w:szCs w:val="24"/>
        </w:rPr>
        <w:t>5</w:t>
      </w:r>
      <w:r w:rsidR="00356E1D" w:rsidRPr="00CD72C3">
        <w:rPr>
          <w:rFonts w:ascii="Calibri" w:hAnsi="Calibri" w:cs="Calibri"/>
          <w:sz w:val="24"/>
          <w:szCs w:val="24"/>
        </w:rPr>
        <w:t xml:space="preserve"> billion, </w:t>
      </w:r>
      <w:r w:rsidR="007B2236" w:rsidRPr="00CD72C3">
        <w:rPr>
          <w:rFonts w:ascii="Calibri" w:hAnsi="Calibri" w:cs="Calibri"/>
          <w:sz w:val="24"/>
          <w:szCs w:val="24"/>
        </w:rPr>
        <w:t>2</w:t>
      </w:r>
      <w:r w:rsidR="00356E1D" w:rsidRPr="00CD72C3">
        <w:rPr>
          <w:rFonts w:ascii="Calibri" w:hAnsi="Calibri" w:cs="Calibri"/>
          <w:sz w:val="24"/>
          <w:szCs w:val="24"/>
        </w:rPr>
        <w:t xml:space="preserve"> percent), with the increase concentrated in outstanding debt to the banks</w:t>
      </w:r>
      <w:r w:rsidR="007B2236" w:rsidRPr="00CD72C3">
        <w:rPr>
          <w:rFonts w:ascii="Calibri" w:hAnsi="Calibri" w:cs="Calibri"/>
          <w:sz w:val="24"/>
          <w:szCs w:val="24"/>
        </w:rPr>
        <w:t xml:space="preserve"> and to credit card companies</w:t>
      </w:r>
      <w:r w:rsidR="00E2691B" w:rsidRPr="00CD72C3">
        <w:rPr>
          <w:rFonts w:ascii="Calibri" w:hAnsi="Calibri" w:cs="Calibri"/>
          <w:sz w:val="24"/>
          <w:szCs w:val="24"/>
        </w:rPr>
        <w:t>.</w:t>
      </w:r>
    </w:p>
    <w:p w14:paraId="69B404D7" w14:textId="3FDAC1F3" w:rsidR="00846122" w:rsidRPr="00CD72C3" w:rsidRDefault="00846122">
      <w:pPr>
        <w:rPr>
          <w:rFonts w:ascii="Calibri" w:hAnsi="Calibri" w:cs="Calibri"/>
          <w:sz w:val="24"/>
          <w:szCs w:val="24"/>
        </w:rPr>
      </w:pPr>
      <w:r w:rsidRPr="00CD72C3">
        <w:rPr>
          <w:rFonts w:ascii="Calibri" w:hAnsi="Calibri" w:cs="Calibri"/>
          <w:sz w:val="24"/>
          <w:szCs w:val="24"/>
        </w:rPr>
        <w:br w:type="page"/>
      </w:r>
    </w:p>
    <w:p w14:paraId="464F6563" w14:textId="77777777" w:rsidR="00356E1D" w:rsidRPr="00CD72C3" w:rsidRDefault="00356E1D" w:rsidP="00846122">
      <w:pPr>
        <w:spacing w:after="0" w:line="240" w:lineRule="auto"/>
        <w:ind w:left="66"/>
        <w:jc w:val="both"/>
        <w:rPr>
          <w:rFonts w:ascii="Calibri" w:hAnsi="Calibri" w:cs="Calibri"/>
          <w:sz w:val="24"/>
          <w:szCs w:val="24"/>
        </w:rPr>
      </w:pPr>
    </w:p>
    <w:p w14:paraId="57D6C539" w14:textId="54E72813" w:rsidR="006B46BE" w:rsidRPr="00CD72C3" w:rsidRDefault="00407985" w:rsidP="006E3D12">
      <w:pPr>
        <w:pStyle w:val="a3"/>
        <w:spacing w:after="0" w:line="240" w:lineRule="auto"/>
        <w:ind w:left="426"/>
        <w:jc w:val="both"/>
        <w:rPr>
          <w:rFonts w:ascii="Calibri" w:hAnsi="Calibri" w:cs="Calibri"/>
          <w:sz w:val="24"/>
          <w:szCs w:val="24"/>
        </w:rPr>
      </w:pPr>
      <w:r w:rsidRPr="00CD72C3">
        <w:rPr>
          <w:rFonts w:ascii="Calibri" w:hAnsi="Calibri" w:cs="Calibri"/>
          <w:sz w:val="24"/>
          <w:szCs w:val="24"/>
        </w:rPr>
        <w:t xml:space="preserve"> </w:t>
      </w:r>
    </w:p>
    <w:p w14:paraId="6558F88B" w14:textId="78023532" w:rsidR="00BD6B80" w:rsidRPr="00CD72C3" w:rsidRDefault="00BD6B80" w:rsidP="00B108DC">
      <w:pPr>
        <w:spacing w:after="0" w:line="240" w:lineRule="auto"/>
        <w:rPr>
          <w:rFonts w:ascii="Calibri" w:hAnsi="Calibri" w:cs="Calibri"/>
          <w:b/>
          <w:bCs/>
          <w:sz w:val="24"/>
          <w:szCs w:val="24"/>
        </w:rPr>
      </w:pPr>
      <w:r w:rsidRPr="00CD72C3">
        <w:rPr>
          <w:rFonts w:ascii="Calibri" w:hAnsi="Calibri" w:cs="Calibri"/>
          <w:b/>
          <w:bCs/>
          <w:sz w:val="24"/>
          <w:szCs w:val="24"/>
        </w:rPr>
        <w:t>The nonfinancial business sector’s</w:t>
      </w:r>
      <w:r w:rsidRPr="00CD72C3">
        <w:rPr>
          <w:rStyle w:val="ad"/>
          <w:rFonts w:ascii="Calibri" w:hAnsi="Calibri" w:cs="Calibri"/>
          <w:b/>
          <w:bCs/>
          <w:sz w:val="24"/>
          <w:szCs w:val="24"/>
        </w:rPr>
        <w:footnoteReference w:id="1"/>
      </w:r>
      <w:r w:rsidR="00B108DC" w:rsidRPr="00CD72C3">
        <w:rPr>
          <w:rFonts w:ascii="Calibri" w:hAnsi="Calibri" w:cs="Calibri"/>
          <w:b/>
          <w:bCs/>
          <w:sz w:val="24"/>
          <w:szCs w:val="24"/>
        </w:rPr>
        <w:t xml:space="preserve"> outstanding debt</w:t>
      </w:r>
    </w:p>
    <w:p w14:paraId="51467DCB" w14:textId="0E8BD05B" w:rsidR="00155F03" w:rsidRPr="00CD72C3" w:rsidRDefault="00BD6B80" w:rsidP="00516E00">
      <w:pPr>
        <w:pStyle w:val="a3"/>
        <w:numPr>
          <w:ilvl w:val="0"/>
          <w:numId w:val="1"/>
        </w:numPr>
        <w:spacing w:after="0" w:line="240" w:lineRule="auto"/>
        <w:jc w:val="both"/>
        <w:rPr>
          <w:rFonts w:ascii="Calibri" w:hAnsi="Calibri" w:cs="Calibri"/>
          <w:sz w:val="24"/>
          <w:szCs w:val="24"/>
        </w:rPr>
      </w:pPr>
      <w:r w:rsidRPr="00CD72C3">
        <w:rPr>
          <w:rFonts w:ascii="Calibri" w:hAnsi="Calibri" w:cs="Calibri"/>
          <w:sz w:val="24"/>
          <w:szCs w:val="24"/>
        </w:rPr>
        <w:t xml:space="preserve">In the </w:t>
      </w:r>
      <w:r w:rsidR="007B2236" w:rsidRPr="00CD72C3">
        <w:rPr>
          <w:rFonts w:ascii="Calibri" w:hAnsi="Calibri" w:cs="Calibri"/>
          <w:sz w:val="24"/>
          <w:szCs w:val="24"/>
        </w:rPr>
        <w:t>third quarter</w:t>
      </w:r>
      <w:r w:rsidR="001246EE" w:rsidRPr="00CD72C3">
        <w:rPr>
          <w:rFonts w:ascii="Calibri" w:hAnsi="Calibri" w:cs="Calibri"/>
          <w:sz w:val="24"/>
          <w:szCs w:val="24"/>
        </w:rPr>
        <w:t xml:space="preserve"> of </w:t>
      </w:r>
      <w:r w:rsidR="00596A54" w:rsidRPr="00CD72C3">
        <w:rPr>
          <w:rFonts w:ascii="Calibri" w:hAnsi="Calibri" w:cs="Calibri"/>
          <w:sz w:val="24"/>
          <w:szCs w:val="24"/>
        </w:rPr>
        <w:t>2024</w:t>
      </w:r>
      <w:r w:rsidRPr="00CD72C3">
        <w:rPr>
          <w:rFonts w:ascii="Calibri" w:hAnsi="Calibri" w:cs="Calibri"/>
          <w:sz w:val="24"/>
          <w:szCs w:val="24"/>
        </w:rPr>
        <w:t>,</w:t>
      </w:r>
      <w:r w:rsidR="007D42EA" w:rsidRPr="00CD72C3">
        <w:rPr>
          <w:rFonts w:ascii="Calibri" w:hAnsi="Calibri" w:cs="Calibri"/>
          <w:sz w:val="24"/>
          <w:szCs w:val="24"/>
        </w:rPr>
        <w:t xml:space="preserve"> </w:t>
      </w:r>
      <w:r w:rsidRPr="00CD72C3">
        <w:rPr>
          <w:rFonts w:ascii="Calibri" w:hAnsi="Calibri" w:cs="Calibri"/>
          <w:sz w:val="24"/>
          <w:szCs w:val="24"/>
        </w:rPr>
        <w:t>the</w:t>
      </w:r>
      <w:r w:rsidR="00356E1D" w:rsidRPr="00CD72C3">
        <w:rPr>
          <w:rFonts w:ascii="Calibri" w:hAnsi="Calibri" w:cs="Calibri"/>
          <w:sz w:val="24"/>
          <w:szCs w:val="24"/>
        </w:rPr>
        <w:t xml:space="preserve"> </w:t>
      </w:r>
      <w:r w:rsidRPr="00CD72C3">
        <w:rPr>
          <w:rFonts w:ascii="Calibri" w:hAnsi="Calibri" w:cs="Calibri"/>
          <w:b/>
          <w:bCs/>
          <w:sz w:val="24"/>
          <w:szCs w:val="24"/>
        </w:rPr>
        <w:t>balance of business sector debt</w:t>
      </w:r>
      <w:r w:rsidR="000A14D2" w:rsidRPr="00CD72C3">
        <w:rPr>
          <w:rFonts w:ascii="Calibri" w:hAnsi="Calibri" w:cs="Calibri"/>
          <w:sz w:val="24"/>
          <w:szCs w:val="24"/>
        </w:rPr>
        <w:t xml:space="preserve"> </w:t>
      </w:r>
      <w:r w:rsidR="00356E1D" w:rsidRPr="00CD72C3">
        <w:rPr>
          <w:rFonts w:ascii="Calibri" w:hAnsi="Calibri" w:cs="Calibri"/>
          <w:sz w:val="24"/>
          <w:szCs w:val="24"/>
        </w:rPr>
        <w:t xml:space="preserve">increasing </w:t>
      </w:r>
      <w:r w:rsidR="00223062" w:rsidRPr="00CD72C3">
        <w:rPr>
          <w:rFonts w:ascii="Calibri" w:hAnsi="Calibri" w:cs="Calibri"/>
          <w:sz w:val="24"/>
          <w:szCs w:val="24"/>
        </w:rPr>
        <w:t xml:space="preserve">significantly, </w:t>
      </w:r>
      <w:r w:rsidR="00356E1D" w:rsidRPr="00CD72C3">
        <w:rPr>
          <w:rFonts w:ascii="Calibri" w:hAnsi="Calibri" w:cs="Calibri"/>
          <w:sz w:val="24"/>
          <w:szCs w:val="24"/>
        </w:rPr>
        <w:t xml:space="preserve">by about NIS </w:t>
      </w:r>
      <w:r w:rsidR="00223062" w:rsidRPr="00CD72C3">
        <w:rPr>
          <w:rFonts w:ascii="Calibri" w:hAnsi="Calibri" w:cs="Calibri"/>
          <w:sz w:val="24"/>
          <w:szCs w:val="24"/>
        </w:rPr>
        <w:t>40 billion (3</w:t>
      </w:r>
      <w:r w:rsidR="00356E1D" w:rsidRPr="00CD72C3">
        <w:rPr>
          <w:rFonts w:ascii="Calibri" w:hAnsi="Calibri" w:cs="Calibri"/>
          <w:sz w:val="24"/>
          <w:szCs w:val="24"/>
        </w:rPr>
        <w:t xml:space="preserve"> percent), </w:t>
      </w:r>
      <w:r w:rsidR="00E941A1" w:rsidRPr="00CD72C3">
        <w:rPr>
          <w:rFonts w:ascii="Calibri" w:hAnsi="Calibri" w:cs="Calibri"/>
          <w:sz w:val="24"/>
          <w:szCs w:val="24"/>
        </w:rPr>
        <w:t>to about NIS 1.</w:t>
      </w:r>
      <w:r w:rsidR="00223062" w:rsidRPr="00CD72C3">
        <w:rPr>
          <w:rFonts w:ascii="Calibri" w:hAnsi="Calibri" w:cs="Calibri"/>
          <w:sz w:val="24"/>
          <w:szCs w:val="24"/>
        </w:rPr>
        <w:t>4</w:t>
      </w:r>
      <w:r w:rsidR="00E941A1" w:rsidRPr="00CD72C3">
        <w:rPr>
          <w:rFonts w:ascii="Calibri" w:hAnsi="Calibri" w:cs="Calibri"/>
          <w:sz w:val="24"/>
          <w:szCs w:val="24"/>
        </w:rPr>
        <w:t xml:space="preserve"> trillion.</w:t>
      </w:r>
      <w:r w:rsidR="00223062" w:rsidRPr="00CD72C3">
        <w:rPr>
          <w:rFonts w:ascii="Calibri" w:hAnsi="Calibri" w:cs="Calibri"/>
          <w:sz w:val="24"/>
          <w:szCs w:val="24"/>
        </w:rPr>
        <w:t xml:space="preserve">  </w:t>
      </w:r>
      <w:r w:rsidR="00977D6F" w:rsidRPr="00CD72C3">
        <w:rPr>
          <w:rFonts w:ascii="Calibri" w:hAnsi="Calibri" w:cs="Calibri"/>
          <w:sz w:val="24"/>
          <w:szCs w:val="24"/>
        </w:rPr>
        <w:t xml:space="preserve">The increase in the debt balance this quarter </w:t>
      </w:r>
      <w:r w:rsidR="00223062" w:rsidRPr="00CD72C3">
        <w:rPr>
          <w:rFonts w:ascii="Calibri" w:hAnsi="Calibri" w:cs="Calibri"/>
          <w:sz w:val="24"/>
          <w:szCs w:val="24"/>
        </w:rPr>
        <w:t xml:space="preserve">was almost completely due to net debt raised totaling NIS 39 billion, of which NIS 26 billion was raised through bank loans, mainly to the large business segment, and NIS 11 billion was raised through tradable bonds in Israel.  An increase of about 1.6 percent in the </w:t>
      </w:r>
      <w:r w:rsidR="00846122" w:rsidRPr="00CD72C3">
        <w:rPr>
          <w:rFonts w:ascii="Calibri" w:hAnsi="Calibri" w:cs="Calibri"/>
          <w:sz w:val="24"/>
          <w:szCs w:val="24"/>
        </w:rPr>
        <w:t>Consumer Price Index</w:t>
      </w:r>
      <w:r w:rsidR="00F514F8" w:rsidRPr="00CD72C3">
        <w:rPr>
          <w:rStyle w:val="ad"/>
          <w:rFonts w:ascii="Calibri" w:hAnsi="Calibri" w:cs="Calibri"/>
          <w:sz w:val="24"/>
          <w:szCs w:val="24"/>
        </w:rPr>
        <w:footnoteReference w:id="2"/>
      </w:r>
      <w:r w:rsidR="00223062" w:rsidRPr="00CD72C3">
        <w:rPr>
          <w:rFonts w:ascii="Calibri" w:hAnsi="Calibri" w:cs="Calibri"/>
          <w:sz w:val="24"/>
          <w:szCs w:val="24"/>
        </w:rPr>
        <w:t xml:space="preserve"> also</w:t>
      </w:r>
      <w:r w:rsidR="00585FC8" w:rsidRPr="00CD72C3">
        <w:rPr>
          <w:rFonts w:ascii="Calibri" w:hAnsi="Calibri" w:cs="Calibri"/>
          <w:sz w:val="24"/>
          <w:szCs w:val="24"/>
        </w:rPr>
        <w:t xml:space="preserve"> contributed to an increase in the </w:t>
      </w:r>
      <w:r w:rsidR="00BB25FB" w:rsidRPr="00CD72C3">
        <w:rPr>
          <w:rFonts w:ascii="Calibri" w:hAnsi="Calibri" w:cs="Calibri"/>
          <w:sz w:val="24"/>
          <w:szCs w:val="24"/>
        </w:rPr>
        <w:t xml:space="preserve">value of </w:t>
      </w:r>
      <w:r w:rsidR="00585FC8" w:rsidRPr="00CD72C3">
        <w:rPr>
          <w:rFonts w:ascii="Calibri" w:hAnsi="Calibri" w:cs="Calibri"/>
          <w:sz w:val="24"/>
          <w:szCs w:val="24"/>
        </w:rPr>
        <w:t>CPI indexed</w:t>
      </w:r>
      <w:r w:rsidR="00BB25FB" w:rsidRPr="00CD72C3">
        <w:rPr>
          <w:rFonts w:ascii="Calibri" w:hAnsi="Calibri" w:cs="Calibri"/>
          <w:sz w:val="24"/>
          <w:szCs w:val="24"/>
        </w:rPr>
        <w:t xml:space="preserve"> debt</w:t>
      </w:r>
      <w:r w:rsidR="00846122" w:rsidRPr="00CD72C3">
        <w:rPr>
          <w:rFonts w:ascii="Calibri" w:hAnsi="Calibri" w:cs="Calibri"/>
          <w:sz w:val="24"/>
          <w:szCs w:val="24"/>
        </w:rPr>
        <w:t>.</w:t>
      </w:r>
      <w:r w:rsidR="00223062" w:rsidRPr="00CD72C3">
        <w:rPr>
          <w:rFonts w:ascii="Calibri" w:hAnsi="Calibri" w:cs="Calibri"/>
          <w:sz w:val="24"/>
          <w:szCs w:val="24"/>
        </w:rPr>
        <w:t xml:space="preserve">  The increase in outstanding debt was </w:t>
      </w:r>
      <w:r w:rsidR="00846122" w:rsidRPr="00CD72C3">
        <w:rPr>
          <w:rFonts w:ascii="Calibri" w:hAnsi="Calibri" w:cs="Calibri"/>
          <w:sz w:val="24"/>
          <w:szCs w:val="24"/>
        </w:rPr>
        <w:t>partly offset by</w:t>
      </w:r>
      <w:r w:rsidR="00223062" w:rsidRPr="00CD72C3">
        <w:rPr>
          <w:rFonts w:ascii="Calibri" w:hAnsi="Calibri" w:cs="Calibri"/>
          <w:sz w:val="24"/>
          <w:szCs w:val="24"/>
        </w:rPr>
        <w:t xml:space="preserve"> an appreciation of the shekel</w:t>
      </w:r>
      <w:r w:rsidR="00223062" w:rsidRPr="00CD72C3">
        <w:rPr>
          <w:rFonts w:ascii="Calibri" w:hAnsi="Calibri" w:cs="Calibri"/>
          <w:sz w:val="24"/>
          <w:szCs w:val="24"/>
          <w:rtl/>
        </w:rPr>
        <w:t xml:space="preserve"> </w:t>
      </w:r>
      <w:r w:rsidR="00223062" w:rsidRPr="00CD72C3">
        <w:rPr>
          <w:rFonts w:ascii="Calibri" w:hAnsi="Calibri" w:cs="Calibri"/>
          <w:sz w:val="24"/>
          <w:szCs w:val="24"/>
        </w:rPr>
        <w:t>by about 1.3 percent against the US dollar, which lowered the value of debt denominated in and indexed to foreign currency.</w:t>
      </w:r>
      <w:r w:rsidR="00846122" w:rsidRPr="00CD72C3">
        <w:rPr>
          <w:rFonts w:ascii="Calibri" w:hAnsi="Calibri" w:cs="Calibri"/>
          <w:sz w:val="24"/>
          <w:szCs w:val="24"/>
        </w:rPr>
        <w:t xml:space="preserve"> </w:t>
      </w:r>
    </w:p>
    <w:p w14:paraId="2EFCC9E0" w14:textId="7E0DE5D5" w:rsidR="00516E00" w:rsidRPr="00CD72C3" w:rsidRDefault="00516E00" w:rsidP="000A5260">
      <w:pPr>
        <w:pStyle w:val="a3"/>
        <w:numPr>
          <w:ilvl w:val="0"/>
          <w:numId w:val="1"/>
        </w:numPr>
        <w:spacing w:after="0" w:line="240" w:lineRule="auto"/>
        <w:jc w:val="both"/>
        <w:rPr>
          <w:rFonts w:ascii="Calibri" w:hAnsi="Calibri" w:cs="Calibri"/>
          <w:sz w:val="24"/>
          <w:szCs w:val="24"/>
        </w:rPr>
      </w:pPr>
      <w:r w:rsidRPr="00CD72C3">
        <w:rPr>
          <w:rFonts w:ascii="Calibri" w:hAnsi="Calibri" w:cs="Calibri"/>
          <w:sz w:val="24"/>
          <w:szCs w:val="24"/>
        </w:rPr>
        <w:t xml:space="preserve">Due to these effects, the annual rate of growth of outstanding business sector debt increased to about 5 percent during the quarter, following a downward trend </w:t>
      </w:r>
      <w:r w:rsidR="000A5260" w:rsidRPr="00CD72C3">
        <w:rPr>
          <w:rFonts w:ascii="Calibri" w:hAnsi="Calibri" w:cs="Calibri"/>
          <w:sz w:val="24"/>
          <w:szCs w:val="24"/>
        </w:rPr>
        <w:t xml:space="preserve">since the second half of 2022. </w:t>
      </w:r>
      <w:r w:rsidRPr="00CD72C3">
        <w:rPr>
          <w:rFonts w:ascii="Calibri" w:hAnsi="Calibri" w:cs="Calibri"/>
          <w:sz w:val="24"/>
          <w:szCs w:val="24"/>
        </w:rPr>
        <w:t>This was reflected in both bank and nonbank debt (Figures 1 and 2).</w:t>
      </w:r>
    </w:p>
    <w:p w14:paraId="60CFAAA5" w14:textId="47716AFB" w:rsidR="009174A3" w:rsidRPr="00CD72C3" w:rsidRDefault="00BD6B80" w:rsidP="00516E00">
      <w:pPr>
        <w:pStyle w:val="a3"/>
        <w:numPr>
          <w:ilvl w:val="0"/>
          <w:numId w:val="1"/>
        </w:numPr>
        <w:spacing w:after="0" w:line="240" w:lineRule="auto"/>
        <w:jc w:val="both"/>
        <w:rPr>
          <w:rFonts w:ascii="Calibri" w:hAnsi="Calibri" w:cs="Calibri"/>
          <w:sz w:val="24"/>
          <w:szCs w:val="24"/>
        </w:rPr>
      </w:pPr>
      <w:r w:rsidRPr="00CD72C3">
        <w:rPr>
          <w:rFonts w:ascii="Calibri" w:hAnsi="Calibri" w:cs="Calibri"/>
          <w:sz w:val="24"/>
          <w:szCs w:val="24"/>
        </w:rPr>
        <w:t xml:space="preserve">In the </w:t>
      </w:r>
      <w:r w:rsidR="007B2236" w:rsidRPr="00CD72C3">
        <w:rPr>
          <w:rFonts w:ascii="Calibri" w:hAnsi="Calibri" w:cs="Calibri"/>
          <w:sz w:val="24"/>
          <w:szCs w:val="24"/>
        </w:rPr>
        <w:t>third quarter</w:t>
      </w:r>
      <w:r w:rsidR="00294C24" w:rsidRPr="00CD72C3">
        <w:rPr>
          <w:rFonts w:ascii="Calibri" w:hAnsi="Calibri" w:cs="Calibri"/>
          <w:sz w:val="24"/>
          <w:szCs w:val="24"/>
        </w:rPr>
        <w:t xml:space="preserve"> of the year</w:t>
      </w:r>
      <w:r w:rsidRPr="00CD72C3">
        <w:rPr>
          <w:rFonts w:ascii="Calibri" w:hAnsi="Calibri" w:cs="Calibri"/>
          <w:sz w:val="24"/>
          <w:szCs w:val="24"/>
        </w:rPr>
        <w:t xml:space="preserve">, the </w:t>
      </w:r>
      <w:r w:rsidRPr="00CD72C3">
        <w:rPr>
          <w:rFonts w:ascii="Calibri" w:hAnsi="Calibri" w:cs="Calibri"/>
          <w:b/>
          <w:bCs/>
          <w:sz w:val="24"/>
          <w:szCs w:val="24"/>
        </w:rPr>
        <w:t>business sector</w:t>
      </w:r>
      <w:r w:rsidRPr="00CD72C3">
        <w:rPr>
          <w:rFonts w:ascii="Calibri" w:hAnsi="Calibri" w:cs="Calibri"/>
          <w:sz w:val="24"/>
          <w:szCs w:val="24"/>
        </w:rPr>
        <w:t xml:space="preserve"> </w:t>
      </w:r>
      <w:r w:rsidRPr="00CD72C3">
        <w:rPr>
          <w:rFonts w:ascii="Calibri" w:hAnsi="Calibri" w:cs="Calibri"/>
          <w:b/>
          <w:bCs/>
          <w:sz w:val="24"/>
          <w:szCs w:val="24"/>
        </w:rPr>
        <w:t>issued</w:t>
      </w:r>
      <w:r w:rsidRPr="00CD72C3">
        <w:rPr>
          <w:rFonts w:ascii="Calibri" w:hAnsi="Calibri" w:cs="Calibri"/>
          <w:sz w:val="24"/>
          <w:szCs w:val="24"/>
        </w:rPr>
        <w:t xml:space="preserve"> about NIS </w:t>
      </w:r>
      <w:r w:rsidR="00516E00" w:rsidRPr="00CD72C3">
        <w:rPr>
          <w:rFonts w:ascii="Calibri" w:hAnsi="Calibri" w:cs="Calibri"/>
          <w:sz w:val="24"/>
          <w:szCs w:val="24"/>
        </w:rPr>
        <w:t>21</w:t>
      </w:r>
      <w:r w:rsidR="00BF2157" w:rsidRPr="00CD72C3">
        <w:rPr>
          <w:rFonts w:ascii="Calibri" w:hAnsi="Calibri" w:cs="Calibri"/>
          <w:sz w:val="24"/>
          <w:szCs w:val="24"/>
        </w:rPr>
        <w:t xml:space="preserve"> </w:t>
      </w:r>
      <w:r w:rsidRPr="00CD72C3">
        <w:rPr>
          <w:rFonts w:ascii="Calibri" w:hAnsi="Calibri" w:cs="Calibri"/>
          <w:sz w:val="24"/>
          <w:szCs w:val="24"/>
        </w:rPr>
        <w:t xml:space="preserve">billion in bonds, </w:t>
      </w:r>
      <w:r w:rsidR="00846122" w:rsidRPr="00CD72C3">
        <w:rPr>
          <w:rFonts w:ascii="Calibri" w:hAnsi="Calibri" w:cs="Calibri"/>
          <w:sz w:val="24"/>
          <w:szCs w:val="24"/>
        </w:rPr>
        <w:t xml:space="preserve">significantly </w:t>
      </w:r>
      <w:r w:rsidR="00516E00" w:rsidRPr="00CD72C3">
        <w:rPr>
          <w:rFonts w:ascii="Calibri" w:hAnsi="Calibri" w:cs="Calibri"/>
          <w:sz w:val="24"/>
          <w:szCs w:val="24"/>
        </w:rPr>
        <w:t>more</w:t>
      </w:r>
      <w:r w:rsidR="00846122" w:rsidRPr="00CD72C3">
        <w:rPr>
          <w:rFonts w:ascii="Calibri" w:hAnsi="Calibri" w:cs="Calibri"/>
          <w:sz w:val="24"/>
          <w:szCs w:val="24"/>
        </w:rPr>
        <w:t xml:space="preserve"> than the quarterly average of the previous four quarters (about NIS 1</w:t>
      </w:r>
      <w:r w:rsidR="00516E00" w:rsidRPr="00CD72C3">
        <w:rPr>
          <w:rFonts w:ascii="Calibri" w:hAnsi="Calibri" w:cs="Calibri"/>
          <w:sz w:val="24"/>
          <w:szCs w:val="24"/>
        </w:rPr>
        <w:t>3</w:t>
      </w:r>
      <w:r w:rsidR="00846122" w:rsidRPr="00CD72C3">
        <w:rPr>
          <w:rFonts w:ascii="Calibri" w:hAnsi="Calibri" w:cs="Calibri"/>
          <w:sz w:val="24"/>
          <w:szCs w:val="24"/>
        </w:rPr>
        <w:t xml:space="preserve"> billion</w:t>
      </w:r>
      <w:r w:rsidR="003A3AF4" w:rsidRPr="00CD72C3">
        <w:rPr>
          <w:rFonts w:ascii="Calibri" w:hAnsi="Calibri" w:cs="Calibri"/>
          <w:sz w:val="24"/>
          <w:szCs w:val="24"/>
        </w:rPr>
        <w:t xml:space="preserve"> per quarter</w:t>
      </w:r>
      <w:r w:rsidR="00846122" w:rsidRPr="00CD72C3">
        <w:rPr>
          <w:rFonts w:ascii="Calibri" w:hAnsi="Calibri" w:cs="Calibri"/>
          <w:sz w:val="24"/>
          <w:szCs w:val="24"/>
        </w:rPr>
        <w:t xml:space="preserve">).  About </w:t>
      </w:r>
      <w:r w:rsidR="00516E00" w:rsidRPr="00CD72C3">
        <w:rPr>
          <w:rFonts w:ascii="Calibri" w:hAnsi="Calibri" w:cs="Calibri"/>
          <w:sz w:val="24"/>
          <w:szCs w:val="24"/>
        </w:rPr>
        <w:t>half</w:t>
      </w:r>
      <w:r w:rsidR="00846122" w:rsidRPr="00CD72C3">
        <w:rPr>
          <w:rFonts w:ascii="Calibri" w:hAnsi="Calibri" w:cs="Calibri"/>
          <w:sz w:val="24"/>
          <w:szCs w:val="24"/>
        </w:rPr>
        <w:t xml:space="preserve"> of </w:t>
      </w:r>
      <w:r w:rsidR="00516E00" w:rsidRPr="00CD72C3">
        <w:rPr>
          <w:rFonts w:ascii="Calibri" w:hAnsi="Calibri" w:cs="Calibri"/>
          <w:sz w:val="24"/>
          <w:szCs w:val="24"/>
        </w:rPr>
        <w:t xml:space="preserve">the </w:t>
      </w:r>
      <w:r w:rsidR="00846122" w:rsidRPr="00CD72C3">
        <w:rPr>
          <w:rFonts w:ascii="Calibri" w:hAnsi="Calibri" w:cs="Calibri"/>
          <w:sz w:val="24"/>
          <w:szCs w:val="24"/>
        </w:rPr>
        <w:t xml:space="preserve">issuances in the </w:t>
      </w:r>
      <w:r w:rsidR="007B2236" w:rsidRPr="00CD72C3">
        <w:rPr>
          <w:rFonts w:ascii="Calibri" w:hAnsi="Calibri" w:cs="Calibri"/>
          <w:sz w:val="24"/>
          <w:szCs w:val="24"/>
        </w:rPr>
        <w:t>third quarter</w:t>
      </w:r>
      <w:r w:rsidR="008074CE" w:rsidRPr="00CD72C3">
        <w:rPr>
          <w:rFonts w:ascii="Calibri" w:hAnsi="Calibri" w:cs="Calibri"/>
          <w:sz w:val="24"/>
          <w:szCs w:val="24"/>
        </w:rPr>
        <w:t xml:space="preserve"> were </w:t>
      </w:r>
      <w:r w:rsidR="009174A3" w:rsidRPr="00CD72C3">
        <w:rPr>
          <w:rFonts w:ascii="Calibri" w:hAnsi="Calibri" w:cs="Calibri"/>
          <w:sz w:val="24"/>
          <w:szCs w:val="24"/>
        </w:rPr>
        <w:t xml:space="preserve">carried out by companies in the </w:t>
      </w:r>
      <w:r w:rsidR="006438D8" w:rsidRPr="00CD72C3">
        <w:rPr>
          <w:rFonts w:ascii="Calibri" w:hAnsi="Calibri" w:cs="Calibri"/>
          <w:sz w:val="24"/>
          <w:szCs w:val="24"/>
        </w:rPr>
        <w:t>construction</w:t>
      </w:r>
      <w:r w:rsidR="00516E00" w:rsidRPr="00CD72C3">
        <w:rPr>
          <w:rFonts w:ascii="Calibri" w:hAnsi="Calibri" w:cs="Calibri"/>
          <w:sz w:val="24"/>
          <w:szCs w:val="24"/>
        </w:rPr>
        <w:t xml:space="preserve"> and real estate</w:t>
      </w:r>
      <w:r w:rsidR="006438D8" w:rsidRPr="00CD72C3">
        <w:rPr>
          <w:rFonts w:ascii="Calibri" w:hAnsi="Calibri" w:cs="Calibri"/>
          <w:sz w:val="24"/>
          <w:szCs w:val="24"/>
        </w:rPr>
        <w:t xml:space="preserve"> industry</w:t>
      </w:r>
      <w:r w:rsidR="00F91C9A" w:rsidRPr="00CD72C3">
        <w:rPr>
          <w:rFonts w:ascii="Calibri" w:hAnsi="Calibri" w:cs="Calibri"/>
          <w:sz w:val="24"/>
          <w:szCs w:val="24"/>
        </w:rPr>
        <w:t>,</w:t>
      </w:r>
      <w:r w:rsidR="00ED2784" w:rsidRPr="00CD72C3">
        <w:rPr>
          <w:rFonts w:ascii="Calibri" w:hAnsi="Calibri" w:cs="Calibri"/>
          <w:sz w:val="24"/>
          <w:szCs w:val="24"/>
        </w:rPr>
        <w:t xml:space="preserve"> which continues to lead in bond issuances,</w:t>
      </w:r>
      <w:r w:rsidR="00F91C9A" w:rsidRPr="00CD72C3">
        <w:rPr>
          <w:rFonts w:ascii="Calibri" w:hAnsi="Calibri" w:cs="Calibri"/>
          <w:sz w:val="24"/>
          <w:szCs w:val="24"/>
        </w:rPr>
        <w:t xml:space="preserve"> similar to previous </w:t>
      </w:r>
      <w:r w:rsidR="00ED2784" w:rsidRPr="00CD72C3">
        <w:rPr>
          <w:rFonts w:ascii="Calibri" w:hAnsi="Calibri" w:cs="Calibri"/>
          <w:sz w:val="24"/>
          <w:szCs w:val="24"/>
        </w:rPr>
        <w:t>years</w:t>
      </w:r>
      <w:r w:rsidR="00F91C9A" w:rsidRPr="00CD72C3">
        <w:rPr>
          <w:rFonts w:ascii="Calibri" w:hAnsi="Calibri" w:cs="Calibri"/>
          <w:sz w:val="24"/>
          <w:szCs w:val="24"/>
        </w:rPr>
        <w:t xml:space="preserve"> (Figure 3).</w:t>
      </w:r>
    </w:p>
    <w:p w14:paraId="32384B64" w14:textId="130D0191" w:rsidR="00294C24" w:rsidRPr="00CD72C3" w:rsidRDefault="00F25646" w:rsidP="00F25646">
      <w:pPr>
        <w:pStyle w:val="a3"/>
        <w:spacing w:after="0" w:line="240" w:lineRule="auto"/>
        <w:ind w:left="360"/>
        <w:jc w:val="both"/>
        <w:rPr>
          <w:rFonts w:ascii="Calibri" w:hAnsi="Calibri" w:cs="Calibri"/>
          <w:sz w:val="24"/>
          <w:szCs w:val="24"/>
        </w:rPr>
      </w:pPr>
      <w:r w:rsidRPr="00CD72C3">
        <w:rPr>
          <w:rFonts w:ascii="Calibri" w:hAnsi="Calibri" w:cs="Calibri"/>
          <w:sz w:val="24"/>
          <w:szCs w:val="24"/>
        </w:rPr>
        <w:t>In October</w:t>
      </w:r>
      <w:r w:rsidR="00294C24" w:rsidRPr="00CD72C3">
        <w:rPr>
          <w:rFonts w:ascii="Calibri" w:hAnsi="Calibri" w:cs="Calibri"/>
          <w:sz w:val="24"/>
          <w:szCs w:val="24"/>
        </w:rPr>
        <w:t xml:space="preserve"> 2024, companies from the </w:t>
      </w:r>
      <w:r w:rsidRPr="00CD72C3">
        <w:rPr>
          <w:rFonts w:ascii="Calibri" w:hAnsi="Calibri" w:cs="Calibri"/>
          <w:sz w:val="24"/>
          <w:szCs w:val="24"/>
        </w:rPr>
        <w:t>business sector issued bonds totaling about NIS 4 billion, lower than the monthly average in the third quarter (about NIS 7 billion</w:t>
      </w:r>
      <w:r w:rsidR="003A3AF4" w:rsidRPr="00CD72C3">
        <w:rPr>
          <w:rFonts w:ascii="Calibri" w:hAnsi="Calibri" w:cs="Calibri"/>
          <w:sz w:val="24"/>
          <w:szCs w:val="24"/>
        </w:rPr>
        <w:t xml:space="preserve"> per month</w:t>
      </w:r>
      <w:r w:rsidRPr="00CD72C3">
        <w:rPr>
          <w:rFonts w:ascii="Calibri" w:hAnsi="Calibri" w:cs="Calibri"/>
          <w:sz w:val="24"/>
          <w:szCs w:val="24"/>
        </w:rPr>
        <w:t>), in view of the holidays surrounding the Jewish new year.  Companies from the construction and real estate industry accounted for about 56 percent of funds raised in October.</w:t>
      </w:r>
    </w:p>
    <w:p w14:paraId="249819D9" w14:textId="695A858A" w:rsidR="00683C09" w:rsidRPr="00CD72C3" w:rsidRDefault="00BD6B80" w:rsidP="00F25646">
      <w:pPr>
        <w:pStyle w:val="a3"/>
        <w:numPr>
          <w:ilvl w:val="0"/>
          <w:numId w:val="1"/>
        </w:numPr>
        <w:spacing w:after="0" w:line="240" w:lineRule="auto"/>
        <w:jc w:val="both"/>
        <w:rPr>
          <w:rFonts w:ascii="Calibri" w:hAnsi="Calibri" w:cs="Calibri"/>
          <w:b/>
          <w:bCs/>
          <w:sz w:val="24"/>
          <w:szCs w:val="24"/>
          <w:u w:val="single"/>
        </w:rPr>
      </w:pPr>
      <w:r w:rsidRPr="00CD72C3">
        <w:rPr>
          <w:rFonts w:ascii="Calibri" w:hAnsi="Calibri" w:cs="Calibri"/>
          <w:sz w:val="24"/>
          <w:szCs w:val="24"/>
        </w:rPr>
        <w:t xml:space="preserve">In </w:t>
      </w:r>
      <w:r w:rsidR="00683C09" w:rsidRPr="00CD72C3">
        <w:rPr>
          <w:rFonts w:ascii="Calibri" w:hAnsi="Calibri" w:cs="Calibri"/>
          <w:sz w:val="24"/>
          <w:szCs w:val="24"/>
        </w:rPr>
        <w:t xml:space="preserve">the </w:t>
      </w:r>
      <w:r w:rsidR="007B2236" w:rsidRPr="00CD72C3">
        <w:rPr>
          <w:rFonts w:ascii="Calibri" w:hAnsi="Calibri" w:cs="Calibri"/>
          <w:sz w:val="24"/>
          <w:szCs w:val="24"/>
        </w:rPr>
        <w:t>third quarter</w:t>
      </w:r>
      <w:r w:rsidR="00683C09" w:rsidRPr="00CD72C3">
        <w:rPr>
          <w:rFonts w:ascii="Calibri" w:hAnsi="Calibri" w:cs="Calibri"/>
          <w:sz w:val="24"/>
          <w:szCs w:val="24"/>
        </w:rPr>
        <w:t xml:space="preserve"> of </w:t>
      </w:r>
      <w:r w:rsidR="00596A54" w:rsidRPr="00CD72C3">
        <w:rPr>
          <w:rFonts w:ascii="Calibri" w:hAnsi="Calibri" w:cs="Calibri"/>
          <w:sz w:val="24"/>
          <w:szCs w:val="24"/>
        </w:rPr>
        <w:t>2024</w:t>
      </w:r>
      <w:r w:rsidR="00EC7346" w:rsidRPr="00CD72C3">
        <w:rPr>
          <w:rFonts w:ascii="Calibri" w:hAnsi="Calibri" w:cs="Calibri"/>
          <w:sz w:val="24"/>
          <w:szCs w:val="24"/>
        </w:rPr>
        <w:t xml:space="preserve">, </w:t>
      </w:r>
      <w:r w:rsidRPr="00CD72C3">
        <w:rPr>
          <w:rFonts w:ascii="Calibri" w:hAnsi="Calibri" w:cs="Calibri"/>
          <w:b/>
          <w:bCs/>
          <w:sz w:val="24"/>
          <w:szCs w:val="24"/>
        </w:rPr>
        <w:t>the spread</w:t>
      </w:r>
      <w:r w:rsidR="00E5340E" w:rsidRPr="00CD72C3">
        <w:rPr>
          <w:rStyle w:val="ad"/>
          <w:rFonts w:ascii="Calibri" w:hAnsi="Calibri" w:cs="Calibri"/>
          <w:b/>
          <w:bCs/>
          <w:sz w:val="24"/>
          <w:szCs w:val="24"/>
        </w:rPr>
        <w:footnoteReference w:id="3"/>
      </w:r>
      <w:r w:rsidRPr="00CD72C3">
        <w:rPr>
          <w:rFonts w:ascii="Calibri" w:hAnsi="Calibri" w:cs="Calibri"/>
          <w:b/>
          <w:bCs/>
          <w:sz w:val="24"/>
          <w:szCs w:val="24"/>
        </w:rPr>
        <w:t xml:space="preserve"> between yields on </w:t>
      </w:r>
      <w:r w:rsidR="00B307F1" w:rsidRPr="00CD72C3">
        <w:rPr>
          <w:rFonts w:ascii="Calibri" w:hAnsi="Calibri" w:cs="Calibri"/>
          <w:b/>
          <w:bCs/>
          <w:sz w:val="24"/>
          <w:szCs w:val="24"/>
        </w:rPr>
        <w:t>c</w:t>
      </w:r>
      <w:r w:rsidRPr="00CD72C3">
        <w:rPr>
          <w:rFonts w:ascii="Calibri" w:hAnsi="Calibri" w:cs="Calibri"/>
          <w:b/>
          <w:bCs/>
          <w:sz w:val="24"/>
          <w:szCs w:val="24"/>
        </w:rPr>
        <w:t>orporate bonds</w:t>
      </w:r>
      <w:r w:rsidR="00AE7CEE" w:rsidRPr="00CD72C3">
        <w:rPr>
          <w:rFonts w:ascii="Calibri" w:hAnsi="Calibri" w:cs="Calibri"/>
          <w:b/>
          <w:bCs/>
          <w:sz w:val="24"/>
          <w:szCs w:val="24"/>
        </w:rPr>
        <w:t xml:space="preserve"> that are</w:t>
      </w:r>
      <w:r w:rsidRPr="00CD72C3">
        <w:rPr>
          <w:rFonts w:ascii="Calibri" w:hAnsi="Calibri" w:cs="Calibri"/>
          <w:b/>
          <w:bCs/>
          <w:sz w:val="24"/>
          <w:szCs w:val="24"/>
        </w:rPr>
        <w:t xml:space="preserve"> included in the Tel Bond 60 </w:t>
      </w:r>
      <w:r w:rsidR="0034192F" w:rsidRPr="00CD72C3">
        <w:rPr>
          <w:rFonts w:ascii="Calibri" w:hAnsi="Calibri" w:cs="Calibri"/>
          <w:b/>
          <w:bCs/>
          <w:sz w:val="24"/>
          <w:szCs w:val="24"/>
        </w:rPr>
        <w:t>I</w:t>
      </w:r>
      <w:r w:rsidRPr="00CD72C3">
        <w:rPr>
          <w:rFonts w:ascii="Calibri" w:hAnsi="Calibri" w:cs="Calibri"/>
          <w:b/>
          <w:bCs/>
          <w:sz w:val="24"/>
          <w:szCs w:val="24"/>
        </w:rPr>
        <w:t>ndex and the yield</w:t>
      </w:r>
      <w:r w:rsidR="00B307F1" w:rsidRPr="00CD72C3">
        <w:rPr>
          <w:rFonts w:ascii="Calibri" w:hAnsi="Calibri" w:cs="Calibri"/>
          <w:b/>
          <w:bCs/>
          <w:sz w:val="24"/>
          <w:szCs w:val="24"/>
        </w:rPr>
        <w:t>s</w:t>
      </w:r>
      <w:r w:rsidRPr="00CD72C3">
        <w:rPr>
          <w:rFonts w:ascii="Calibri" w:hAnsi="Calibri" w:cs="Calibri"/>
          <w:b/>
          <w:bCs/>
          <w:sz w:val="24"/>
          <w:szCs w:val="24"/>
        </w:rPr>
        <w:t xml:space="preserve"> on CPI-indexed government bonds</w:t>
      </w:r>
      <w:r w:rsidRPr="00CD72C3">
        <w:rPr>
          <w:rFonts w:ascii="Calibri" w:hAnsi="Calibri" w:cs="Calibri"/>
          <w:sz w:val="24"/>
          <w:szCs w:val="24"/>
        </w:rPr>
        <w:t xml:space="preserve"> </w:t>
      </w:r>
      <w:r w:rsidR="00F25646" w:rsidRPr="00CD72C3">
        <w:rPr>
          <w:rFonts w:ascii="Calibri" w:hAnsi="Calibri" w:cs="Calibri"/>
          <w:sz w:val="24"/>
          <w:szCs w:val="24"/>
        </w:rPr>
        <w:t>widene</w:t>
      </w:r>
      <w:r w:rsidR="00683C09" w:rsidRPr="00CD72C3">
        <w:rPr>
          <w:rFonts w:ascii="Calibri" w:hAnsi="Calibri" w:cs="Calibri"/>
          <w:sz w:val="24"/>
          <w:szCs w:val="24"/>
        </w:rPr>
        <w:t>d</w:t>
      </w:r>
      <w:r w:rsidR="00F25646" w:rsidRPr="00CD72C3">
        <w:rPr>
          <w:rFonts w:ascii="Calibri" w:hAnsi="Calibri" w:cs="Calibri"/>
          <w:sz w:val="24"/>
          <w:szCs w:val="24"/>
        </w:rPr>
        <w:t xml:space="preserve"> slightly</w:t>
      </w:r>
      <w:r w:rsidR="00683C09" w:rsidRPr="00CD72C3">
        <w:rPr>
          <w:rFonts w:ascii="Calibri" w:hAnsi="Calibri" w:cs="Calibri"/>
          <w:sz w:val="24"/>
          <w:szCs w:val="24"/>
        </w:rPr>
        <w:t xml:space="preserve"> </w:t>
      </w:r>
      <w:proofErr w:type="gramStart"/>
      <w:r w:rsidR="00683C09" w:rsidRPr="00CD72C3">
        <w:rPr>
          <w:rFonts w:ascii="Calibri" w:hAnsi="Calibri" w:cs="Calibri"/>
          <w:sz w:val="24"/>
          <w:szCs w:val="24"/>
        </w:rPr>
        <w:t>to</w:t>
      </w:r>
      <w:proofErr w:type="gramEnd"/>
      <w:r w:rsidR="00683C09" w:rsidRPr="00CD72C3">
        <w:rPr>
          <w:rFonts w:ascii="Calibri" w:hAnsi="Calibri" w:cs="Calibri"/>
          <w:sz w:val="24"/>
          <w:szCs w:val="24"/>
        </w:rPr>
        <w:t xml:space="preserve"> </w:t>
      </w:r>
      <w:r w:rsidR="00D8435D" w:rsidRPr="00CD72C3">
        <w:rPr>
          <w:rFonts w:ascii="Calibri" w:hAnsi="Calibri" w:cs="Calibri"/>
          <w:sz w:val="24"/>
          <w:szCs w:val="24"/>
        </w:rPr>
        <w:t xml:space="preserve">about </w:t>
      </w:r>
      <w:r w:rsidR="00683C09" w:rsidRPr="00CD72C3">
        <w:rPr>
          <w:rFonts w:ascii="Calibri" w:hAnsi="Calibri" w:cs="Calibri"/>
          <w:sz w:val="24"/>
          <w:szCs w:val="24"/>
        </w:rPr>
        <w:t>1.</w:t>
      </w:r>
      <w:r w:rsidR="00F25646" w:rsidRPr="00CD72C3">
        <w:rPr>
          <w:rFonts w:ascii="Calibri" w:hAnsi="Calibri" w:cs="Calibri"/>
          <w:sz w:val="24"/>
          <w:szCs w:val="24"/>
        </w:rPr>
        <w:t>24</w:t>
      </w:r>
      <w:r w:rsidR="00683C09" w:rsidRPr="00CD72C3">
        <w:rPr>
          <w:rFonts w:ascii="Calibri" w:hAnsi="Calibri" w:cs="Calibri"/>
          <w:sz w:val="24"/>
          <w:szCs w:val="24"/>
        </w:rPr>
        <w:t xml:space="preserve"> percentage points</w:t>
      </w:r>
      <w:r w:rsidR="008074CE" w:rsidRPr="00CD72C3">
        <w:rPr>
          <w:rFonts w:ascii="Calibri" w:hAnsi="Calibri" w:cs="Calibri"/>
          <w:sz w:val="24"/>
          <w:szCs w:val="24"/>
        </w:rPr>
        <w:t xml:space="preserve">.  However, </w:t>
      </w:r>
      <w:r w:rsidR="00F25646" w:rsidRPr="00CD72C3">
        <w:rPr>
          <w:rFonts w:ascii="Calibri" w:hAnsi="Calibri" w:cs="Calibri"/>
          <w:sz w:val="24"/>
          <w:szCs w:val="24"/>
        </w:rPr>
        <w:t>in October and November,</w:t>
      </w:r>
      <w:r w:rsidR="00683C09" w:rsidRPr="00CD72C3">
        <w:rPr>
          <w:rFonts w:ascii="Calibri" w:hAnsi="Calibri" w:cs="Calibri"/>
          <w:sz w:val="24"/>
          <w:szCs w:val="24"/>
        </w:rPr>
        <w:t xml:space="preserve"> this spread </w:t>
      </w:r>
      <w:r w:rsidR="00F25646" w:rsidRPr="00CD72C3">
        <w:rPr>
          <w:rFonts w:ascii="Calibri" w:hAnsi="Calibri" w:cs="Calibri"/>
          <w:sz w:val="24"/>
          <w:szCs w:val="24"/>
        </w:rPr>
        <w:t>narrowe</w:t>
      </w:r>
      <w:r w:rsidR="008074CE" w:rsidRPr="00CD72C3">
        <w:rPr>
          <w:rFonts w:ascii="Calibri" w:hAnsi="Calibri" w:cs="Calibri"/>
          <w:sz w:val="24"/>
          <w:szCs w:val="24"/>
        </w:rPr>
        <w:t>d</w:t>
      </w:r>
      <w:r w:rsidR="00683C09" w:rsidRPr="00CD72C3">
        <w:rPr>
          <w:rFonts w:ascii="Calibri" w:hAnsi="Calibri" w:cs="Calibri"/>
          <w:sz w:val="24"/>
          <w:szCs w:val="24"/>
        </w:rPr>
        <w:t>,</w:t>
      </w:r>
      <w:r w:rsidR="008074CE" w:rsidRPr="00CD72C3">
        <w:rPr>
          <w:rFonts w:ascii="Calibri" w:hAnsi="Calibri" w:cs="Calibri"/>
          <w:sz w:val="24"/>
          <w:szCs w:val="24"/>
        </w:rPr>
        <w:t xml:space="preserve"> </w:t>
      </w:r>
      <w:r w:rsidR="00F25646" w:rsidRPr="00CD72C3">
        <w:rPr>
          <w:rFonts w:ascii="Calibri" w:hAnsi="Calibri" w:cs="Calibri"/>
          <w:sz w:val="24"/>
          <w:szCs w:val="24"/>
        </w:rPr>
        <w:t>to</w:t>
      </w:r>
      <w:r w:rsidR="008074CE" w:rsidRPr="00CD72C3">
        <w:rPr>
          <w:rFonts w:ascii="Calibri" w:hAnsi="Calibri" w:cs="Calibri"/>
          <w:sz w:val="24"/>
          <w:szCs w:val="24"/>
        </w:rPr>
        <w:t xml:space="preserve"> about</w:t>
      </w:r>
      <w:r w:rsidR="00683C09" w:rsidRPr="00CD72C3">
        <w:rPr>
          <w:rFonts w:ascii="Calibri" w:hAnsi="Calibri" w:cs="Calibri"/>
          <w:sz w:val="24"/>
          <w:szCs w:val="24"/>
        </w:rPr>
        <w:t xml:space="preserve"> 1.</w:t>
      </w:r>
      <w:r w:rsidR="00F25646" w:rsidRPr="00CD72C3">
        <w:rPr>
          <w:rFonts w:ascii="Calibri" w:hAnsi="Calibri" w:cs="Calibri"/>
          <w:sz w:val="24"/>
          <w:szCs w:val="24"/>
        </w:rPr>
        <w:t>0</w:t>
      </w:r>
      <w:r w:rsidR="008074CE" w:rsidRPr="00CD72C3">
        <w:rPr>
          <w:rFonts w:ascii="Calibri" w:hAnsi="Calibri" w:cs="Calibri"/>
          <w:sz w:val="24"/>
          <w:szCs w:val="24"/>
        </w:rPr>
        <w:t>1</w:t>
      </w:r>
      <w:r w:rsidR="00683C09" w:rsidRPr="00CD72C3">
        <w:rPr>
          <w:rFonts w:ascii="Calibri" w:hAnsi="Calibri" w:cs="Calibri"/>
          <w:sz w:val="24"/>
          <w:szCs w:val="24"/>
        </w:rPr>
        <w:t xml:space="preserve"> percentage points (Figure 4).</w:t>
      </w:r>
    </w:p>
    <w:p w14:paraId="0938FF2B" w14:textId="6EE1EF28" w:rsidR="008074CE" w:rsidRPr="00CD72C3" w:rsidRDefault="008074CE">
      <w:pPr>
        <w:rPr>
          <w:rFonts w:ascii="Calibri" w:hAnsi="Calibri" w:cs="Calibri"/>
          <w:b/>
          <w:bCs/>
          <w:sz w:val="24"/>
          <w:szCs w:val="24"/>
          <w:u w:val="single"/>
        </w:rPr>
      </w:pPr>
      <w:r w:rsidRPr="00CD72C3">
        <w:rPr>
          <w:rFonts w:ascii="Calibri" w:hAnsi="Calibri" w:cs="Calibri"/>
          <w:b/>
          <w:bCs/>
          <w:sz w:val="24"/>
          <w:szCs w:val="24"/>
          <w:u w:val="single"/>
        </w:rPr>
        <w:br w:type="page"/>
      </w:r>
    </w:p>
    <w:p w14:paraId="6CA0CF7C" w14:textId="77777777" w:rsidR="008074CE" w:rsidRPr="00CD72C3" w:rsidRDefault="008074CE" w:rsidP="008074CE">
      <w:pPr>
        <w:spacing w:after="0" w:line="240" w:lineRule="auto"/>
        <w:jc w:val="both"/>
        <w:rPr>
          <w:rFonts w:ascii="Calibri" w:hAnsi="Calibri" w:cs="Calibri"/>
          <w:b/>
          <w:bCs/>
          <w:sz w:val="24"/>
          <w:szCs w:val="24"/>
          <w:u w:val="single"/>
        </w:rPr>
      </w:pPr>
    </w:p>
    <w:p w14:paraId="462C8BDF" w14:textId="77777777" w:rsidR="00BD6B80" w:rsidRPr="00CD72C3" w:rsidRDefault="00BD6B80" w:rsidP="006E1851">
      <w:pPr>
        <w:spacing w:after="0" w:line="240" w:lineRule="auto"/>
        <w:jc w:val="center"/>
        <w:rPr>
          <w:rFonts w:ascii="Calibri" w:hAnsi="Calibri" w:cs="Calibri"/>
          <w:b/>
          <w:bCs/>
          <w:sz w:val="24"/>
          <w:szCs w:val="24"/>
          <w:u w:val="single"/>
        </w:rPr>
      </w:pPr>
    </w:p>
    <w:p w14:paraId="35FEC919" w14:textId="77777777" w:rsidR="00016D01" w:rsidRPr="00CD72C3" w:rsidRDefault="00A06BF2" w:rsidP="006E1851">
      <w:pPr>
        <w:spacing w:after="0" w:line="240" w:lineRule="auto"/>
        <w:jc w:val="center"/>
        <w:rPr>
          <w:rFonts w:ascii="Calibri" w:hAnsi="Calibri" w:cs="Calibri"/>
          <w:b/>
          <w:bCs/>
          <w:sz w:val="24"/>
          <w:szCs w:val="24"/>
          <w:u w:val="single"/>
        </w:rPr>
      </w:pPr>
      <w:r w:rsidRPr="00CD72C3">
        <w:rPr>
          <w:rFonts w:ascii="Calibri" w:hAnsi="Calibri" w:cs="Calibri"/>
          <w:b/>
          <w:bCs/>
          <w:sz w:val="24"/>
          <w:szCs w:val="24"/>
          <w:u w:val="single"/>
        </w:rPr>
        <w:t xml:space="preserve">Table 1: The </w:t>
      </w:r>
      <w:r w:rsidR="006E1851" w:rsidRPr="00CD72C3">
        <w:rPr>
          <w:rFonts w:ascii="Calibri" w:hAnsi="Calibri" w:cs="Calibri"/>
          <w:b/>
          <w:bCs/>
          <w:sz w:val="24"/>
          <w:szCs w:val="24"/>
          <w:u w:val="single"/>
        </w:rPr>
        <w:t>C</w:t>
      </w:r>
      <w:r w:rsidRPr="00CD72C3">
        <w:rPr>
          <w:rFonts w:ascii="Calibri" w:hAnsi="Calibri" w:cs="Calibri"/>
          <w:b/>
          <w:bCs/>
          <w:sz w:val="24"/>
          <w:szCs w:val="24"/>
          <w:u w:val="single"/>
        </w:rPr>
        <w:t xml:space="preserve">omposition of </w:t>
      </w:r>
      <w:r w:rsidR="006E1851" w:rsidRPr="00CD72C3">
        <w:rPr>
          <w:rFonts w:ascii="Calibri" w:hAnsi="Calibri" w:cs="Calibri"/>
          <w:b/>
          <w:bCs/>
          <w:sz w:val="24"/>
          <w:szCs w:val="24"/>
          <w:u w:val="single"/>
        </w:rPr>
        <w:t>B</w:t>
      </w:r>
      <w:r w:rsidRPr="00CD72C3">
        <w:rPr>
          <w:rFonts w:ascii="Calibri" w:hAnsi="Calibri" w:cs="Calibri"/>
          <w:b/>
          <w:bCs/>
          <w:sz w:val="24"/>
          <w:szCs w:val="24"/>
          <w:u w:val="single"/>
        </w:rPr>
        <w:t xml:space="preserve">usiness </w:t>
      </w:r>
      <w:r w:rsidR="006E1851" w:rsidRPr="00CD72C3">
        <w:rPr>
          <w:rFonts w:ascii="Calibri" w:hAnsi="Calibri" w:cs="Calibri"/>
          <w:b/>
          <w:bCs/>
          <w:sz w:val="24"/>
          <w:szCs w:val="24"/>
          <w:u w:val="single"/>
        </w:rPr>
        <w:t>S</w:t>
      </w:r>
      <w:r w:rsidRPr="00CD72C3">
        <w:rPr>
          <w:rFonts w:ascii="Calibri" w:hAnsi="Calibri" w:cs="Calibri"/>
          <w:b/>
          <w:bCs/>
          <w:sz w:val="24"/>
          <w:szCs w:val="24"/>
          <w:u w:val="single"/>
        </w:rPr>
        <w:t xml:space="preserve">ector </w:t>
      </w:r>
      <w:r w:rsidR="006E1851" w:rsidRPr="00CD72C3">
        <w:rPr>
          <w:rFonts w:ascii="Calibri" w:hAnsi="Calibri" w:cs="Calibri"/>
          <w:b/>
          <w:bCs/>
          <w:sz w:val="24"/>
          <w:szCs w:val="24"/>
          <w:u w:val="single"/>
        </w:rPr>
        <w:t>D</w:t>
      </w:r>
      <w:r w:rsidRPr="00CD72C3">
        <w:rPr>
          <w:rFonts w:ascii="Calibri" w:hAnsi="Calibri" w:cs="Calibri"/>
          <w:b/>
          <w:bCs/>
          <w:sz w:val="24"/>
          <w:szCs w:val="24"/>
          <w:u w:val="single"/>
        </w:rPr>
        <w:t>ebt</w:t>
      </w:r>
    </w:p>
    <w:p w14:paraId="0A758AD1" w14:textId="459B217D" w:rsidR="00A06BF2" w:rsidRPr="00CD72C3" w:rsidRDefault="003A3AF4" w:rsidP="005A41A8">
      <w:pPr>
        <w:spacing w:before="240" w:after="0" w:line="240" w:lineRule="auto"/>
        <w:jc w:val="center"/>
        <w:rPr>
          <w:rFonts w:ascii="Calibri" w:hAnsi="Calibri" w:cs="Calibri"/>
          <w:sz w:val="24"/>
          <w:szCs w:val="24"/>
        </w:rPr>
      </w:pPr>
      <w:r w:rsidRPr="00CD72C3">
        <w:rPr>
          <w:rFonts w:ascii="Calibri" w:hAnsi="Calibri" w:cs="Calibri"/>
          <w:noProof/>
        </w:rPr>
        <w:drawing>
          <wp:inline distT="0" distB="0" distL="0" distR="0" wp14:anchorId="4C63FDD3" wp14:editId="2E8ABEB9">
            <wp:extent cx="5940425" cy="2954634"/>
            <wp:effectExtent l="0" t="0" r="317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954634"/>
                    </a:xfrm>
                    <a:prstGeom prst="rect">
                      <a:avLst/>
                    </a:prstGeom>
                    <a:noFill/>
                    <a:ln>
                      <a:noFill/>
                    </a:ln>
                  </pic:spPr>
                </pic:pic>
              </a:graphicData>
            </a:graphic>
          </wp:inline>
        </w:drawing>
      </w:r>
    </w:p>
    <w:p w14:paraId="78B54D0C" w14:textId="77777777" w:rsidR="001B335C" w:rsidRPr="00CD72C3" w:rsidRDefault="001B335C" w:rsidP="004C4A1E">
      <w:pPr>
        <w:spacing w:before="480" w:line="240" w:lineRule="auto"/>
        <w:jc w:val="center"/>
        <w:rPr>
          <w:rFonts w:ascii="Calibri" w:hAnsi="Calibri" w:cs="Calibri"/>
          <w:b/>
          <w:bCs/>
          <w:sz w:val="24"/>
          <w:szCs w:val="24"/>
          <w:u w:val="single"/>
        </w:rPr>
      </w:pPr>
      <w:r w:rsidRPr="00CD72C3">
        <w:rPr>
          <w:rFonts w:ascii="Calibri" w:hAnsi="Calibri" w:cs="Calibri"/>
          <w:b/>
          <w:bCs/>
          <w:sz w:val="24"/>
          <w:szCs w:val="24"/>
          <w:u w:val="single"/>
        </w:rPr>
        <w:t>Figure 1: Estimated Net Quarterly Quantitative Change in Business Sector Debt</w:t>
      </w:r>
    </w:p>
    <w:p w14:paraId="5E59CD81" w14:textId="24AA5E9B" w:rsidR="005A41A8" w:rsidRPr="00CD72C3" w:rsidRDefault="003A3AF4" w:rsidP="004C4A1E">
      <w:pPr>
        <w:spacing w:after="0" w:line="240" w:lineRule="auto"/>
        <w:jc w:val="center"/>
        <w:rPr>
          <w:rFonts w:ascii="Calibri" w:hAnsi="Calibri" w:cs="Calibri"/>
          <w:sz w:val="24"/>
          <w:szCs w:val="24"/>
        </w:rPr>
      </w:pPr>
      <w:r w:rsidRPr="00CD72C3">
        <w:rPr>
          <w:rFonts w:ascii="Calibri" w:hAnsi="Calibri" w:cs="Calibri"/>
          <w:noProof/>
          <w:sz w:val="24"/>
          <w:szCs w:val="24"/>
        </w:rPr>
        <w:drawing>
          <wp:inline distT="0" distB="0" distL="0" distR="0" wp14:anchorId="2C935A97" wp14:editId="46CF4D00">
            <wp:extent cx="5258742" cy="315277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1640" cy="3154513"/>
                    </a:xfrm>
                    <a:prstGeom prst="rect">
                      <a:avLst/>
                    </a:prstGeom>
                    <a:noFill/>
                  </pic:spPr>
                </pic:pic>
              </a:graphicData>
            </a:graphic>
          </wp:inline>
        </w:drawing>
      </w:r>
    </w:p>
    <w:p w14:paraId="362DA95A" w14:textId="77777777" w:rsidR="00866494" w:rsidRPr="00CD72C3" w:rsidRDefault="00866494" w:rsidP="004C4A1E">
      <w:pPr>
        <w:spacing w:after="0" w:line="240" w:lineRule="auto"/>
        <w:jc w:val="center"/>
        <w:rPr>
          <w:rFonts w:ascii="Calibri" w:hAnsi="Calibri" w:cs="Calibri"/>
          <w:sz w:val="24"/>
          <w:szCs w:val="24"/>
        </w:rPr>
      </w:pPr>
    </w:p>
    <w:p w14:paraId="576F5789" w14:textId="77777777" w:rsidR="008074CE" w:rsidRPr="00CD72C3" w:rsidRDefault="008074CE">
      <w:pPr>
        <w:rPr>
          <w:rFonts w:ascii="Calibri" w:hAnsi="Calibri" w:cs="Calibri"/>
          <w:b/>
          <w:bCs/>
          <w:sz w:val="24"/>
          <w:szCs w:val="24"/>
          <w:u w:val="single"/>
        </w:rPr>
      </w:pPr>
      <w:r w:rsidRPr="00CD72C3">
        <w:rPr>
          <w:rFonts w:ascii="Calibri" w:hAnsi="Calibri" w:cs="Calibri"/>
          <w:b/>
          <w:bCs/>
          <w:sz w:val="24"/>
          <w:szCs w:val="24"/>
          <w:u w:val="single"/>
        </w:rPr>
        <w:br w:type="page"/>
      </w:r>
    </w:p>
    <w:p w14:paraId="10C6B338" w14:textId="0DDC4C7F" w:rsidR="006C4650" w:rsidRPr="00CD72C3" w:rsidRDefault="006C4650" w:rsidP="0035759F">
      <w:pPr>
        <w:rPr>
          <w:rFonts w:ascii="Calibri" w:hAnsi="Calibri" w:cs="Calibri"/>
          <w:b/>
          <w:bCs/>
          <w:sz w:val="24"/>
          <w:szCs w:val="24"/>
          <w:u w:val="single"/>
        </w:rPr>
      </w:pPr>
      <w:r w:rsidRPr="00CD72C3">
        <w:rPr>
          <w:rFonts w:ascii="Calibri" w:hAnsi="Calibri" w:cs="Calibri"/>
          <w:b/>
          <w:bCs/>
          <w:sz w:val="24"/>
          <w:szCs w:val="24"/>
          <w:u w:val="single"/>
        </w:rPr>
        <w:lastRenderedPageBreak/>
        <w:t xml:space="preserve">Figure 2: </w:t>
      </w:r>
      <w:r w:rsidR="00353BAF" w:rsidRPr="00CD72C3">
        <w:rPr>
          <w:rFonts w:ascii="Calibri" w:hAnsi="Calibri" w:cs="Calibri"/>
          <w:b/>
          <w:bCs/>
          <w:sz w:val="24"/>
          <w:szCs w:val="24"/>
          <w:u w:val="single"/>
        </w:rPr>
        <w:t>Rate of Change (Year on Year) in the Business Sector's Bank and Nonbank Debt</w:t>
      </w:r>
    </w:p>
    <w:p w14:paraId="31D636CC" w14:textId="07A1F34B" w:rsidR="006C4650" w:rsidRPr="00CD72C3" w:rsidRDefault="003A3AF4" w:rsidP="00206102">
      <w:pPr>
        <w:spacing w:before="480" w:after="0" w:line="240" w:lineRule="auto"/>
        <w:jc w:val="center"/>
        <w:rPr>
          <w:rFonts w:ascii="Calibri" w:hAnsi="Calibri" w:cs="Calibri"/>
          <w:b/>
          <w:bCs/>
          <w:sz w:val="24"/>
          <w:szCs w:val="24"/>
        </w:rPr>
      </w:pPr>
      <w:r w:rsidRPr="00CD72C3">
        <w:rPr>
          <w:rFonts w:ascii="Calibri" w:hAnsi="Calibri" w:cs="Calibri"/>
          <w:b/>
          <w:bCs/>
          <w:noProof/>
          <w:sz w:val="24"/>
          <w:szCs w:val="24"/>
        </w:rPr>
        <w:drawing>
          <wp:inline distT="0" distB="0" distL="0" distR="0" wp14:anchorId="680FA114" wp14:editId="00F66589">
            <wp:extent cx="5316220" cy="278638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6220" cy="2786380"/>
                    </a:xfrm>
                    <a:prstGeom prst="rect">
                      <a:avLst/>
                    </a:prstGeom>
                    <a:noFill/>
                  </pic:spPr>
                </pic:pic>
              </a:graphicData>
            </a:graphic>
          </wp:inline>
        </w:drawing>
      </w:r>
    </w:p>
    <w:p w14:paraId="67FF5DC0" w14:textId="77777777" w:rsidR="0083539E" w:rsidRPr="00CD72C3" w:rsidRDefault="0083539E" w:rsidP="0083539E">
      <w:pPr>
        <w:rPr>
          <w:rFonts w:ascii="Calibri" w:hAnsi="Calibri" w:cs="Calibri"/>
          <w:b/>
          <w:bCs/>
          <w:sz w:val="24"/>
          <w:szCs w:val="24"/>
          <w:u w:val="single"/>
        </w:rPr>
      </w:pPr>
    </w:p>
    <w:p w14:paraId="7C6626C4" w14:textId="2A06F55B" w:rsidR="00016D01" w:rsidRPr="00CD72C3" w:rsidRDefault="00C672E3" w:rsidP="0083539E">
      <w:pPr>
        <w:rPr>
          <w:rFonts w:ascii="Calibri" w:hAnsi="Calibri" w:cs="Calibri"/>
          <w:b/>
          <w:bCs/>
          <w:sz w:val="24"/>
          <w:szCs w:val="24"/>
          <w:u w:val="single"/>
        </w:rPr>
      </w:pPr>
      <w:r w:rsidRPr="00CD72C3">
        <w:rPr>
          <w:rFonts w:ascii="Calibri" w:hAnsi="Calibri" w:cs="Calibri"/>
          <w:b/>
          <w:bCs/>
          <w:sz w:val="24"/>
          <w:szCs w:val="24"/>
          <w:u w:val="single"/>
        </w:rPr>
        <w:t xml:space="preserve">Figure </w:t>
      </w:r>
      <w:r w:rsidR="006C4650" w:rsidRPr="00CD72C3">
        <w:rPr>
          <w:rFonts w:ascii="Calibri" w:hAnsi="Calibri" w:cs="Calibri"/>
          <w:b/>
          <w:bCs/>
          <w:sz w:val="24"/>
          <w:szCs w:val="24"/>
          <w:u w:val="single"/>
        </w:rPr>
        <w:t>3</w:t>
      </w:r>
      <w:r w:rsidRPr="00CD72C3">
        <w:rPr>
          <w:rFonts w:ascii="Calibri" w:hAnsi="Calibri" w:cs="Calibri"/>
          <w:b/>
          <w:bCs/>
          <w:sz w:val="24"/>
          <w:szCs w:val="24"/>
          <w:u w:val="single"/>
        </w:rPr>
        <w:t xml:space="preserve">: </w:t>
      </w:r>
      <w:r w:rsidR="00353BAF" w:rsidRPr="00CD72C3">
        <w:rPr>
          <w:rFonts w:ascii="Calibri" w:hAnsi="Calibri" w:cs="Calibri"/>
          <w:b/>
          <w:bCs/>
          <w:sz w:val="24"/>
          <w:szCs w:val="24"/>
          <w:u w:val="single"/>
        </w:rPr>
        <w:t>Nonfinancial Business Sector Bond Issuance during the quarter, by</w:t>
      </w:r>
      <w:r w:rsidR="00353BAF" w:rsidRPr="00CD72C3">
        <w:rPr>
          <w:rFonts w:ascii="Calibri" w:eastAsiaTheme="minorEastAsia" w:hAnsi="Calibri" w:cs="Calibri"/>
          <w:b/>
          <w:bCs/>
        </w:rPr>
        <w:t xml:space="preserve"> </w:t>
      </w:r>
      <w:r w:rsidR="00353BAF" w:rsidRPr="00CD72C3">
        <w:rPr>
          <w:rFonts w:ascii="Calibri" w:hAnsi="Calibri" w:cs="Calibri"/>
          <w:b/>
          <w:bCs/>
          <w:sz w:val="24"/>
          <w:szCs w:val="24"/>
          <w:u w:val="single"/>
        </w:rPr>
        <w:t xml:space="preserve">Industry   </w:t>
      </w:r>
    </w:p>
    <w:p w14:paraId="75EA2696" w14:textId="5B3C1998" w:rsidR="00C672E3" w:rsidRPr="00CD72C3" w:rsidRDefault="003A3AF4" w:rsidP="00206102">
      <w:pPr>
        <w:spacing w:before="240" w:after="0" w:line="240" w:lineRule="auto"/>
        <w:jc w:val="center"/>
        <w:rPr>
          <w:rFonts w:ascii="Calibri" w:hAnsi="Calibri" w:cs="Calibri"/>
        </w:rPr>
      </w:pPr>
      <w:r w:rsidRPr="00CD72C3">
        <w:rPr>
          <w:rFonts w:ascii="Calibri" w:hAnsi="Calibri" w:cs="Calibri"/>
          <w:noProof/>
        </w:rPr>
        <w:drawing>
          <wp:inline distT="0" distB="0" distL="0" distR="0" wp14:anchorId="787C3350" wp14:editId="0C48ADB1">
            <wp:extent cx="5041900" cy="2969260"/>
            <wp:effectExtent l="0" t="0" r="6350" b="254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0" cy="2969260"/>
                    </a:xfrm>
                    <a:prstGeom prst="rect">
                      <a:avLst/>
                    </a:prstGeom>
                    <a:noFill/>
                  </pic:spPr>
                </pic:pic>
              </a:graphicData>
            </a:graphic>
          </wp:inline>
        </w:drawing>
      </w:r>
    </w:p>
    <w:p w14:paraId="32D7434D" w14:textId="77777777" w:rsidR="00514DE4" w:rsidRPr="00CD72C3" w:rsidRDefault="00514DE4">
      <w:pPr>
        <w:rPr>
          <w:rFonts w:ascii="Calibri" w:hAnsi="Calibri" w:cs="Calibri"/>
          <w:b/>
          <w:bCs/>
          <w:sz w:val="24"/>
          <w:szCs w:val="24"/>
          <w:u w:val="single"/>
        </w:rPr>
      </w:pPr>
    </w:p>
    <w:p w14:paraId="3E3B2B5B" w14:textId="77777777" w:rsidR="0083539E" w:rsidRPr="00CD72C3" w:rsidRDefault="0083539E" w:rsidP="004C4A1E">
      <w:pPr>
        <w:spacing w:before="480" w:after="0" w:line="240" w:lineRule="auto"/>
        <w:jc w:val="center"/>
        <w:rPr>
          <w:rFonts w:ascii="Calibri" w:hAnsi="Calibri" w:cs="Calibri"/>
          <w:b/>
          <w:bCs/>
          <w:sz w:val="24"/>
          <w:szCs w:val="24"/>
          <w:u w:val="single"/>
        </w:rPr>
      </w:pPr>
    </w:p>
    <w:p w14:paraId="63B965AF" w14:textId="77777777" w:rsidR="0083539E" w:rsidRPr="00CD72C3" w:rsidRDefault="0083539E" w:rsidP="004C4A1E">
      <w:pPr>
        <w:spacing w:before="480" w:after="0" w:line="240" w:lineRule="auto"/>
        <w:jc w:val="center"/>
        <w:rPr>
          <w:rFonts w:ascii="Calibri" w:hAnsi="Calibri" w:cs="Calibri"/>
          <w:b/>
          <w:bCs/>
          <w:sz w:val="24"/>
          <w:szCs w:val="24"/>
          <w:u w:val="single"/>
        </w:rPr>
      </w:pPr>
    </w:p>
    <w:p w14:paraId="5AEE3564" w14:textId="77777777" w:rsidR="0083539E" w:rsidRPr="00CD72C3" w:rsidRDefault="0083539E" w:rsidP="004C4A1E">
      <w:pPr>
        <w:spacing w:before="480" w:after="0" w:line="240" w:lineRule="auto"/>
        <w:jc w:val="center"/>
        <w:rPr>
          <w:rFonts w:ascii="Calibri" w:hAnsi="Calibri" w:cs="Calibri"/>
          <w:b/>
          <w:bCs/>
          <w:sz w:val="24"/>
          <w:szCs w:val="24"/>
          <w:u w:val="single"/>
        </w:rPr>
      </w:pPr>
    </w:p>
    <w:p w14:paraId="073DAFBA" w14:textId="054ED1A9" w:rsidR="008A34E1" w:rsidRPr="00CD72C3" w:rsidRDefault="008A34E1" w:rsidP="004C4A1E">
      <w:pPr>
        <w:spacing w:before="480" w:after="0" w:line="240" w:lineRule="auto"/>
        <w:jc w:val="center"/>
        <w:rPr>
          <w:rFonts w:ascii="Calibri" w:hAnsi="Calibri" w:cs="Calibri"/>
          <w:b/>
          <w:bCs/>
          <w:sz w:val="24"/>
          <w:szCs w:val="24"/>
          <w:u w:val="single"/>
        </w:rPr>
      </w:pPr>
      <w:r w:rsidRPr="00CD72C3">
        <w:rPr>
          <w:rFonts w:ascii="Calibri" w:hAnsi="Calibri" w:cs="Calibri"/>
          <w:b/>
          <w:bCs/>
          <w:sz w:val="24"/>
          <w:szCs w:val="24"/>
          <w:u w:val="single"/>
        </w:rPr>
        <w:lastRenderedPageBreak/>
        <w:t xml:space="preserve">Figure </w:t>
      </w:r>
      <w:r w:rsidR="00E2691B" w:rsidRPr="00CD72C3">
        <w:rPr>
          <w:rFonts w:ascii="Calibri" w:hAnsi="Calibri" w:cs="Calibri"/>
          <w:b/>
          <w:bCs/>
          <w:sz w:val="24"/>
          <w:szCs w:val="24"/>
          <w:u w:val="single"/>
        </w:rPr>
        <w:t>4:</w:t>
      </w:r>
      <w:r w:rsidRPr="00CD72C3">
        <w:rPr>
          <w:rFonts w:ascii="Calibri" w:hAnsi="Calibri" w:cs="Calibri"/>
          <w:b/>
          <w:bCs/>
          <w:sz w:val="24"/>
          <w:szCs w:val="24"/>
          <w:u w:val="single"/>
        </w:rPr>
        <w:t xml:space="preserve"> Spread between Indexed Corporate Bonds (Tel-Bond 60) and Indexed Government Bonds (monthly average) </w:t>
      </w:r>
    </w:p>
    <w:p w14:paraId="648B225F" w14:textId="71EEC587" w:rsidR="008A34E1" w:rsidRPr="00CD72C3" w:rsidRDefault="003A3AF4" w:rsidP="00846F1D">
      <w:pPr>
        <w:spacing w:before="240" w:after="0" w:line="240" w:lineRule="auto"/>
        <w:jc w:val="center"/>
        <w:rPr>
          <w:rFonts w:ascii="Calibri" w:hAnsi="Calibri" w:cs="Calibri"/>
          <w:noProof/>
        </w:rPr>
      </w:pPr>
      <w:r w:rsidRPr="00CD72C3">
        <w:rPr>
          <w:rFonts w:ascii="Calibri" w:hAnsi="Calibri" w:cs="Calibri"/>
          <w:noProof/>
        </w:rPr>
        <w:drawing>
          <wp:inline distT="0" distB="0" distL="0" distR="0" wp14:anchorId="73B652AA" wp14:editId="496CE735">
            <wp:extent cx="5255260" cy="2603500"/>
            <wp:effectExtent l="0" t="0" r="2540" b="635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5260" cy="2603500"/>
                    </a:xfrm>
                    <a:prstGeom prst="rect">
                      <a:avLst/>
                    </a:prstGeom>
                    <a:noFill/>
                  </pic:spPr>
                </pic:pic>
              </a:graphicData>
            </a:graphic>
          </wp:inline>
        </w:drawing>
      </w:r>
    </w:p>
    <w:p w14:paraId="48B2925E" w14:textId="77777777" w:rsidR="008A34E1" w:rsidRPr="00CD72C3" w:rsidRDefault="008A34E1" w:rsidP="00C672E3">
      <w:pPr>
        <w:spacing w:after="0" w:line="240" w:lineRule="auto"/>
        <w:jc w:val="center"/>
        <w:rPr>
          <w:rFonts w:ascii="Calibri" w:hAnsi="Calibri" w:cs="Calibri"/>
          <w:sz w:val="24"/>
          <w:szCs w:val="24"/>
        </w:rPr>
      </w:pPr>
    </w:p>
    <w:p w14:paraId="05A603A8" w14:textId="77777777" w:rsidR="00A5598D" w:rsidRPr="00CD72C3" w:rsidRDefault="00A5598D" w:rsidP="00674023">
      <w:pPr>
        <w:spacing w:after="0" w:line="240" w:lineRule="auto"/>
        <w:rPr>
          <w:rFonts w:ascii="Calibri" w:hAnsi="Calibri" w:cs="Calibri"/>
          <w:sz w:val="24"/>
          <w:szCs w:val="24"/>
        </w:rPr>
      </w:pPr>
    </w:p>
    <w:p w14:paraId="4CE6FFE6" w14:textId="3345E572" w:rsidR="00A5598D" w:rsidRPr="00CD72C3" w:rsidRDefault="00A5598D" w:rsidP="00674023">
      <w:pPr>
        <w:spacing w:after="0" w:line="240" w:lineRule="auto"/>
        <w:rPr>
          <w:rFonts w:ascii="Calibri" w:hAnsi="Calibri" w:cs="Calibri"/>
          <w:sz w:val="24"/>
          <w:szCs w:val="24"/>
        </w:rPr>
      </w:pPr>
    </w:p>
    <w:p w14:paraId="5196B7D9" w14:textId="77777777" w:rsidR="00BD6B80" w:rsidRPr="00CD72C3" w:rsidRDefault="00BD6B80" w:rsidP="00BD6B80">
      <w:pPr>
        <w:spacing w:after="0" w:line="240" w:lineRule="auto"/>
        <w:rPr>
          <w:rFonts w:ascii="Calibri" w:hAnsi="Calibri" w:cs="Calibri"/>
          <w:b/>
          <w:bCs/>
          <w:sz w:val="24"/>
          <w:szCs w:val="24"/>
        </w:rPr>
      </w:pPr>
      <w:r w:rsidRPr="00CD72C3">
        <w:rPr>
          <w:rFonts w:ascii="Calibri" w:hAnsi="Calibri" w:cs="Calibri"/>
          <w:b/>
          <w:bCs/>
          <w:sz w:val="24"/>
          <w:szCs w:val="24"/>
        </w:rPr>
        <w:t>Household debt</w:t>
      </w:r>
    </w:p>
    <w:p w14:paraId="52AC6C53" w14:textId="5D565694" w:rsidR="0036761D" w:rsidRPr="00CD72C3" w:rsidRDefault="00936A8F" w:rsidP="00F25646">
      <w:pPr>
        <w:pStyle w:val="a3"/>
        <w:numPr>
          <w:ilvl w:val="0"/>
          <w:numId w:val="2"/>
        </w:numPr>
        <w:spacing w:after="0" w:line="240" w:lineRule="auto"/>
        <w:jc w:val="both"/>
        <w:rPr>
          <w:rFonts w:ascii="Calibri" w:hAnsi="Calibri" w:cs="Calibri"/>
          <w:sz w:val="24"/>
          <w:szCs w:val="24"/>
        </w:rPr>
      </w:pPr>
      <w:r w:rsidRPr="00CD72C3">
        <w:rPr>
          <w:rFonts w:ascii="Calibri" w:hAnsi="Calibri" w:cs="Calibri"/>
          <w:sz w:val="24"/>
          <w:szCs w:val="24"/>
        </w:rPr>
        <w:t xml:space="preserve">In the </w:t>
      </w:r>
      <w:r w:rsidR="007B2236" w:rsidRPr="00CD72C3">
        <w:rPr>
          <w:rFonts w:ascii="Calibri" w:hAnsi="Calibri" w:cs="Calibri"/>
          <w:sz w:val="24"/>
          <w:szCs w:val="24"/>
        </w:rPr>
        <w:t>third quarter</w:t>
      </w:r>
      <w:r w:rsidRPr="00CD72C3">
        <w:rPr>
          <w:rFonts w:ascii="Calibri" w:hAnsi="Calibri" w:cs="Calibri"/>
          <w:sz w:val="24"/>
          <w:szCs w:val="24"/>
        </w:rPr>
        <w:t xml:space="preserve"> of 2024, t</w:t>
      </w:r>
      <w:r w:rsidR="005D233F" w:rsidRPr="00CD72C3">
        <w:rPr>
          <w:rFonts w:ascii="Calibri" w:hAnsi="Calibri" w:cs="Calibri"/>
          <w:sz w:val="24"/>
          <w:szCs w:val="24"/>
        </w:rPr>
        <w:t xml:space="preserve">he </w:t>
      </w:r>
      <w:r w:rsidR="00406B46" w:rsidRPr="00CD72C3">
        <w:rPr>
          <w:rFonts w:ascii="Calibri" w:hAnsi="Calibri" w:cs="Calibri"/>
          <w:b/>
          <w:bCs/>
          <w:sz w:val="24"/>
          <w:szCs w:val="24"/>
        </w:rPr>
        <w:t xml:space="preserve">balance </w:t>
      </w:r>
      <w:r w:rsidR="005D233F" w:rsidRPr="00CD72C3">
        <w:rPr>
          <w:rFonts w:ascii="Calibri" w:hAnsi="Calibri" w:cs="Calibri"/>
          <w:b/>
          <w:bCs/>
          <w:sz w:val="24"/>
          <w:szCs w:val="24"/>
        </w:rPr>
        <w:t>of h</w:t>
      </w:r>
      <w:r w:rsidR="00BD6B80" w:rsidRPr="00CD72C3">
        <w:rPr>
          <w:rFonts w:ascii="Calibri" w:hAnsi="Calibri" w:cs="Calibri"/>
          <w:b/>
          <w:bCs/>
          <w:sz w:val="24"/>
          <w:szCs w:val="24"/>
        </w:rPr>
        <w:t>ouseholds’ outstanding debt</w:t>
      </w:r>
      <w:r w:rsidR="00406B46" w:rsidRPr="00CD72C3">
        <w:rPr>
          <w:rFonts w:ascii="Calibri" w:hAnsi="Calibri" w:cs="Calibri"/>
          <w:sz w:val="24"/>
          <w:szCs w:val="24"/>
        </w:rPr>
        <w:t xml:space="preserve"> </w:t>
      </w:r>
      <w:r w:rsidR="008074CE" w:rsidRPr="00CD72C3">
        <w:rPr>
          <w:rFonts w:ascii="Calibri" w:hAnsi="Calibri" w:cs="Calibri"/>
          <w:sz w:val="24"/>
          <w:szCs w:val="24"/>
        </w:rPr>
        <w:t>continued to</w:t>
      </w:r>
      <w:r w:rsidRPr="00CD72C3">
        <w:rPr>
          <w:rFonts w:ascii="Calibri" w:hAnsi="Calibri" w:cs="Calibri"/>
          <w:sz w:val="24"/>
          <w:szCs w:val="24"/>
        </w:rPr>
        <w:t xml:space="preserve"> </w:t>
      </w:r>
      <w:r w:rsidR="00683C09" w:rsidRPr="00CD72C3">
        <w:rPr>
          <w:rFonts w:ascii="Calibri" w:hAnsi="Calibri" w:cs="Calibri"/>
          <w:sz w:val="24"/>
          <w:szCs w:val="24"/>
        </w:rPr>
        <w:t xml:space="preserve">increase, </w:t>
      </w:r>
      <w:r w:rsidR="0027509F" w:rsidRPr="00CD72C3">
        <w:rPr>
          <w:rFonts w:ascii="Calibri" w:hAnsi="Calibri" w:cs="Calibri"/>
          <w:sz w:val="24"/>
          <w:szCs w:val="24"/>
        </w:rPr>
        <w:t xml:space="preserve">by </w:t>
      </w:r>
      <w:r w:rsidR="00F25646" w:rsidRPr="00CD72C3">
        <w:rPr>
          <w:rFonts w:ascii="Calibri" w:hAnsi="Calibri" w:cs="Calibri"/>
          <w:sz w:val="24"/>
          <w:szCs w:val="24"/>
        </w:rPr>
        <w:t xml:space="preserve">about </w:t>
      </w:r>
      <w:r w:rsidR="008074CE" w:rsidRPr="00CD72C3">
        <w:rPr>
          <w:rFonts w:ascii="Calibri" w:hAnsi="Calibri" w:cs="Calibri"/>
          <w:sz w:val="24"/>
          <w:szCs w:val="24"/>
        </w:rPr>
        <w:t>NIS 1</w:t>
      </w:r>
      <w:r w:rsidR="00F25646" w:rsidRPr="00CD72C3">
        <w:rPr>
          <w:rFonts w:ascii="Calibri" w:hAnsi="Calibri" w:cs="Calibri"/>
          <w:sz w:val="24"/>
          <w:szCs w:val="24"/>
        </w:rPr>
        <w:t>9</w:t>
      </w:r>
      <w:r w:rsidR="008074CE" w:rsidRPr="00CD72C3">
        <w:rPr>
          <w:rFonts w:ascii="Calibri" w:hAnsi="Calibri" w:cs="Calibri"/>
          <w:sz w:val="24"/>
          <w:szCs w:val="24"/>
        </w:rPr>
        <w:t xml:space="preserve"> billion</w:t>
      </w:r>
      <w:r w:rsidR="0027509F" w:rsidRPr="00CD72C3">
        <w:rPr>
          <w:rFonts w:ascii="Calibri" w:hAnsi="Calibri" w:cs="Calibri"/>
          <w:sz w:val="24"/>
          <w:szCs w:val="24"/>
        </w:rPr>
        <w:t xml:space="preserve"> (about </w:t>
      </w:r>
      <w:r w:rsidR="00684074" w:rsidRPr="00CD72C3">
        <w:rPr>
          <w:rFonts w:ascii="Calibri" w:hAnsi="Calibri" w:cs="Calibri"/>
          <w:sz w:val="24"/>
          <w:szCs w:val="24"/>
        </w:rPr>
        <w:t>2</w:t>
      </w:r>
      <w:r w:rsidR="00F25646" w:rsidRPr="00CD72C3">
        <w:rPr>
          <w:rFonts w:ascii="Calibri" w:hAnsi="Calibri" w:cs="Calibri"/>
          <w:sz w:val="24"/>
          <w:szCs w:val="24"/>
        </w:rPr>
        <w:t>.3</w:t>
      </w:r>
      <w:r w:rsidR="0027509F" w:rsidRPr="00CD72C3">
        <w:rPr>
          <w:rFonts w:ascii="Calibri" w:hAnsi="Calibri" w:cs="Calibri"/>
          <w:sz w:val="24"/>
          <w:szCs w:val="24"/>
        </w:rPr>
        <w:t xml:space="preserve"> </w:t>
      </w:r>
      <w:r w:rsidR="00684074" w:rsidRPr="00CD72C3">
        <w:rPr>
          <w:rFonts w:ascii="Calibri" w:hAnsi="Calibri" w:cs="Calibri"/>
          <w:sz w:val="24"/>
          <w:szCs w:val="24"/>
        </w:rPr>
        <w:t>percent</w:t>
      </w:r>
      <w:r w:rsidR="0027509F" w:rsidRPr="00CD72C3">
        <w:rPr>
          <w:rFonts w:ascii="Calibri" w:hAnsi="Calibri" w:cs="Calibri"/>
          <w:sz w:val="24"/>
          <w:szCs w:val="24"/>
        </w:rPr>
        <w:t xml:space="preserve">) </w:t>
      </w:r>
      <w:r w:rsidR="00684074" w:rsidRPr="00CD72C3">
        <w:rPr>
          <w:rFonts w:ascii="Calibri" w:hAnsi="Calibri" w:cs="Calibri"/>
          <w:sz w:val="24"/>
          <w:szCs w:val="24"/>
        </w:rPr>
        <w:t>to about NIS 8</w:t>
      </w:r>
      <w:r w:rsidR="00F25646" w:rsidRPr="00CD72C3">
        <w:rPr>
          <w:rFonts w:ascii="Calibri" w:hAnsi="Calibri" w:cs="Calibri"/>
          <w:sz w:val="24"/>
          <w:szCs w:val="24"/>
        </w:rPr>
        <w:t>3</w:t>
      </w:r>
      <w:r w:rsidR="00684074" w:rsidRPr="00CD72C3">
        <w:rPr>
          <w:rFonts w:ascii="Calibri" w:hAnsi="Calibri" w:cs="Calibri"/>
          <w:sz w:val="24"/>
          <w:szCs w:val="24"/>
        </w:rPr>
        <w:t xml:space="preserve">1 billion.  Most of the increase was in the balance of </w:t>
      </w:r>
      <w:r w:rsidR="00684074" w:rsidRPr="00CD72C3">
        <w:rPr>
          <w:rFonts w:ascii="Calibri" w:hAnsi="Calibri" w:cs="Calibri"/>
          <w:b/>
          <w:bCs/>
          <w:sz w:val="24"/>
          <w:szCs w:val="24"/>
        </w:rPr>
        <w:t xml:space="preserve">housing </w:t>
      </w:r>
      <w:r w:rsidR="00684074" w:rsidRPr="00CD72C3">
        <w:rPr>
          <w:rFonts w:ascii="Calibri" w:hAnsi="Calibri" w:cs="Calibri"/>
          <w:sz w:val="24"/>
          <w:szCs w:val="24"/>
        </w:rPr>
        <w:t xml:space="preserve">debt, mostly to banks, which increased at a </w:t>
      </w:r>
      <w:r w:rsidR="00F25646" w:rsidRPr="00CD72C3">
        <w:rPr>
          <w:rFonts w:ascii="Calibri" w:hAnsi="Calibri" w:cs="Calibri"/>
          <w:sz w:val="24"/>
          <w:szCs w:val="24"/>
        </w:rPr>
        <w:t xml:space="preserve">slightly </w:t>
      </w:r>
      <w:r w:rsidR="00684074" w:rsidRPr="00CD72C3">
        <w:rPr>
          <w:rFonts w:ascii="Calibri" w:hAnsi="Calibri" w:cs="Calibri"/>
          <w:sz w:val="24"/>
          <w:szCs w:val="24"/>
        </w:rPr>
        <w:t>higher rate than in the previous quarter (about 2</w:t>
      </w:r>
      <w:r w:rsidR="00F25646" w:rsidRPr="00CD72C3">
        <w:rPr>
          <w:rFonts w:ascii="Calibri" w:hAnsi="Calibri" w:cs="Calibri"/>
          <w:sz w:val="24"/>
          <w:szCs w:val="24"/>
        </w:rPr>
        <w:t>.3</w:t>
      </w:r>
      <w:r w:rsidR="00684074" w:rsidRPr="00CD72C3">
        <w:rPr>
          <w:rFonts w:ascii="Calibri" w:hAnsi="Calibri" w:cs="Calibri"/>
          <w:sz w:val="24"/>
          <w:szCs w:val="24"/>
        </w:rPr>
        <w:t xml:space="preserve"> percent compared with </w:t>
      </w:r>
      <w:r w:rsidR="00F25646" w:rsidRPr="00CD72C3">
        <w:rPr>
          <w:rFonts w:ascii="Calibri" w:hAnsi="Calibri" w:cs="Calibri"/>
          <w:sz w:val="24"/>
          <w:szCs w:val="24"/>
        </w:rPr>
        <w:t xml:space="preserve">about </w:t>
      </w:r>
      <w:r w:rsidR="00684074" w:rsidRPr="00CD72C3">
        <w:rPr>
          <w:rFonts w:ascii="Calibri" w:hAnsi="Calibri" w:cs="Calibri"/>
          <w:sz w:val="24"/>
          <w:szCs w:val="24"/>
        </w:rPr>
        <w:t>1</w:t>
      </w:r>
      <w:r w:rsidR="00F25646" w:rsidRPr="00CD72C3">
        <w:rPr>
          <w:rFonts w:ascii="Calibri" w:hAnsi="Calibri" w:cs="Calibri"/>
          <w:sz w:val="24"/>
          <w:szCs w:val="24"/>
        </w:rPr>
        <w:t>.8</w:t>
      </w:r>
      <w:r w:rsidR="00684074" w:rsidRPr="00CD72C3">
        <w:rPr>
          <w:rFonts w:ascii="Calibri" w:hAnsi="Calibri" w:cs="Calibri"/>
          <w:sz w:val="24"/>
          <w:szCs w:val="24"/>
        </w:rPr>
        <w:t xml:space="preserve"> percent in the previous quarter). </w:t>
      </w:r>
      <w:proofErr w:type="spellStart"/>
      <w:r w:rsidR="0027509F" w:rsidRPr="00CD72C3">
        <w:rPr>
          <w:rFonts w:ascii="Calibri" w:hAnsi="Calibri" w:cs="Calibri"/>
          <w:b/>
          <w:bCs/>
          <w:sz w:val="24"/>
          <w:szCs w:val="24"/>
        </w:rPr>
        <w:t>N</w:t>
      </w:r>
      <w:r w:rsidR="00BD6B80" w:rsidRPr="00CD72C3">
        <w:rPr>
          <w:rFonts w:ascii="Calibri" w:hAnsi="Calibri" w:cs="Calibri"/>
          <w:b/>
          <w:bCs/>
          <w:sz w:val="24"/>
          <w:szCs w:val="24"/>
        </w:rPr>
        <w:t>onhousing</w:t>
      </w:r>
      <w:proofErr w:type="spellEnd"/>
      <w:r w:rsidR="0027509F" w:rsidRPr="00CD72C3">
        <w:rPr>
          <w:rFonts w:ascii="Calibri" w:hAnsi="Calibri" w:cs="Calibri"/>
          <w:b/>
          <w:bCs/>
          <w:sz w:val="24"/>
          <w:szCs w:val="24"/>
        </w:rPr>
        <w:t xml:space="preserve"> </w:t>
      </w:r>
      <w:r w:rsidR="00BD6B80" w:rsidRPr="00CD72C3">
        <w:rPr>
          <w:rFonts w:ascii="Calibri" w:hAnsi="Calibri" w:cs="Calibri"/>
          <w:b/>
          <w:bCs/>
          <w:sz w:val="24"/>
          <w:szCs w:val="24"/>
        </w:rPr>
        <w:t>debt</w:t>
      </w:r>
      <w:r w:rsidR="00BD6B80" w:rsidRPr="00CD72C3">
        <w:rPr>
          <w:rFonts w:ascii="Calibri" w:hAnsi="Calibri" w:cs="Calibri"/>
          <w:sz w:val="24"/>
          <w:szCs w:val="24"/>
        </w:rPr>
        <w:t xml:space="preserve"> </w:t>
      </w:r>
      <w:r w:rsidR="0027509F" w:rsidRPr="00CD72C3">
        <w:rPr>
          <w:rFonts w:ascii="Calibri" w:hAnsi="Calibri" w:cs="Calibri"/>
          <w:sz w:val="24"/>
          <w:szCs w:val="24"/>
        </w:rPr>
        <w:t>increase</w:t>
      </w:r>
      <w:r w:rsidR="00684074" w:rsidRPr="00CD72C3">
        <w:rPr>
          <w:rFonts w:ascii="Calibri" w:hAnsi="Calibri" w:cs="Calibri"/>
          <w:sz w:val="24"/>
          <w:szCs w:val="24"/>
        </w:rPr>
        <w:t>d by</w:t>
      </w:r>
      <w:r w:rsidR="00C84000" w:rsidRPr="00CD72C3">
        <w:rPr>
          <w:rFonts w:ascii="Calibri" w:hAnsi="Calibri" w:cs="Calibri"/>
          <w:sz w:val="24"/>
          <w:szCs w:val="24"/>
        </w:rPr>
        <w:t xml:space="preserve"> about NIS </w:t>
      </w:r>
      <w:r w:rsidR="00F25646" w:rsidRPr="00CD72C3">
        <w:rPr>
          <w:rFonts w:ascii="Calibri" w:hAnsi="Calibri" w:cs="Calibri"/>
          <w:sz w:val="24"/>
          <w:szCs w:val="24"/>
        </w:rPr>
        <w:t>5</w:t>
      </w:r>
      <w:r w:rsidR="00C84000" w:rsidRPr="00CD72C3">
        <w:rPr>
          <w:rFonts w:ascii="Calibri" w:hAnsi="Calibri" w:cs="Calibri"/>
          <w:sz w:val="24"/>
          <w:szCs w:val="24"/>
        </w:rPr>
        <w:t xml:space="preserve"> billion</w:t>
      </w:r>
      <w:r w:rsidR="00684074" w:rsidRPr="00CD72C3">
        <w:rPr>
          <w:rFonts w:ascii="Calibri" w:hAnsi="Calibri" w:cs="Calibri"/>
          <w:sz w:val="24"/>
          <w:szCs w:val="24"/>
        </w:rPr>
        <w:t xml:space="preserve"> (</w:t>
      </w:r>
      <w:r w:rsidR="00F25646" w:rsidRPr="00CD72C3">
        <w:rPr>
          <w:rFonts w:ascii="Calibri" w:hAnsi="Calibri" w:cs="Calibri"/>
          <w:sz w:val="24"/>
          <w:szCs w:val="24"/>
        </w:rPr>
        <w:t>2.2</w:t>
      </w:r>
      <w:r w:rsidR="00684074" w:rsidRPr="00CD72C3">
        <w:rPr>
          <w:rFonts w:ascii="Calibri" w:hAnsi="Calibri" w:cs="Calibri"/>
          <w:sz w:val="24"/>
          <w:szCs w:val="24"/>
        </w:rPr>
        <w:t xml:space="preserve"> percent</w:t>
      </w:r>
      <w:r w:rsidR="0036761D" w:rsidRPr="00CD72C3">
        <w:rPr>
          <w:rFonts w:ascii="Calibri" w:hAnsi="Calibri" w:cs="Calibri"/>
          <w:sz w:val="24"/>
          <w:szCs w:val="24"/>
        </w:rPr>
        <w:t xml:space="preserve">) </w:t>
      </w:r>
      <w:r w:rsidR="00C84000" w:rsidRPr="00CD72C3">
        <w:rPr>
          <w:rFonts w:ascii="Calibri" w:hAnsi="Calibri" w:cs="Calibri"/>
          <w:sz w:val="24"/>
          <w:szCs w:val="24"/>
        </w:rPr>
        <w:t>to</w:t>
      </w:r>
      <w:r w:rsidR="00684074" w:rsidRPr="00CD72C3">
        <w:rPr>
          <w:rFonts w:ascii="Calibri" w:hAnsi="Calibri" w:cs="Calibri"/>
          <w:sz w:val="24"/>
          <w:szCs w:val="24"/>
        </w:rPr>
        <w:t xml:space="preserve"> about</w:t>
      </w:r>
      <w:r w:rsidR="00C84000" w:rsidRPr="00CD72C3">
        <w:rPr>
          <w:rFonts w:ascii="Calibri" w:hAnsi="Calibri" w:cs="Calibri"/>
          <w:sz w:val="24"/>
          <w:szCs w:val="24"/>
        </w:rPr>
        <w:t xml:space="preserve"> NIS </w:t>
      </w:r>
      <w:r w:rsidR="0036761D" w:rsidRPr="00CD72C3">
        <w:rPr>
          <w:rFonts w:ascii="Calibri" w:hAnsi="Calibri" w:cs="Calibri"/>
          <w:sz w:val="24"/>
          <w:szCs w:val="24"/>
        </w:rPr>
        <w:t>2</w:t>
      </w:r>
      <w:r w:rsidR="00F25646" w:rsidRPr="00CD72C3">
        <w:rPr>
          <w:rFonts w:ascii="Calibri" w:hAnsi="Calibri" w:cs="Calibri"/>
          <w:sz w:val="24"/>
          <w:szCs w:val="24"/>
        </w:rPr>
        <w:t>34</w:t>
      </w:r>
      <w:r w:rsidR="0036761D" w:rsidRPr="00CD72C3">
        <w:rPr>
          <w:rFonts w:ascii="Calibri" w:hAnsi="Calibri" w:cs="Calibri"/>
          <w:sz w:val="24"/>
          <w:szCs w:val="24"/>
        </w:rPr>
        <w:t xml:space="preserve"> </w:t>
      </w:r>
      <w:r w:rsidR="00C84000" w:rsidRPr="00CD72C3">
        <w:rPr>
          <w:rFonts w:ascii="Calibri" w:hAnsi="Calibri" w:cs="Calibri"/>
          <w:sz w:val="24"/>
          <w:szCs w:val="24"/>
        </w:rPr>
        <w:t>billion</w:t>
      </w:r>
      <w:r w:rsidR="0036761D" w:rsidRPr="00CD72C3">
        <w:rPr>
          <w:rFonts w:ascii="Calibri" w:hAnsi="Calibri" w:cs="Calibri"/>
          <w:sz w:val="24"/>
          <w:szCs w:val="24"/>
        </w:rPr>
        <w:t>,</w:t>
      </w:r>
      <w:r w:rsidR="00684074" w:rsidRPr="00CD72C3">
        <w:rPr>
          <w:rFonts w:ascii="Calibri" w:hAnsi="Calibri" w:cs="Calibri"/>
          <w:sz w:val="24"/>
          <w:szCs w:val="24"/>
        </w:rPr>
        <w:t xml:space="preserve"> mostly in outstanding debt to banks</w:t>
      </w:r>
      <w:r w:rsidR="00F25646" w:rsidRPr="00CD72C3">
        <w:rPr>
          <w:rFonts w:ascii="Calibri" w:hAnsi="Calibri" w:cs="Calibri"/>
          <w:sz w:val="24"/>
          <w:szCs w:val="24"/>
        </w:rPr>
        <w:t xml:space="preserve"> and credit card companies</w:t>
      </w:r>
      <w:r w:rsidR="00684074" w:rsidRPr="00CD72C3">
        <w:rPr>
          <w:rFonts w:ascii="Calibri" w:hAnsi="Calibri" w:cs="Calibri"/>
          <w:sz w:val="24"/>
          <w:szCs w:val="24"/>
        </w:rPr>
        <w:t xml:space="preserve">. </w:t>
      </w:r>
    </w:p>
    <w:p w14:paraId="634BDB29" w14:textId="79370962" w:rsidR="00ED554D" w:rsidRPr="00CD72C3" w:rsidRDefault="00F25646" w:rsidP="00033390">
      <w:pPr>
        <w:pStyle w:val="a3"/>
        <w:numPr>
          <w:ilvl w:val="0"/>
          <w:numId w:val="2"/>
        </w:numPr>
        <w:spacing w:after="0" w:line="240" w:lineRule="auto"/>
        <w:jc w:val="both"/>
        <w:rPr>
          <w:rFonts w:ascii="Calibri" w:hAnsi="Calibri" w:cs="Calibri"/>
          <w:sz w:val="24"/>
          <w:szCs w:val="24"/>
        </w:rPr>
      </w:pPr>
      <w:r w:rsidRPr="00CD72C3">
        <w:rPr>
          <w:rFonts w:ascii="Calibri" w:hAnsi="Calibri" w:cs="Calibri"/>
          <w:sz w:val="24"/>
          <w:szCs w:val="24"/>
        </w:rPr>
        <w:t>Due to these effects, t</w:t>
      </w:r>
      <w:r w:rsidR="00ED554D" w:rsidRPr="00CD72C3">
        <w:rPr>
          <w:rFonts w:ascii="Calibri" w:hAnsi="Calibri" w:cs="Calibri"/>
          <w:sz w:val="24"/>
          <w:szCs w:val="24"/>
        </w:rPr>
        <w:t>he annual growth rate</w:t>
      </w:r>
      <w:r w:rsidR="00C70F48" w:rsidRPr="00CD72C3">
        <w:rPr>
          <w:rFonts w:ascii="Calibri" w:hAnsi="Calibri" w:cs="Calibri"/>
          <w:sz w:val="24"/>
          <w:szCs w:val="24"/>
        </w:rPr>
        <w:t xml:space="preserve"> </w:t>
      </w:r>
      <w:r w:rsidR="00ED554D" w:rsidRPr="00CD72C3">
        <w:rPr>
          <w:rFonts w:ascii="Calibri" w:hAnsi="Calibri" w:cs="Calibri"/>
          <w:sz w:val="24"/>
          <w:szCs w:val="24"/>
        </w:rPr>
        <w:t xml:space="preserve">of </w:t>
      </w:r>
      <w:r w:rsidR="00555468" w:rsidRPr="00CD72C3">
        <w:rPr>
          <w:rFonts w:ascii="Calibri" w:hAnsi="Calibri" w:cs="Calibri"/>
          <w:sz w:val="24"/>
          <w:szCs w:val="24"/>
        </w:rPr>
        <w:t xml:space="preserve">housing debt </w:t>
      </w:r>
      <w:r w:rsidR="00684074" w:rsidRPr="00CD72C3">
        <w:rPr>
          <w:rFonts w:ascii="Calibri" w:hAnsi="Calibri" w:cs="Calibri"/>
          <w:sz w:val="24"/>
          <w:szCs w:val="24"/>
        </w:rPr>
        <w:t>increased</w:t>
      </w:r>
      <w:r w:rsidR="00555468" w:rsidRPr="00CD72C3">
        <w:rPr>
          <w:rFonts w:ascii="Calibri" w:hAnsi="Calibri" w:cs="Calibri"/>
          <w:sz w:val="24"/>
          <w:szCs w:val="24"/>
        </w:rPr>
        <w:t xml:space="preserve"> </w:t>
      </w:r>
      <w:r w:rsidRPr="00CD72C3">
        <w:rPr>
          <w:rFonts w:ascii="Calibri" w:hAnsi="Calibri" w:cs="Calibri"/>
          <w:sz w:val="24"/>
          <w:szCs w:val="24"/>
        </w:rPr>
        <w:t>to</w:t>
      </w:r>
      <w:r w:rsidR="00684074" w:rsidRPr="00CD72C3">
        <w:rPr>
          <w:rFonts w:ascii="Calibri" w:hAnsi="Calibri" w:cs="Calibri"/>
          <w:sz w:val="24"/>
          <w:szCs w:val="24"/>
        </w:rPr>
        <w:t xml:space="preserve"> about</w:t>
      </w:r>
      <w:r w:rsidR="00555468" w:rsidRPr="00CD72C3">
        <w:rPr>
          <w:rFonts w:ascii="Calibri" w:hAnsi="Calibri" w:cs="Calibri"/>
          <w:sz w:val="24"/>
          <w:szCs w:val="24"/>
        </w:rPr>
        <w:t xml:space="preserve"> </w:t>
      </w:r>
      <w:r w:rsidRPr="00CD72C3">
        <w:rPr>
          <w:rFonts w:ascii="Calibri" w:hAnsi="Calibri" w:cs="Calibri"/>
          <w:sz w:val="24"/>
          <w:szCs w:val="24"/>
        </w:rPr>
        <w:t>6</w:t>
      </w:r>
      <w:r w:rsidR="00555468" w:rsidRPr="00CD72C3">
        <w:rPr>
          <w:rFonts w:ascii="Calibri" w:hAnsi="Calibri" w:cs="Calibri"/>
          <w:sz w:val="24"/>
          <w:szCs w:val="24"/>
        </w:rPr>
        <w:t xml:space="preserve"> percent</w:t>
      </w:r>
      <w:r w:rsidR="00684074" w:rsidRPr="00CD72C3">
        <w:rPr>
          <w:rFonts w:ascii="Calibri" w:hAnsi="Calibri" w:cs="Calibri"/>
          <w:sz w:val="24"/>
          <w:szCs w:val="24"/>
        </w:rPr>
        <w:t xml:space="preserve"> in the </w:t>
      </w:r>
      <w:r w:rsidR="007B2236" w:rsidRPr="00CD72C3">
        <w:rPr>
          <w:rFonts w:ascii="Calibri" w:hAnsi="Calibri" w:cs="Calibri"/>
          <w:sz w:val="24"/>
          <w:szCs w:val="24"/>
        </w:rPr>
        <w:t>third quarter</w:t>
      </w:r>
      <w:r w:rsidRPr="00CD72C3">
        <w:rPr>
          <w:rFonts w:ascii="Calibri" w:hAnsi="Calibri" w:cs="Calibri"/>
          <w:sz w:val="24"/>
          <w:szCs w:val="24"/>
        </w:rPr>
        <w:t>, further to the moderate increase since the beginning of the year</w:t>
      </w:r>
      <w:r w:rsidR="00684074" w:rsidRPr="00CD72C3">
        <w:rPr>
          <w:rFonts w:ascii="Calibri" w:hAnsi="Calibri" w:cs="Calibri"/>
          <w:sz w:val="24"/>
          <w:szCs w:val="24"/>
        </w:rPr>
        <w:t>.</w:t>
      </w:r>
      <w:r w:rsidR="00B62162" w:rsidRPr="00CD72C3">
        <w:rPr>
          <w:rFonts w:ascii="Calibri" w:hAnsi="Calibri" w:cs="Calibri"/>
          <w:sz w:val="24"/>
          <w:szCs w:val="24"/>
        </w:rPr>
        <w:t xml:space="preserve"> </w:t>
      </w:r>
      <w:r w:rsidR="00684074" w:rsidRPr="00CD72C3">
        <w:rPr>
          <w:rFonts w:ascii="Calibri" w:hAnsi="Calibri" w:cs="Calibri"/>
          <w:sz w:val="24"/>
          <w:szCs w:val="24"/>
        </w:rPr>
        <w:t>T</w:t>
      </w:r>
      <w:r w:rsidR="00B62162" w:rsidRPr="00CD72C3">
        <w:rPr>
          <w:rFonts w:ascii="Calibri" w:hAnsi="Calibri" w:cs="Calibri"/>
          <w:sz w:val="24"/>
          <w:szCs w:val="24"/>
        </w:rPr>
        <w:t xml:space="preserve">he </w:t>
      </w:r>
      <w:r w:rsidR="00760844" w:rsidRPr="00CD72C3">
        <w:rPr>
          <w:rFonts w:ascii="Calibri" w:hAnsi="Calibri" w:cs="Calibri"/>
          <w:sz w:val="24"/>
          <w:szCs w:val="24"/>
        </w:rPr>
        <w:t xml:space="preserve">annual growth rate of </w:t>
      </w:r>
      <w:proofErr w:type="spellStart"/>
      <w:r w:rsidR="002A3332" w:rsidRPr="00CD72C3">
        <w:rPr>
          <w:rFonts w:ascii="Calibri" w:hAnsi="Calibri" w:cs="Calibri"/>
          <w:sz w:val="24"/>
          <w:szCs w:val="24"/>
        </w:rPr>
        <w:t>nonhousing</w:t>
      </w:r>
      <w:proofErr w:type="spellEnd"/>
      <w:r w:rsidR="002A3332" w:rsidRPr="00CD72C3">
        <w:rPr>
          <w:rFonts w:ascii="Calibri" w:hAnsi="Calibri" w:cs="Calibri"/>
          <w:sz w:val="24"/>
          <w:szCs w:val="24"/>
        </w:rPr>
        <w:t xml:space="preserve"> debt </w:t>
      </w:r>
      <w:r w:rsidR="00684074" w:rsidRPr="00CD72C3">
        <w:rPr>
          <w:rFonts w:ascii="Calibri" w:hAnsi="Calibri" w:cs="Calibri"/>
          <w:sz w:val="24"/>
          <w:szCs w:val="24"/>
        </w:rPr>
        <w:t xml:space="preserve">also </w:t>
      </w:r>
      <w:r w:rsidR="00B62162" w:rsidRPr="00CD72C3">
        <w:rPr>
          <w:rFonts w:ascii="Calibri" w:hAnsi="Calibri" w:cs="Calibri"/>
          <w:sz w:val="24"/>
          <w:szCs w:val="24"/>
        </w:rPr>
        <w:t>increased</w:t>
      </w:r>
      <w:r w:rsidR="00684074" w:rsidRPr="00CD72C3">
        <w:rPr>
          <w:rFonts w:ascii="Calibri" w:hAnsi="Calibri" w:cs="Calibri"/>
          <w:sz w:val="24"/>
          <w:szCs w:val="24"/>
        </w:rPr>
        <w:t>,</w:t>
      </w:r>
      <w:r w:rsidR="00B62162" w:rsidRPr="00CD72C3">
        <w:rPr>
          <w:rFonts w:ascii="Calibri" w:hAnsi="Calibri" w:cs="Calibri"/>
          <w:sz w:val="24"/>
          <w:szCs w:val="24"/>
        </w:rPr>
        <w:t xml:space="preserve"> but</w:t>
      </w:r>
      <w:r w:rsidR="00033390" w:rsidRPr="00CD72C3">
        <w:rPr>
          <w:rFonts w:ascii="Calibri" w:hAnsi="Calibri" w:cs="Calibri"/>
          <w:sz w:val="24"/>
          <w:szCs w:val="24"/>
        </w:rPr>
        <w:t xml:space="preserve"> remained low</w:t>
      </w:r>
      <w:r w:rsidR="00760844" w:rsidRPr="00CD72C3">
        <w:rPr>
          <w:rFonts w:ascii="Calibri" w:hAnsi="Calibri" w:cs="Calibri"/>
          <w:sz w:val="24"/>
          <w:szCs w:val="24"/>
        </w:rPr>
        <w:t xml:space="preserve"> at</w:t>
      </w:r>
      <w:r w:rsidR="00C84306" w:rsidRPr="00CD72C3">
        <w:rPr>
          <w:rFonts w:ascii="Calibri" w:hAnsi="Calibri" w:cs="Calibri"/>
          <w:sz w:val="24"/>
          <w:szCs w:val="24"/>
        </w:rPr>
        <w:t xml:space="preserve"> </w:t>
      </w:r>
      <w:r w:rsidR="00ED554D" w:rsidRPr="00CD72C3">
        <w:rPr>
          <w:rFonts w:ascii="Calibri" w:hAnsi="Calibri" w:cs="Calibri"/>
          <w:sz w:val="24"/>
          <w:szCs w:val="24"/>
        </w:rPr>
        <w:t xml:space="preserve">about </w:t>
      </w:r>
      <w:r w:rsidR="00684074" w:rsidRPr="00CD72C3">
        <w:rPr>
          <w:rFonts w:ascii="Calibri" w:hAnsi="Calibri" w:cs="Calibri"/>
          <w:sz w:val="24"/>
          <w:szCs w:val="24"/>
        </w:rPr>
        <w:t>1</w:t>
      </w:r>
      <w:r w:rsidR="00ED554D" w:rsidRPr="00CD72C3">
        <w:rPr>
          <w:rFonts w:ascii="Calibri" w:hAnsi="Calibri" w:cs="Calibri"/>
          <w:sz w:val="24"/>
          <w:szCs w:val="24"/>
        </w:rPr>
        <w:t xml:space="preserve"> percent</w:t>
      </w:r>
      <w:r w:rsidR="00033390" w:rsidRPr="00CD72C3">
        <w:rPr>
          <w:rFonts w:ascii="Calibri" w:hAnsi="Calibri" w:cs="Calibri"/>
          <w:sz w:val="24"/>
          <w:szCs w:val="24"/>
        </w:rPr>
        <w:t xml:space="preserve"> at the end of the quarter</w:t>
      </w:r>
      <w:r w:rsidR="00ED554D" w:rsidRPr="00CD72C3">
        <w:rPr>
          <w:rFonts w:ascii="Calibri" w:hAnsi="Calibri" w:cs="Calibri"/>
          <w:sz w:val="24"/>
          <w:szCs w:val="24"/>
        </w:rPr>
        <w:t xml:space="preserve"> (Figure 5).</w:t>
      </w:r>
    </w:p>
    <w:p w14:paraId="1D3F3C03" w14:textId="507055FB" w:rsidR="00555468" w:rsidRPr="00CD72C3" w:rsidRDefault="00760844" w:rsidP="00033390">
      <w:pPr>
        <w:pStyle w:val="a3"/>
        <w:numPr>
          <w:ilvl w:val="0"/>
          <w:numId w:val="2"/>
        </w:numPr>
        <w:spacing w:after="0" w:line="240" w:lineRule="auto"/>
        <w:jc w:val="both"/>
        <w:rPr>
          <w:rFonts w:ascii="Calibri" w:hAnsi="Calibri" w:cs="Calibri"/>
          <w:sz w:val="24"/>
          <w:szCs w:val="24"/>
        </w:rPr>
      </w:pPr>
      <w:r w:rsidRPr="00CD72C3">
        <w:rPr>
          <w:rFonts w:ascii="Calibri" w:hAnsi="Calibri" w:cs="Calibri"/>
          <w:sz w:val="24"/>
          <w:szCs w:val="24"/>
        </w:rPr>
        <w:t xml:space="preserve">The increase in housing debt is a result of the </w:t>
      </w:r>
      <w:r w:rsidR="00684074" w:rsidRPr="00CD72C3">
        <w:rPr>
          <w:rFonts w:ascii="Calibri" w:hAnsi="Calibri" w:cs="Calibri"/>
          <w:sz w:val="24"/>
          <w:szCs w:val="24"/>
        </w:rPr>
        <w:t>recovery</w:t>
      </w:r>
      <w:r w:rsidRPr="00CD72C3">
        <w:rPr>
          <w:rFonts w:ascii="Calibri" w:hAnsi="Calibri" w:cs="Calibri"/>
          <w:sz w:val="24"/>
          <w:szCs w:val="24"/>
        </w:rPr>
        <w:t xml:space="preserve"> in new mortgage borrowing from the banks</w:t>
      </w:r>
      <w:r w:rsidR="00684074" w:rsidRPr="00CD72C3">
        <w:rPr>
          <w:rFonts w:ascii="Calibri" w:hAnsi="Calibri" w:cs="Calibri"/>
          <w:sz w:val="24"/>
          <w:szCs w:val="24"/>
        </w:rPr>
        <w:t>, which began at the end of 2023.</w:t>
      </w:r>
      <w:r w:rsidRPr="00CD72C3">
        <w:rPr>
          <w:rFonts w:ascii="Calibri" w:hAnsi="Calibri" w:cs="Calibri"/>
          <w:sz w:val="24"/>
          <w:szCs w:val="24"/>
        </w:rPr>
        <w:t xml:space="preserve"> </w:t>
      </w:r>
      <w:r w:rsidR="00BD6B80" w:rsidRPr="00CD72C3">
        <w:rPr>
          <w:rFonts w:ascii="Calibri" w:hAnsi="Calibri" w:cs="Calibri"/>
          <w:sz w:val="24"/>
          <w:szCs w:val="24"/>
        </w:rPr>
        <w:t xml:space="preserve">In </w:t>
      </w:r>
      <w:r w:rsidR="00520BBE" w:rsidRPr="00CD72C3">
        <w:rPr>
          <w:rFonts w:ascii="Calibri" w:hAnsi="Calibri" w:cs="Calibri"/>
          <w:sz w:val="24"/>
          <w:szCs w:val="24"/>
        </w:rPr>
        <w:t xml:space="preserve">the </w:t>
      </w:r>
      <w:r w:rsidR="007B2236" w:rsidRPr="00CD72C3">
        <w:rPr>
          <w:rFonts w:ascii="Calibri" w:hAnsi="Calibri" w:cs="Calibri"/>
          <w:sz w:val="24"/>
          <w:szCs w:val="24"/>
        </w:rPr>
        <w:t>third quarter</w:t>
      </w:r>
      <w:r w:rsidR="001246EE" w:rsidRPr="00CD72C3">
        <w:rPr>
          <w:rFonts w:ascii="Calibri" w:hAnsi="Calibri" w:cs="Calibri"/>
          <w:sz w:val="24"/>
          <w:szCs w:val="24"/>
        </w:rPr>
        <w:t xml:space="preserve"> of </w:t>
      </w:r>
      <w:r w:rsidR="00596A54" w:rsidRPr="00CD72C3">
        <w:rPr>
          <w:rFonts w:ascii="Calibri" w:hAnsi="Calibri" w:cs="Calibri"/>
          <w:sz w:val="24"/>
          <w:szCs w:val="24"/>
        </w:rPr>
        <w:t>2024</w:t>
      </w:r>
      <w:r w:rsidR="00BD6B80" w:rsidRPr="00CD72C3">
        <w:rPr>
          <w:rFonts w:ascii="Calibri" w:hAnsi="Calibri" w:cs="Calibri"/>
          <w:sz w:val="24"/>
          <w:szCs w:val="24"/>
        </w:rPr>
        <w:t xml:space="preserve">, </w:t>
      </w:r>
      <w:r w:rsidR="00555468" w:rsidRPr="00CD72C3">
        <w:rPr>
          <w:rFonts w:ascii="Calibri" w:hAnsi="Calibri" w:cs="Calibri"/>
          <w:sz w:val="24"/>
          <w:szCs w:val="24"/>
        </w:rPr>
        <w:t xml:space="preserve">after adjusting for seasonal effects, </w:t>
      </w:r>
      <w:r w:rsidR="00BD6B80" w:rsidRPr="00CD72C3">
        <w:rPr>
          <w:rFonts w:ascii="Calibri" w:hAnsi="Calibri" w:cs="Calibri"/>
          <w:sz w:val="24"/>
          <w:szCs w:val="24"/>
        </w:rPr>
        <w:t>new mortgage</w:t>
      </w:r>
      <w:r w:rsidR="00684074" w:rsidRPr="00CD72C3">
        <w:rPr>
          <w:rFonts w:ascii="Calibri" w:hAnsi="Calibri" w:cs="Calibri"/>
          <w:sz w:val="24"/>
          <w:szCs w:val="24"/>
        </w:rPr>
        <w:t xml:space="preserve"> borrowing </w:t>
      </w:r>
      <w:r w:rsidR="00B43755" w:rsidRPr="00CD72C3">
        <w:rPr>
          <w:rFonts w:ascii="Calibri" w:hAnsi="Calibri" w:cs="Calibri"/>
          <w:sz w:val="24"/>
          <w:szCs w:val="24"/>
        </w:rPr>
        <w:t>totaled about</w:t>
      </w:r>
      <w:r w:rsidR="00BD6B80" w:rsidRPr="00CD72C3">
        <w:rPr>
          <w:rFonts w:ascii="Calibri" w:hAnsi="Calibri" w:cs="Calibri"/>
          <w:sz w:val="24"/>
          <w:szCs w:val="24"/>
        </w:rPr>
        <w:t xml:space="preserve"> NIS </w:t>
      </w:r>
      <w:r w:rsidR="00684074" w:rsidRPr="00CD72C3">
        <w:rPr>
          <w:rFonts w:ascii="Calibri" w:hAnsi="Calibri" w:cs="Calibri"/>
          <w:sz w:val="24"/>
          <w:szCs w:val="24"/>
        </w:rPr>
        <w:t>2</w:t>
      </w:r>
      <w:r w:rsidR="00033390" w:rsidRPr="00CD72C3">
        <w:rPr>
          <w:rFonts w:ascii="Calibri" w:hAnsi="Calibri" w:cs="Calibri"/>
          <w:sz w:val="24"/>
          <w:szCs w:val="24"/>
        </w:rPr>
        <w:t>4</w:t>
      </w:r>
      <w:r w:rsidR="00330702" w:rsidRPr="00CD72C3">
        <w:rPr>
          <w:rFonts w:ascii="Calibri" w:hAnsi="Calibri" w:cs="Calibri"/>
          <w:sz w:val="24"/>
          <w:szCs w:val="24"/>
        </w:rPr>
        <w:t xml:space="preserve"> </w:t>
      </w:r>
      <w:r w:rsidR="00555468" w:rsidRPr="00CD72C3">
        <w:rPr>
          <w:rFonts w:ascii="Calibri" w:hAnsi="Calibri" w:cs="Calibri"/>
          <w:sz w:val="24"/>
          <w:szCs w:val="24"/>
        </w:rPr>
        <w:t>billion</w:t>
      </w:r>
      <w:r w:rsidR="004914DA" w:rsidRPr="00CD72C3">
        <w:rPr>
          <w:rFonts w:ascii="Calibri" w:hAnsi="Calibri" w:cs="Calibri"/>
          <w:sz w:val="24"/>
          <w:szCs w:val="24"/>
        </w:rPr>
        <w:t xml:space="preserve">, </w:t>
      </w:r>
      <w:r w:rsidR="00684074" w:rsidRPr="00CD72C3">
        <w:rPr>
          <w:rFonts w:ascii="Calibri" w:hAnsi="Calibri" w:cs="Calibri"/>
          <w:sz w:val="24"/>
          <w:szCs w:val="24"/>
        </w:rPr>
        <w:t>high</w:t>
      </w:r>
      <w:r w:rsidR="004914DA" w:rsidRPr="00CD72C3">
        <w:rPr>
          <w:rFonts w:ascii="Calibri" w:hAnsi="Calibri" w:cs="Calibri"/>
          <w:sz w:val="24"/>
          <w:szCs w:val="24"/>
        </w:rPr>
        <w:t>er than the corresponding period of the previous year (about NIS 1</w:t>
      </w:r>
      <w:r w:rsidR="00033390" w:rsidRPr="00CD72C3">
        <w:rPr>
          <w:rFonts w:ascii="Calibri" w:hAnsi="Calibri" w:cs="Calibri"/>
          <w:sz w:val="24"/>
          <w:szCs w:val="24"/>
        </w:rPr>
        <w:t>9</w:t>
      </w:r>
      <w:r w:rsidR="004914DA" w:rsidRPr="00CD72C3">
        <w:rPr>
          <w:rFonts w:ascii="Calibri" w:hAnsi="Calibri" w:cs="Calibri"/>
          <w:sz w:val="24"/>
          <w:szCs w:val="24"/>
        </w:rPr>
        <w:t xml:space="preserve"> billion). </w:t>
      </w:r>
      <w:r w:rsidR="00680CE7" w:rsidRPr="00CD72C3">
        <w:rPr>
          <w:rFonts w:ascii="Calibri" w:hAnsi="Calibri" w:cs="Calibri"/>
          <w:sz w:val="24"/>
          <w:szCs w:val="24"/>
        </w:rPr>
        <w:t>I</w:t>
      </w:r>
      <w:r w:rsidR="004914DA" w:rsidRPr="00CD72C3">
        <w:rPr>
          <w:rFonts w:ascii="Calibri" w:hAnsi="Calibri" w:cs="Calibri"/>
          <w:sz w:val="24"/>
          <w:szCs w:val="24"/>
        </w:rPr>
        <w:t xml:space="preserve">n </w:t>
      </w:r>
      <w:r w:rsidR="00033390" w:rsidRPr="00CD72C3">
        <w:rPr>
          <w:rFonts w:ascii="Calibri" w:hAnsi="Calibri" w:cs="Calibri"/>
          <w:sz w:val="24"/>
          <w:szCs w:val="24"/>
        </w:rPr>
        <w:t>October</w:t>
      </w:r>
      <w:r w:rsidR="00684074" w:rsidRPr="00CD72C3">
        <w:rPr>
          <w:rFonts w:ascii="Calibri" w:hAnsi="Calibri" w:cs="Calibri"/>
          <w:sz w:val="24"/>
          <w:szCs w:val="24"/>
        </w:rPr>
        <w:t>–</w:t>
      </w:r>
      <w:r w:rsidR="00033390" w:rsidRPr="00CD72C3">
        <w:rPr>
          <w:rFonts w:ascii="Calibri" w:hAnsi="Calibri" w:cs="Calibri"/>
          <w:sz w:val="24"/>
          <w:szCs w:val="24"/>
        </w:rPr>
        <w:t>November</w:t>
      </w:r>
      <w:r w:rsidR="004914DA" w:rsidRPr="00CD72C3">
        <w:rPr>
          <w:rFonts w:ascii="Calibri" w:hAnsi="Calibri" w:cs="Calibri"/>
          <w:sz w:val="24"/>
          <w:szCs w:val="24"/>
        </w:rPr>
        <w:t xml:space="preserve"> 2024, </w:t>
      </w:r>
      <w:r w:rsidR="00684074" w:rsidRPr="00CD72C3">
        <w:rPr>
          <w:rFonts w:ascii="Calibri" w:hAnsi="Calibri" w:cs="Calibri"/>
          <w:sz w:val="24"/>
          <w:szCs w:val="24"/>
        </w:rPr>
        <w:t>the increase continued, mainly</w:t>
      </w:r>
      <w:r w:rsidR="004914DA" w:rsidRPr="00CD72C3">
        <w:rPr>
          <w:rFonts w:ascii="Calibri" w:hAnsi="Calibri" w:cs="Calibri"/>
          <w:sz w:val="24"/>
          <w:szCs w:val="24"/>
        </w:rPr>
        <w:t xml:space="preserve"> seasonal</w:t>
      </w:r>
      <w:r w:rsidR="00684074" w:rsidRPr="00CD72C3">
        <w:rPr>
          <w:rFonts w:ascii="Calibri" w:hAnsi="Calibri" w:cs="Calibri"/>
          <w:sz w:val="24"/>
          <w:szCs w:val="24"/>
        </w:rPr>
        <w:t>, with new mortgage borrowing averaging</w:t>
      </w:r>
      <w:r w:rsidR="004914DA" w:rsidRPr="00CD72C3">
        <w:rPr>
          <w:rFonts w:ascii="Calibri" w:hAnsi="Calibri" w:cs="Calibri"/>
          <w:sz w:val="24"/>
          <w:szCs w:val="24"/>
        </w:rPr>
        <w:t xml:space="preserve"> </w:t>
      </w:r>
      <w:r w:rsidR="00033390" w:rsidRPr="00CD72C3">
        <w:rPr>
          <w:rFonts w:ascii="Calibri" w:hAnsi="Calibri" w:cs="Calibri"/>
          <w:sz w:val="24"/>
          <w:szCs w:val="24"/>
        </w:rPr>
        <w:t xml:space="preserve">about </w:t>
      </w:r>
      <w:r w:rsidR="004914DA" w:rsidRPr="00CD72C3">
        <w:rPr>
          <w:rFonts w:ascii="Calibri" w:hAnsi="Calibri" w:cs="Calibri"/>
          <w:sz w:val="24"/>
          <w:szCs w:val="24"/>
        </w:rPr>
        <w:t xml:space="preserve">NIS </w:t>
      </w:r>
      <w:r w:rsidR="00033390" w:rsidRPr="00CD72C3">
        <w:rPr>
          <w:rFonts w:ascii="Calibri" w:hAnsi="Calibri" w:cs="Calibri"/>
          <w:sz w:val="24"/>
          <w:szCs w:val="24"/>
        </w:rPr>
        <w:t>9</w:t>
      </w:r>
      <w:r w:rsidR="004914DA" w:rsidRPr="00CD72C3">
        <w:rPr>
          <w:rFonts w:ascii="Calibri" w:hAnsi="Calibri" w:cs="Calibri"/>
          <w:sz w:val="24"/>
          <w:szCs w:val="24"/>
        </w:rPr>
        <w:t xml:space="preserve"> billion</w:t>
      </w:r>
      <w:r w:rsidR="00684074" w:rsidRPr="00CD72C3">
        <w:rPr>
          <w:rFonts w:ascii="Calibri" w:hAnsi="Calibri" w:cs="Calibri"/>
          <w:sz w:val="24"/>
          <w:szCs w:val="24"/>
        </w:rPr>
        <w:t xml:space="preserve"> per month, seasonally adjusted</w:t>
      </w:r>
      <w:r w:rsidR="004914DA" w:rsidRPr="00CD72C3">
        <w:rPr>
          <w:rFonts w:ascii="Calibri" w:hAnsi="Calibri" w:cs="Calibri"/>
          <w:sz w:val="24"/>
          <w:szCs w:val="24"/>
        </w:rPr>
        <w:t xml:space="preserve"> (Figure 6).</w:t>
      </w:r>
    </w:p>
    <w:p w14:paraId="5F18E53D" w14:textId="6D9C13D5" w:rsidR="004C4A1E" w:rsidRPr="00CD72C3" w:rsidRDefault="004C4A1E" w:rsidP="001B4DE7">
      <w:pPr>
        <w:spacing w:after="0" w:line="240" w:lineRule="auto"/>
        <w:jc w:val="both"/>
        <w:rPr>
          <w:rFonts w:ascii="Calibri" w:hAnsi="Calibri" w:cs="Calibri"/>
          <w:sz w:val="24"/>
          <w:szCs w:val="24"/>
        </w:rPr>
      </w:pPr>
    </w:p>
    <w:p w14:paraId="591F4075" w14:textId="551359B0" w:rsidR="00684074" w:rsidRPr="00CD72C3" w:rsidRDefault="00684074">
      <w:pPr>
        <w:rPr>
          <w:rFonts w:ascii="Calibri" w:hAnsi="Calibri" w:cs="Calibri"/>
          <w:sz w:val="24"/>
          <w:szCs w:val="24"/>
        </w:rPr>
      </w:pPr>
      <w:r w:rsidRPr="00CD72C3">
        <w:rPr>
          <w:rFonts w:ascii="Calibri" w:hAnsi="Calibri" w:cs="Calibri"/>
          <w:sz w:val="24"/>
          <w:szCs w:val="24"/>
        </w:rPr>
        <w:br w:type="page"/>
      </w:r>
    </w:p>
    <w:p w14:paraId="62648C78" w14:textId="77777777" w:rsidR="004C4A1E" w:rsidRPr="00CD72C3" w:rsidRDefault="004C4A1E" w:rsidP="004C4A1E">
      <w:pPr>
        <w:spacing w:after="0" w:line="240" w:lineRule="auto"/>
        <w:jc w:val="both"/>
        <w:rPr>
          <w:rFonts w:ascii="Calibri" w:hAnsi="Calibri" w:cs="Calibri"/>
          <w:sz w:val="24"/>
          <w:szCs w:val="24"/>
        </w:rPr>
      </w:pPr>
    </w:p>
    <w:p w14:paraId="1EF8A68B" w14:textId="77777777" w:rsidR="00E12D2E" w:rsidRPr="00CD72C3" w:rsidRDefault="00E12D2E" w:rsidP="004C4A1E">
      <w:pPr>
        <w:jc w:val="center"/>
        <w:rPr>
          <w:rFonts w:ascii="Calibri" w:hAnsi="Calibri" w:cs="Calibri"/>
          <w:b/>
          <w:bCs/>
          <w:sz w:val="24"/>
          <w:szCs w:val="24"/>
          <w:u w:val="single"/>
        </w:rPr>
      </w:pPr>
      <w:r w:rsidRPr="00CD72C3">
        <w:rPr>
          <w:rFonts w:ascii="Calibri" w:hAnsi="Calibri" w:cs="Calibri"/>
          <w:b/>
          <w:bCs/>
          <w:sz w:val="24"/>
          <w:szCs w:val="24"/>
          <w:u w:val="single"/>
        </w:rPr>
        <w:t xml:space="preserve">Table </w:t>
      </w:r>
      <w:r w:rsidR="002808EA" w:rsidRPr="00CD72C3">
        <w:rPr>
          <w:rFonts w:ascii="Calibri" w:hAnsi="Calibri" w:cs="Calibri"/>
          <w:b/>
          <w:bCs/>
          <w:sz w:val="24"/>
          <w:szCs w:val="24"/>
          <w:u w:val="single"/>
        </w:rPr>
        <w:t>2</w:t>
      </w:r>
      <w:r w:rsidRPr="00CD72C3">
        <w:rPr>
          <w:rFonts w:ascii="Calibri" w:hAnsi="Calibri" w:cs="Calibri"/>
          <w:b/>
          <w:bCs/>
          <w:sz w:val="24"/>
          <w:szCs w:val="24"/>
          <w:u w:val="single"/>
        </w:rPr>
        <w:t xml:space="preserve">: Outstanding </w:t>
      </w:r>
      <w:r w:rsidR="006E1851" w:rsidRPr="00CD72C3">
        <w:rPr>
          <w:rFonts w:ascii="Calibri" w:hAnsi="Calibri" w:cs="Calibri"/>
          <w:b/>
          <w:bCs/>
          <w:sz w:val="24"/>
          <w:szCs w:val="24"/>
          <w:u w:val="single"/>
        </w:rPr>
        <w:t>D</w:t>
      </w:r>
      <w:r w:rsidRPr="00CD72C3">
        <w:rPr>
          <w:rFonts w:ascii="Calibri" w:hAnsi="Calibri" w:cs="Calibri"/>
          <w:b/>
          <w:bCs/>
          <w:sz w:val="24"/>
          <w:szCs w:val="24"/>
          <w:u w:val="single"/>
        </w:rPr>
        <w:t xml:space="preserve">ebt </w:t>
      </w:r>
      <w:r w:rsidR="006E1851" w:rsidRPr="00CD72C3">
        <w:rPr>
          <w:rFonts w:ascii="Calibri" w:hAnsi="Calibri" w:cs="Calibri"/>
          <w:b/>
          <w:bCs/>
          <w:sz w:val="24"/>
          <w:szCs w:val="24"/>
          <w:u w:val="single"/>
        </w:rPr>
        <w:t>B</w:t>
      </w:r>
      <w:r w:rsidRPr="00CD72C3">
        <w:rPr>
          <w:rFonts w:ascii="Calibri" w:hAnsi="Calibri" w:cs="Calibri"/>
          <w:b/>
          <w:bCs/>
          <w:sz w:val="24"/>
          <w:szCs w:val="24"/>
          <w:u w:val="single"/>
        </w:rPr>
        <w:t xml:space="preserve">alances of </w:t>
      </w:r>
      <w:r w:rsidR="006E1851" w:rsidRPr="00CD72C3">
        <w:rPr>
          <w:rFonts w:ascii="Calibri" w:hAnsi="Calibri" w:cs="Calibri"/>
          <w:b/>
          <w:bCs/>
          <w:sz w:val="24"/>
          <w:szCs w:val="24"/>
          <w:u w:val="single"/>
        </w:rPr>
        <w:t>H</w:t>
      </w:r>
      <w:r w:rsidRPr="00CD72C3">
        <w:rPr>
          <w:rFonts w:ascii="Calibri" w:hAnsi="Calibri" w:cs="Calibri"/>
          <w:b/>
          <w:bCs/>
          <w:sz w:val="24"/>
          <w:szCs w:val="24"/>
          <w:u w:val="single"/>
        </w:rPr>
        <w:t>ouseholds</w:t>
      </w:r>
      <w:r w:rsidR="00EF7E00" w:rsidRPr="00CD72C3">
        <w:rPr>
          <w:rFonts w:ascii="Calibri" w:hAnsi="Calibri" w:cs="Calibri"/>
          <w:b/>
          <w:bCs/>
          <w:sz w:val="24"/>
          <w:szCs w:val="24"/>
          <w:u w:val="single"/>
          <w:vertAlign w:val="superscript"/>
        </w:rPr>
        <w:t>1</w:t>
      </w:r>
    </w:p>
    <w:p w14:paraId="4419D466" w14:textId="3705C7C2" w:rsidR="00E12D2E" w:rsidRPr="00CD72C3" w:rsidRDefault="0044240A" w:rsidP="00846F1D">
      <w:pPr>
        <w:spacing w:before="240" w:after="0" w:line="240" w:lineRule="auto"/>
        <w:jc w:val="center"/>
        <w:rPr>
          <w:rFonts w:ascii="Calibri" w:hAnsi="Calibri" w:cs="Calibri"/>
          <w:noProof/>
        </w:rPr>
      </w:pPr>
      <w:r w:rsidRPr="00CD72C3">
        <w:rPr>
          <w:rFonts w:ascii="Calibri" w:hAnsi="Calibri" w:cs="Calibri"/>
          <w:noProof/>
        </w:rPr>
        <w:drawing>
          <wp:inline distT="0" distB="0" distL="0" distR="0" wp14:anchorId="7CA75EBE" wp14:editId="4F1A20C5">
            <wp:extent cx="5940425" cy="3996683"/>
            <wp:effectExtent l="0" t="0" r="3175" b="444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996683"/>
                    </a:xfrm>
                    <a:prstGeom prst="rect">
                      <a:avLst/>
                    </a:prstGeom>
                    <a:noFill/>
                    <a:ln>
                      <a:noFill/>
                    </a:ln>
                  </pic:spPr>
                </pic:pic>
              </a:graphicData>
            </a:graphic>
          </wp:inline>
        </w:drawing>
      </w:r>
    </w:p>
    <w:p w14:paraId="26F1833C" w14:textId="77777777" w:rsidR="00A5598D" w:rsidRPr="00CD72C3" w:rsidRDefault="002A455A" w:rsidP="004C4A1E">
      <w:pPr>
        <w:spacing w:before="480" w:line="240" w:lineRule="auto"/>
        <w:jc w:val="center"/>
        <w:rPr>
          <w:rFonts w:ascii="Calibri" w:hAnsi="Calibri" w:cs="Calibri"/>
          <w:b/>
          <w:bCs/>
          <w:sz w:val="24"/>
          <w:szCs w:val="24"/>
          <w:u w:val="single"/>
        </w:rPr>
      </w:pPr>
      <w:r w:rsidRPr="00CD72C3">
        <w:rPr>
          <w:rFonts w:ascii="Calibri" w:hAnsi="Calibri" w:cs="Calibri"/>
          <w:b/>
          <w:bCs/>
          <w:sz w:val="24"/>
          <w:szCs w:val="24"/>
          <w:u w:val="single"/>
        </w:rPr>
        <w:t xml:space="preserve">Figure </w:t>
      </w:r>
      <w:r w:rsidR="00473011" w:rsidRPr="00CD72C3">
        <w:rPr>
          <w:rFonts w:ascii="Calibri" w:hAnsi="Calibri" w:cs="Calibri"/>
          <w:b/>
          <w:bCs/>
          <w:sz w:val="24"/>
          <w:szCs w:val="24"/>
          <w:u w:val="single"/>
        </w:rPr>
        <w:t>5</w:t>
      </w:r>
      <w:r w:rsidRPr="00CD72C3">
        <w:rPr>
          <w:rFonts w:ascii="Calibri" w:hAnsi="Calibri" w:cs="Calibri"/>
          <w:b/>
          <w:bCs/>
          <w:sz w:val="24"/>
          <w:szCs w:val="24"/>
          <w:u w:val="single"/>
        </w:rPr>
        <w:t xml:space="preserve">: </w:t>
      </w:r>
      <w:r w:rsidR="00800174" w:rsidRPr="00CD72C3">
        <w:rPr>
          <w:rFonts w:ascii="Calibri" w:hAnsi="Calibri" w:cs="Calibri"/>
          <w:b/>
          <w:bCs/>
          <w:sz w:val="24"/>
          <w:szCs w:val="24"/>
          <w:u w:val="single"/>
        </w:rPr>
        <w:t>R</w:t>
      </w:r>
      <w:r w:rsidRPr="00CD72C3">
        <w:rPr>
          <w:rFonts w:ascii="Calibri" w:hAnsi="Calibri" w:cs="Calibri"/>
          <w:b/>
          <w:bCs/>
          <w:sz w:val="24"/>
          <w:szCs w:val="24"/>
          <w:u w:val="single"/>
        </w:rPr>
        <w:t xml:space="preserve">ates of </w:t>
      </w:r>
      <w:r w:rsidR="00800174" w:rsidRPr="00CD72C3">
        <w:rPr>
          <w:rFonts w:ascii="Calibri" w:hAnsi="Calibri" w:cs="Calibri"/>
          <w:b/>
          <w:bCs/>
          <w:sz w:val="24"/>
          <w:szCs w:val="24"/>
          <w:u w:val="single"/>
        </w:rPr>
        <w:t>C</w:t>
      </w:r>
      <w:r w:rsidRPr="00CD72C3">
        <w:rPr>
          <w:rFonts w:ascii="Calibri" w:hAnsi="Calibri" w:cs="Calibri"/>
          <w:b/>
          <w:bCs/>
          <w:sz w:val="24"/>
          <w:szCs w:val="24"/>
          <w:u w:val="single"/>
        </w:rPr>
        <w:t xml:space="preserve">hange in </w:t>
      </w:r>
      <w:r w:rsidR="00800174" w:rsidRPr="00CD72C3">
        <w:rPr>
          <w:rFonts w:ascii="Calibri" w:hAnsi="Calibri" w:cs="Calibri"/>
          <w:b/>
          <w:bCs/>
          <w:sz w:val="24"/>
          <w:szCs w:val="24"/>
          <w:u w:val="single"/>
        </w:rPr>
        <w:t>H</w:t>
      </w:r>
      <w:r w:rsidRPr="00CD72C3">
        <w:rPr>
          <w:rFonts w:ascii="Calibri" w:hAnsi="Calibri" w:cs="Calibri"/>
          <w:b/>
          <w:bCs/>
          <w:sz w:val="24"/>
          <w:szCs w:val="24"/>
          <w:u w:val="single"/>
        </w:rPr>
        <w:t>ousehold</w:t>
      </w:r>
      <w:r w:rsidR="00DF5DF8" w:rsidRPr="00CD72C3">
        <w:rPr>
          <w:rFonts w:ascii="Calibri" w:hAnsi="Calibri" w:cs="Calibri"/>
          <w:b/>
          <w:bCs/>
          <w:sz w:val="24"/>
          <w:szCs w:val="24"/>
          <w:u w:val="single"/>
        </w:rPr>
        <w:t>s’</w:t>
      </w:r>
      <w:r w:rsidRPr="00CD72C3">
        <w:rPr>
          <w:rFonts w:ascii="Calibri" w:hAnsi="Calibri" w:cs="Calibri"/>
          <w:b/>
          <w:bCs/>
          <w:sz w:val="24"/>
          <w:szCs w:val="24"/>
          <w:u w:val="single"/>
        </w:rPr>
        <w:t xml:space="preserve"> </w:t>
      </w:r>
      <w:r w:rsidR="00800174" w:rsidRPr="00CD72C3">
        <w:rPr>
          <w:rFonts w:ascii="Calibri" w:hAnsi="Calibri" w:cs="Calibri"/>
          <w:b/>
          <w:bCs/>
          <w:sz w:val="24"/>
          <w:szCs w:val="24"/>
          <w:u w:val="single"/>
        </w:rPr>
        <w:t>H</w:t>
      </w:r>
      <w:r w:rsidRPr="00CD72C3">
        <w:rPr>
          <w:rFonts w:ascii="Calibri" w:hAnsi="Calibri" w:cs="Calibri"/>
          <w:b/>
          <w:bCs/>
          <w:sz w:val="24"/>
          <w:szCs w:val="24"/>
          <w:u w:val="single"/>
        </w:rPr>
        <w:t xml:space="preserve">ousing and </w:t>
      </w:r>
      <w:r w:rsidR="00800174" w:rsidRPr="00CD72C3">
        <w:rPr>
          <w:rFonts w:ascii="Calibri" w:hAnsi="Calibri" w:cs="Calibri"/>
          <w:b/>
          <w:bCs/>
          <w:sz w:val="24"/>
          <w:szCs w:val="24"/>
          <w:u w:val="single"/>
        </w:rPr>
        <w:t>N</w:t>
      </w:r>
      <w:r w:rsidRPr="00CD72C3">
        <w:rPr>
          <w:rFonts w:ascii="Calibri" w:hAnsi="Calibri" w:cs="Calibri"/>
          <w:b/>
          <w:bCs/>
          <w:sz w:val="24"/>
          <w:szCs w:val="24"/>
          <w:u w:val="single"/>
        </w:rPr>
        <w:t xml:space="preserve">onhousing </w:t>
      </w:r>
      <w:r w:rsidR="00800174" w:rsidRPr="00CD72C3">
        <w:rPr>
          <w:rFonts w:ascii="Calibri" w:hAnsi="Calibri" w:cs="Calibri"/>
          <w:b/>
          <w:bCs/>
          <w:sz w:val="24"/>
          <w:szCs w:val="24"/>
          <w:u w:val="single"/>
        </w:rPr>
        <w:t>D</w:t>
      </w:r>
      <w:r w:rsidRPr="00CD72C3">
        <w:rPr>
          <w:rFonts w:ascii="Calibri" w:hAnsi="Calibri" w:cs="Calibri"/>
          <w:b/>
          <w:bCs/>
          <w:sz w:val="24"/>
          <w:szCs w:val="24"/>
          <w:u w:val="single"/>
        </w:rPr>
        <w:t>ebt</w:t>
      </w:r>
      <w:r w:rsidR="00800174" w:rsidRPr="00CD72C3">
        <w:rPr>
          <w:rFonts w:ascii="Calibri" w:hAnsi="Calibri" w:cs="Calibri"/>
          <w:b/>
          <w:bCs/>
          <w:sz w:val="24"/>
          <w:szCs w:val="24"/>
          <w:u w:val="single"/>
        </w:rPr>
        <w:t>, Current Quarter vs. Corresponding Quarter of Previous Year</w:t>
      </w:r>
    </w:p>
    <w:p w14:paraId="1A446B7E" w14:textId="2DEE3C45" w:rsidR="004C4A1E" w:rsidRPr="00CD72C3" w:rsidRDefault="0044240A" w:rsidP="004C4A1E">
      <w:pPr>
        <w:spacing w:after="0" w:line="240" w:lineRule="auto"/>
        <w:jc w:val="center"/>
        <w:rPr>
          <w:rFonts w:ascii="Calibri" w:hAnsi="Calibri" w:cs="Calibri"/>
          <w:b/>
          <w:bCs/>
          <w:sz w:val="24"/>
          <w:szCs w:val="24"/>
        </w:rPr>
      </w:pPr>
      <w:r w:rsidRPr="00CD72C3">
        <w:rPr>
          <w:rFonts w:ascii="Calibri" w:hAnsi="Calibri" w:cs="Calibri"/>
          <w:b/>
          <w:bCs/>
          <w:noProof/>
          <w:sz w:val="24"/>
          <w:szCs w:val="24"/>
        </w:rPr>
        <w:drawing>
          <wp:inline distT="0" distB="0" distL="0" distR="0" wp14:anchorId="2DF4186B" wp14:editId="73CA2B5B">
            <wp:extent cx="5316220" cy="2792095"/>
            <wp:effectExtent l="0" t="0" r="0" b="825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6220" cy="2792095"/>
                    </a:xfrm>
                    <a:prstGeom prst="rect">
                      <a:avLst/>
                    </a:prstGeom>
                    <a:noFill/>
                  </pic:spPr>
                </pic:pic>
              </a:graphicData>
            </a:graphic>
          </wp:inline>
        </w:drawing>
      </w:r>
    </w:p>
    <w:p w14:paraId="6D23655D" w14:textId="77777777" w:rsidR="00CD72C3" w:rsidRDefault="00CD72C3" w:rsidP="00473011">
      <w:pPr>
        <w:spacing w:before="480" w:after="0" w:line="240" w:lineRule="auto"/>
        <w:jc w:val="center"/>
        <w:rPr>
          <w:rFonts w:ascii="Calibri" w:hAnsi="Calibri" w:cs="Calibri"/>
          <w:b/>
          <w:bCs/>
          <w:sz w:val="24"/>
          <w:szCs w:val="24"/>
          <w:u w:val="single"/>
        </w:rPr>
      </w:pPr>
    </w:p>
    <w:p w14:paraId="4DDC7A51" w14:textId="19C9C8A7" w:rsidR="00E12D2E" w:rsidRPr="00CD72C3" w:rsidRDefault="00E12D2E" w:rsidP="00473011">
      <w:pPr>
        <w:spacing w:before="480" w:after="0" w:line="240" w:lineRule="auto"/>
        <w:jc w:val="center"/>
        <w:rPr>
          <w:rFonts w:ascii="Calibri" w:hAnsi="Calibri" w:cs="Calibri"/>
          <w:b/>
          <w:bCs/>
          <w:sz w:val="24"/>
          <w:szCs w:val="24"/>
          <w:u w:val="single"/>
        </w:rPr>
      </w:pPr>
      <w:bookmarkStart w:id="0" w:name="_GoBack"/>
      <w:bookmarkEnd w:id="0"/>
      <w:r w:rsidRPr="00CD72C3">
        <w:rPr>
          <w:rFonts w:ascii="Calibri" w:hAnsi="Calibri" w:cs="Calibri"/>
          <w:b/>
          <w:bCs/>
          <w:sz w:val="24"/>
          <w:szCs w:val="24"/>
          <w:u w:val="single"/>
        </w:rPr>
        <w:lastRenderedPageBreak/>
        <w:t xml:space="preserve">Figure </w:t>
      </w:r>
      <w:r w:rsidR="00473011" w:rsidRPr="00CD72C3">
        <w:rPr>
          <w:rFonts w:ascii="Calibri" w:hAnsi="Calibri" w:cs="Calibri"/>
          <w:b/>
          <w:bCs/>
          <w:sz w:val="24"/>
          <w:szCs w:val="24"/>
          <w:u w:val="single"/>
        </w:rPr>
        <w:t>6</w:t>
      </w:r>
      <w:r w:rsidRPr="00CD72C3">
        <w:rPr>
          <w:rFonts w:ascii="Calibri" w:hAnsi="Calibri" w:cs="Calibri"/>
          <w:b/>
          <w:bCs/>
          <w:sz w:val="24"/>
          <w:szCs w:val="24"/>
          <w:u w:val="single"/>
        </w:rPr>
        <w:t xml:space="preserve"> :</w:t>
      </w:r>
      <w:r w:rsidR="00010832" w:rsidRPr="00CD72C3">
        <w:rPr>
          <w:rFonts w:ascii="Calibri" w:hAnsi="Calibri" w:cs="Calibri"/>
          <w:b/>
          <w:bCs/>
          <w:sz w:val="24"/>
          <w:szCs w:val="24"/>
          <w:u w:val="single"/>
        </w:rPr>
        <w:t>Amount of New Home Purchase Loans Provided by Banks to the Public (Mortgages)</w:t>
      </w:r>
    </w:p>
    <w:p w14:paraId="1E4D6273" w14:textId="534E9297" w:rsidR="00C1433E" w:rsidRPr="00CD72C3" w:rsidRDefault="0044240A" w:rsidP="00584BBA">
      <w:pPr>
        <w:spacing w:before="240" w:after="0" w:line="240" w:lineRule="auto"/>
        <w:jc w:val="center"/>
        <w:rPr>
          <w:rFonts w:ascii="Calibri" w:hAnsi="Calibri" w:cs="Calibri"/>
          <w:noProof/>
        </w:rPr>
      </w:pPr>
      <w:r w:rsidRPr="00CD72C3">
        <w:rPr>
          <w:rFonts w:ascii="Calibri" w:hAnsi="Calibri" w:cs="Calibri"/>
          <w:noProof/>
        </w:rPr>
        <w:drawing>
          <wp:inline distT="0" distB="0" distL="0" distR="0" wp14:anchorId="37CAAAE8" wp14:editId="4ECE16D4">
            <wp:extent cx="5255260" cy="2719070"/>
            <wp:effectExtent l="0" t="0" r="2540" b="508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5260" cy="2719070"/>
                    </a:xfrm>
                    <a:prstGeom prst="rect">
                      <a:avLst/>
                    </a:prstGeom>
                    <a:noFill/>
                  </pic:spPr>
                </pic:pic>
              </a:graphicData>
            </a:graphic>
          </wp:inline>
        </w:drawing>
      </w:r>
    </w:p>
    <w:p w14:paraId="19C69445" w14:textId="61A862B4" w:rsidR="002D7E10" w:rsidRPr="00CD72C3" w:rsidRDefault="00584BBA" w:rsidP="006010D5">
      <w:pPr>
        <w:spacing w:before="480" w:after="0" w:line="240" w:lineRule="auto"/>
        <w:jc w:val="both"/>
        <w:rPr>
          <w:rFonts w:ascii="Calibri" w:hAnsi="Calibri" w:cs="Calibri"/>
          <w:sz w:val="24"/>
          <w:szCs w:val="24"/>
          <w:rtl/>
        </w:rPr>
      </w:pPr>
      <w:r w:rsidRPr="00CD72C3">
        <w:rPr>
          <w:rFonts w:ascii="Calibri" w:hAnsi="Calibri" w:cs="Calibri"/>
          <w:sz w:val="24"/>
          <w:szCs w:val="24"/>
        </w:rPr>
        <w:t>L</w:t>
      </w:r>
      <w:r w:rsidR="002D7E10" w:rsidRPr="00CD72C3">
        <w:rPr>
          <w:rFonts w:ascii="Calibri" w:hAnsi="Calibri" w:cs="Calibri"/>
          <w:sz w:val="24"/>
          <w:szCs w:val="24"/>
        </w:rPr>
        <w:t xml:space="preserve">inks to Data </w:t>
      </w:r>
      <w:r w:rsidR="008D3530" w:rsidRPr="00CD72C3">
        <w:rPr>
          <w:rFonts w:ascii="Calibri" w:hAnsi="Calibri" w:cs="Calibri"/>
          <w:sz w:val="24"/>
          <w:szCs w:val="24"/>
        </w:rPr>
        <w:t xml:space="preserve">and Statistics </w:t>
      </w:r>
      <w:r w:rsidR="002D7E10" w:rsidRPr="00CD72C3">
        <w:rPr>
          <w:rFonts w:ascii="Calibri" w:hAnsi="Calibri" w:cs="Calibri"/>
          <w:sz w:val="24"/>
          <w:szCs w:val="24"/>
        </w:rPr>
        <w:t>on the Bank of Israel website:</w:t>
      </w:r>
    </w:p>
    <w:p w14:paraId="5CA9AB9E" w14:textId="77777777" w:rsidR="00E75BD4" w:rsidRPr="00CD72C3" w:rsidRDefault="00CD72C3" w:rsidP="00E75BD4">
      <w:pPr>
        <w:jc w:val="both"/>
        <w:rPr>
          <w:rFonts w:ascii="Calibri" w:hAnsi="Calibri" w:cs="Calibri"/>
          <w:sz w:val="20"/>
          <w:szCs w:val="20"/>
        </w:rPr>
      </w:pPr>
      <w:hyperlink r:id="rId17" w:history="1">
        <w:r w:rsidR="00E75BD4" w:rsidRPr="00CD72C3">
          <w:rPr>
            <w:rStyle w:val="Hyperlink"/>
            <w:rFonts w:ascii="Calibri" w:hAnsi="Calibri" w:cs="Calibri"/>
            <w:sz w:val="24"/>
            <w:szCs w:val="24"/>
          </w:rPr>
          <w:t>https://www.boi.org.il/en/economic-roles/data-and-statistics/money-and-debt-aggregates/debt-and-credit/</w:t>
        </w:r>
      </w:hyperlink>
    </w:p>
    <w:p w14:paraId="13DF8403" w14:textId="77777777" w:rsidR="00E75BD4" w:rsidRPr="00CD72C3" w:rsidRDefault="00E75BD4" w:rsidP="006010D5">
      <w:pPr>
        <w:spacing w:before="480" w:after="0" w:line="240" w:lineRule="auto"/>
        <w:jc w:val="both"/>
        <w:rPr>
          <w:rFonts w:ascii="Calibri" w:hAnsi="Calibri" w:cs="Calibri"/>
          <w:sz w:val="24"/>
          <w:szCs w:val="24"/>
        </w:rPr>
      </w:pPr>
    </w:p>
    <w:sectPr w:rsidR="00E75BD4" w:rsidRPr="00CD72C3" w:rsidSect="00846122">
      <w:pgSz w:w="12240" w:h="15840"/>
      <w:pgMar w:top="709"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266F" w14:textId="77777777" w:rsidR="00DE165A" w:rsidRDefault="00DE165A" w:rsidP="00A06BF2">
      <w:pPr>
        <w:spacing w:after="0" w:line="240" w:lineRule="auto"/>
      </w:pPr>
      <w:r>
        <w:separator/>
      </w:r>
    </w:p>
  </w:endnote>
  <w:endnote w:type="continuationSeparator" w:id="0">
    <w:p w14:paraId="52C25E8C" w14:textId="77777777" w:rsidR="00DE165A" w:rsidRDefault="00DE165A" w:rsidP="00A0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3574" w14:textId="77777777" w:rsidR="00DE165A" w:rsidRDefault="00DE165A" w:rsidP="00A06BF2">
      <w:pPr>
        <w:spacing w:after="0" w:line="240" w:lineRule="auto"/>
      </w:pPr>
      <w:r>
        <w:separator/>
      </w:r>
    </w:p>
  </w:footnote>
  <w:footnote w:type="continuationSeparator" w:id="0">
    <w:p w14:paraId="42DFCCA5" w14:textId="77777777" w:rsidR="00DE165A" w:rsidRDefault="00DE165A" w:rsidP="00A06BF2">
      <w:pPr>
        <w:spacing w:after="0" w:line="240" w:lineRule="auto"/>
      </w:pPr>
      <w:r>
        <w:continuationSeparator/>
      </w:r>
    </w:p>
  </w:footnote>
  <w:footnote w:id="1">
    <w:p w14:paraId="500AEF98" w14:textId="77777777" w:rsidR="00BD6B80" w:rsidRPr="00CD72C3" w:rsidRDefault="00BD6B80" w:rsidP="00BD6B80">
      <w:pPr>
        <w:pStyle w:val="ab"/>
        <w:jc w:val="both"/>
        <w:rPr>
          <w:rFonts w:ascii="Calibri" w:hAnsi="Calibri" w:cs="Calibri"/>
        </w:rPr>
      </w:pPr>
      <w:r w:rsidRPr="00CD72C3">
        <w:rPr>
          <w:rStyle w:val="ad"/>
          <w:rFonts w:ascii="Calibri" w:hAnsi="Calibri" w:cs="Calibri"/>
        </w:rPr>
        <w:footnoteRef/>
      </w:r>
      <w:r w:rsidRPr="00CD72C3">
        <w:rPr>
          <w:rFonts w:ascii="Calibri" w:hAnsi="Calibri" w:cs="Calibri"/>
        </w:rPr>
        <w:t xml:space="preserve"> Israeli firms, excluding banks, credit card companies, and insurance companies.</w:t>
      </w:r>
    </w:p>
  </w:footnote>
  <w:footnote w:id="2">
    <w:p w14:paraId="0AB770B0" w14:textId="1A35187E" w:rsidR="00F514F8" w:rsidRPr="00CD72C3" w:rsidRDefault="00F514F8" w:rsidP="00F514F8">
      <w:pPr>
        <w:pStyle w:val="ab"/>
        <w:rPr>
          <w:rFonts w:ascii="Calibri" w:hAnsi="Calibri" w:cs="Calibri"/>
        </w:rPr>
      </w:pPr>
      <w:r w:rsidRPr="00CD72C3">
        <w:rPr>
          <w:rStyle w:val="ad"/>
          <w:rFonts w:ascii="Calibri" w:hAnsi="Calibri" w:cs="Calibri"/>
        </w:rPr>
        <w:footnoteRef/>
      </w:r>
      <w:r w:rsidRPr="00CD72C3">
        <w:rPr>
          <w:rFonts w:ascii="Calibri" w:hAnsi="Calibri" w:cs="Calibri"/>
        </w:rPr>
        <w:t xml:space="preserve"> CPI-indexed balances are calculated in accordance with information known at the time the financial statements are prepared, so that a change in the CPI refers to a change between the known CPI and the CPI in the month preceding that.</w:t>
      </w:r>
    </w:p>
  </w:footnote>
  <w:footnote w:id="3">
    <w:p w14:paraId="1DE44997" w14:textId="2DA5E0F0" w:rsidR="00E5340E" w:rsidRPr="00CD72C3" w:rsidRDefault="00E5340E">
      <w:pPr>
        <w:pStyle w:val="ab"/>
        <w:rPr>
          <w:rFonts w:ascii="Calibri" w:hAnsi="Calibri" w:cs="Calibri"/>
        </w:rPr>
      </w:pPr>
      <w:r w:rsidRPr="00CD72C3">
        <w:rPr>
          <w:rStyle w:val="ad"/>
          <w:rFonts w:ascii="Calibri" w:hAnsi="Calibri" w:cs="Calibri"/>
        </w:rPr>
        <w:footnoteRef/>
      </w:r>
      <w:r w:rsidRPr="00CD72C3">
        <w:rPr>
          <w:rFonts w:ascii="Calibri" w:hAnsi="Calibri" w:cs="Calibri"/>
        </w:rPr>
        <w:t xml:space="preserve"> The change in the spread from one quarter to the next is calculated as the difference between the average spread in the final month of the reviewed quarter and the average spread in the final month of the previous quarter.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333"/>
    <w:multiLevelType w:val="hybridMultilevel"/>
    <w:tmpl w:val="C5025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63CBC"/>
    <w:multiLevelType w:val="hybridMultilevel"/>
    <w:tmpl w:val="37482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8718C0"/>
    <w:multiLevelType w:val="hybridMultilevel"/>
    <w:tmpl w:val="60D2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8614BC"/>
    <w:multiLevelType w:val="hybridMultilevel"/>
    <w:tmpl w:val="691E4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82E27"/>
    <w:multiLevelType w:val="hybridMultilevel"/>
    <w:tmpl w:val="777E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88"/>
    <w:rsid w:val="00005548"/>
    <w:rsid w:val="00010832"/>
    <w:rsid w:val="00011436"/>
    <w:rsid w:val="00016D01"/>
    <w:rsid w:val="000203E8"/>
    <w:rsid w:val="000216DA"/>
    <w:rsid w:val="0002234D"/>
    <w:rsid w:val="000242C5"/>
    <w:rsid w:val="00030B0E"/>
    <w:rsid w:val="00033390"/>
    <w:rsid w:val="00034D80"/>
    <w:rsid w:val="00046A6C"/>
    <w:rsid w:val="00046B1A"/>
    <w:rsid w:val="00053DB3"/>
    <w:rsid w:val="00054324"/>
    <w:rsid w:val="00057334"/>
    <w:rsid w:val="00061E78"/>
    <w:rsid w:val="00070EEA"/>
    <w:rsid w:val="000778C6"/>
    <w:rsid w:val="00080E4D"/>
    <w:rsid w:val="00082322"/>
    <w:rsid w:val="000A0F4D"/>
    <w:rsid w:val="000A14D2"/>
    <w:rsid w:val="000A1EFA"/>
    <w:rsid w:val="000A5260"/>
    <w:rsid w:val="000A542B"/>
    <w:rsid w:val="000A5F95"/>
    <w:rsid w:val="000B0609"/>
    <w:rsid w:val="000B3141"/>
    <w:rsid w:val="000B79DC"/>
    <w:rsid w:val="000C5175"/>
    <w:rsid w:val="000C6F20"/>
    <w:rsid w:val="000C7744"/>
    <w:rsid w:val="000D4F9F"/>
    <w:rsid w:val="000E12B9"/>
    <w:rsid w:val="000E5F5D"/>
    <w:rsid w:val="000F403C"/>
    <w:rsid w:val="000F5BCB"/>
    <w:rsid w:val="000F7403"/>
    <w:rsid w:val="000F77CA"/>
    <w:rsid w:val="001004B8"/>
    <w:rsid w:val="00101D53"/>
    <w:rsid w:val="00102F7B"/>
    <w:rsid w:val="0010432C"/>
    <w:rsid w:val="00105660"/>
    <w:rsid w:val="001079C2"/>
    <w:rsid w:val="00107B16"/>
    <w:rsid w:val="00110CE1"/>
    <w:rsid w:val="0011626B"/>
    <w:rsid w:val="00116F55"/>
    <w:rsid w:val="00117045"/>
    <w:rsid w:val="00120934"/>
    <w:rsid w:val="00122419"/>
    <w:rsid w:val="001246EE"/>
    <w:rsid w:val="00133C83"/>
    <w:rsid w:val="00134C09"/>
    <w:rsid w:val="00134C62"/>
    <w:rsid w:val="001421F1"/>
    <w:rsid w:val="001435F1"/>
    <w:rsid w:val="0014730C"/>
    <w:rsid w:val="00150A31"/>
    <w:rsid w:val="00155E4D"/>
    <w:rsid w:val="00155F03"/>
    <w:rsid w:val="00156209"/>
    <w:rsid w:val="00160BD2"/>
    <w:rsid w:val="001624F1"/>
    <w:rsid w:val="00174244"/>
    <w:rsid w:val="00192B8C"/>
    <w:rsid w:val="00196653"/>
    <w:rsid w:val="0019769C"/>
    <w:rsid w:val="001A53BA"/>
    <w:rsid w:val="001B2025"/>
    <w:rsid w:val="001B335C"/>
    <w:rsid w:val="001B4DE7"/>
    <w:rsid w:val="001C74E5"/>
    <w:rsid w:val="001D3766"/>
    <w:rsid w:val="001D7C2C"/>
    <w:rsid w:val="001E03E7"/>
    <w:rsid w:val="001E2D7A"/>
    <w:rsid w:val="001E47E3"/>
    <w:rsid w:val="001E69F4"/>
    <w:rsid w:val="001F1F0E"/>
    <w:rsid w:val="001F31D4"/>
    <w:rsid w:val="002006A6"/>
    <w:rsid w:val="0020149C"/>
    <w:rsid w:val="00202954"/>
    <w:rsid w:val="0020361A"/>
    <w:rsid w:val="00204DD9"/>
    <w:rsid w:val="00206102"/>
    <w:rsid w:val="002078C6"/>
    <w:rsid w:val="00210167"/>
    <w:rsid w:val="0021153B"/>
    <w:rsid w:val="00211B16"/>
    <w:rsid w:val="00223062"/>
    <w:rsid w:val="00224F83"/>
    <w:rsid w:val="00230EF5"/>
    <w:rsid w:val="00231AEA"/>
    <w:rsid w:val="00234C92"/>
    <w:rsid w:val="00245ABB"/>
    <w:rsid w:val="002525DD"/>
    <w:rsid w:val="0025603D"/>
    <w:rsid w:val="00263F12"/>
    <w:rsid w:val="00266DFF"/>
    <w:rsid w:val="002735F9"/>
    <w:rsid w:val="00273622"/>
    <w:rsid w:val="0027509F"/>
    <w:rsid w:val="002808EA"/>
    <w:rsid w:val="0028623F"/>
    <w:rsid w:val="00294C24"/>
    <w:rsid w:val="00296730"/>
    <w:rsid w:val="0029681A"/>
    <w:rsid w:val="002A3332"/>
    <w:rsid w:val="002A455A"/>
    <w:rsid w:val="002A5535"/>
    <w:rsid w:val="002B25AC"/>
    <w:rsid w:val="002B3782"/>
    <w:rsid w:val="002C15A3"/>
    <w:rsid w:val="002C70E3"/>
    <w:rsid w:val="002C7C12"/>
    <w:rsid w:val="002D626A"/>
    <w:rsid w:val="002D7E10"/>
    <w:rsid w:val="002E3F49"/>
    <w:rsid w:val="002E7C60"/>
    <w:rsid w:val="002F257B"/>
    <w:rsid w:val="002F37FF"/>
    <w:rsid w:val="002F475D"/>
    <w:rsid w:val="002F6792"/>
    <w:rsid w:val="00300FA9"/>
    <w:rsid w:val="00326E29"/>
    <w:rsid w:val="00327DA6"/>
    <w:rsid w:val="0033022F"/>
    <w:rsid w:val="00330322"/>
    <w:rsid w:val="00330702"/>
    <w:rsid w:val="00332AA2"/>
    <w:rsid w:val="00336B5C"/>
    <w:rsid w:val="0034192F"/>
    <w:rsid w:val="00342B2E"/>
    <w:rsid w:val="00345200"/>
    <w:rsid w:val="00347A55"/>
    <w:rsid w:val="003506A9"/>
    <w:rsid w:val="00353BAF"/>
    <w:rsid w:val="00355962"/>
    <w:rsid w:val="00356E1D"/>
    <w:rsid w:val="0035759F"/>
    <w:rsid w:val="0036087E"/>
    <w:rsid w:val="00362435"/>
    <w:rsid w:val="003647F0"/>
    <w:rsid w:val="00364E12"/>
    <w:rsid w:val="0036761D"/>
    <w:rsid w:val="003729EE"/>
    <w:rsid w:val="00373EFD"/>
    <w:rsid w:val="00374BD9"/>
    <w:rsid w:val="00385629"/>
    <w:rsid w:val="00385E29"/>
    <w:rsid w:val="00386A70"/>
    <w:rsid w:val="0039772D"/>
    <w:rsid w:val="00397FA4"/>
    <w:rsid w:val="003A0E4B"/>
    <w:rsid w:val="003A14D9"/>
    <w:rsid w:val="003A3AF4"/>
    <w:rsid w:val="003A4D3C"/>
    <w:rsid w:val="003B1BFF"/>
    <w:rsid w:val="003B4454"/>
    <w:rsid w:val="003B6A28"/>
    <w:rsid w:val="003C2032"/>
    <w:rsid w:val="003C367A"/>
    <w:rsid w:val="003C6E5C"/>
    <w:rsid w:val="003D6900"/>
    <w:rsid w:val="003D7C40"/>
    <w:rsid w:val="003F1CCE"/>
    <w:rsid w:val="003F32A0"/>
    <w:rsid w:val="003F4BE0"/>
    <w:rsid w:val="00400DCE"/>
    <w:rsid w:val="004020E1"/>
    <w:rsid w:val="004040B7"/>
    <w:rsid w:val="0040461C"/>
    <w:rsid w:val="00405530"/>
    <w:rsid w:val="0040655C"/>
    <w:rsid w:val="00406B46"/>
    <w:rsid w:val="00407985"/>
    <w:rsid w:val="004110CA"/>
    <w:rsid w:val="00416276"/>
    <w:rsid w:val="00416B9B"/>
    <w:rsid w:val="00422053"/>
    <w:rsid w:val="00423751"/>
    <w:rsid w:val="00430D9C"/>
    <w:rsid w:val="00432CBB"/>
    <w:rsid w:val="00433B32"/>
    <w:rsid w:val="00436DE4"/>
    <w:rsid w:val="0044240A"/>
    <w:rsid w:val="0044382E"/>
    <w:rsid w:val="00443FF7"/>
    <w:rsid w:val="00461ECE"/>
    <w:rsid w:val="00462A52"/>
    <w:rsid w:val="00465781"/>
    <w:rsid w:val="00473011"/>
    <w:rsid w:val="00476675"/>
    <w:rsid w:val="00481852"/>
    <w:rsid w:val="00483663"/>
    <w:rsid w:val="00487094"/>
    <w:rsid w:val="004914DA"/>
    <w:rsid w:val="00495F4E"/>
    <w:rsid w:val="00496EB3"/>
    <w:rsid w:val="0049783F"/>
    <w:rsid w:val="004A1331"/>
    <w:rsid w:val="004A4E56"/>
    <w:rsid w:val="004B0290"/>
    <w:rsid w:val="004B2C2C"/>
    <w:rsid w:val="004C1794"/>
    <w:rsid w:val="004C2681"/>
    <w:rsid w:val="004C4A1E"/>
    <w:rsid w:val="004C506F"/>
    <w:rsid w:val="004C5E28"/>
    <w:rsid w:val="004C6D22"/>
    <w:rsid w:val="004C7C6D"/>
    <w:rsid w:val="004D24DA"/>
    <w:rsid w:val="004D350E"/>
    <w:rsid w:val="004D5CA9"/>
    <w:rsid w:val="004D5EDA"/>
    <w:rsid w:val="004D6E91"/>
    <w:rsid w:val="004D7AA9"/>
    <w:rsid w:val="004E1951"/>
    <w:rsid w:val="00510395"/>
    <w:rsid w:val="005131D2"/>
    <w:rsid w:val="00514DE4"/>
    <w:rsid w:val="00516E00"/>
    <w:rsid w:val="0052014E"/>
    <w:rsid w:val="00520BBE"/>
    <w:rsid w:val="00526154"/>
    <w:rsid w:val="0053381D"/>
    <w:rsid w:val="0054096B"/>
    <w:rsid w:val="00543332"/>
    <w:rsid w:val="00545BD1"/>
    <w:rsid w:val="00547126"/>
    <w:rsid w:val="005503B8"/>
    <w:rsid w:val="0055154B"/>
    <w:rsid w:val="005525A3"/>
    <w:rsid w:val="00554629"/>
    <w:rsid w:val="00555468"/>
    <w:rsid w:val="005555EE"/>
    <w:rsid w:val="00575571"/>
    <w:rsid w:val="00583901"/>
    <w:rsid w:val="00584BBA"/>
    <w:rsid w:val="00585FC8"/>
    <w:rsid w:val="00590F6B"/>
    <w:rsid w:val="00596A54"/>
    <w:rsid w:val="005A41A8"/>
    <w:rsid w:val="005A4EF9"/>
    <w:rsid w:val="005A780B"/>
    <w:rsid w:val="005A7F26"/>
    <w:rsid w:val="005B5131"/>
    <w:rsid w:val="005C195E"/>
    <w:rsid w:val="005C2293"/>
    <w:rsid w:val="005C6984"/>
    <w:rsid w:val="005C6C52"/>
    <w:rsid w:val="005C6FD3"/>
    <w:rsid w:val="005C747F"/>
    <w:rsid w:val="005D09E8"/>
    <w:rsid w:val="005D233F"/>
    <w:rsid w:val="005D4402"/>
    <w:rsid w:val="005D578E"/>
    <w:rsid w:val="005D630A"/>
    <w:rsid w:val="005F14E6"/>
    <w:rsid w:val="005F491B"/>
    <w:rsid w:val="006010D5"/>
    <w:rsid w:val="006037BD"/>
    <w:rsid w:val="0060613E"/>
    <w:rsid w:val="00606434"/>
    <w:rsid w:val="00612BF9"/>
    <w:rsid w:val="00614C9D"/>
    <w:rsid w:val="00615B66"/>
    <w:rsid w:val="006171F7"/>
    <w:rsid w:val="00617B54"/>
    <w:rsid w:val="006213C6"/>
    <w:rsid w:val="00631F08"/>
    <w:rsid w:val="0063426C"/>
    <w:rsid w:val="006438D8"/>
    <w:rsid w:val="006451C4"/>
    <w:rsid w:val="00645AA6"/>
    <w:rsid w:val="00647F9C"/>
    <w:rsid w:val="00653257"/>
    <w:rsid w:val="006541A1"/>
    <w:rsid w:val="00663FFE"/>
    <w:rsid w:val="00667F03"/>
    <w:rsid w:val="00674023"/>
    <w:rsid w:val="0067554A"/>
    <w:rsid w:val="00675D3E"/>
    <w:rsid w:val="00677CA7"/>
    <w:rsid w:val="00680CE7"/>
    <w:rsid w:val="00683C09"/>
    <w:rsid w:val="00684074"/>
    <w:rsid w:val="00697A4C"/>
    <w:rsid w:val="006A0BE7"/>
    <w:rsid w:val="006A16E8"/>
    <w:rsid w:val="006A6B37"/>
    <w:rsid w:val="006B0321"/>
    <w:rsid w:val="006B0C9B"/>
    <w:rsid w:val="006B3904"/>
    <w:rsid w:val="006B3B24"/>
    <w:rsid w:val="006B4657"/>
    <w:rsid w:val="006B46BE"/>
    <w:rsid w:val="006B6857"/>
    <w:rsid w:val="006B6C0E"/>
    <w:rsid w:val="006B7408"/>
    <w:rsid w:val="006C1C7E"/>
    <w:rsid w:val="006C1F27"/>
    <w:rsid w:val="006C320C"/>
    <w:rsid w:val="006C4650"/>
    <w:rsid w:val="006D2836"/>
    <w:rsid w:val="006E1851"/>
    <w:rsid w:val="006E38AF"/>
    <w:rsid w:val="006E3A28"/>
    <w:rsid w:val="006E3D12"/>
    <w:rsid w:val="007048C8"/>
    <w:rsid w:val="00706BE5"/>
    <w:rsid w:val="00706E26"/>
    <w:rsid w:val="0070799A"/>
    <w:rsid w:val="00713CDD"/>
    <w:rsid w:val="00724544"/>
    <w:rsid w:val="00725F24"/>
    <w:rsid w:val="00733715"/>
    <w:rsid w:val="00734CEC"/>
    <w:rsid w:val="00737B18"/>
    <w:rsid w:val="00737C12"/>
    <w:rsid w:val="00744A88"/>
    <w:rsid w:val="00746BE9"/>
    <w:rsid w:val="00747842"/>
    <w:rsid w:val="007507CE"/>
    <w:rsid w:val="00755833"/>
    <w:rsid w:val="0076044B"/>
    <w:rsid w:val="00760844"/>
    <w:rsid w:val="00765B2B"/>
    <w:rsid w:val="00765FD1"/>
    <w:rsid w:val="00771CB1"/>
    <w:rsid w:val="0077660D"/>
    <w:rsid w:val="00786703"/>
    <w:rsid w:val="0078697A"/>
    <w:rsid w:val="00790177"/>
    <w:rsid w:val="00790A86"/>
    <w:rsid w:val="00791082"/>
    <w:rsid w:val="00792955"/>
    <w:rsid w:val="00792D73"/>
    <w:rsid w:val="00792E08"/>
    <w:rsid w:val="007A61FA"/>
    <w:rsid w:val="007A73F8"/>
    <w:rsid w:val="007B1365"/>
    <w:rsid w:val="007B1AAF"/>
    <w:rsid w:val="007B2236"/>
    <w:rsid w:val="007B318B"/>
    <w:rsid w:val="007B5499"/>
    <w:rsid w:val="007B7B7B"/>
    <w:rsid w:val="007C1D95"/>
    <w:rsid w:val="007C2B9B"/>
    <w:rsid w:val="007C69F2"/>
    <w:rsid w:val="007C7A9A"/>
    <w:rsid w:val="007D3A28"/>
    <w:rsid w:val="007D42EA"/>
    <w:rsid w:val="007E7DA7"/>
    <w:rsid w:val="007F1603"/>
    <w:rsid w:val="007F2F67"/>
    <w:rsid w:val="007F3D3B"/>
    <w:rsid w:val="007F4615"/>
    <w:rsid w:val="00800174"/>
    <w:rsid w:val="0080109B"/>
    <w:rsid w:val="00801EEF"/>
    <w:rsid w:val="00802665"/>
    <w:rsid w:val="00802EDD"/>
    <w:rsid w:val="008033BB"/>
    <w:rsid w:val="00806F91"/>
    <w:rsid w:val="008074CE"/>
    <w:rsid w:val="008138ED"/>
    <w:rsid w:val="00820BC6"/>
    <w:rsid w:val="008257D8"/>
    <w:rsid w:val="00825CDE"/>
    <w:rsid w:val="008305D7"/>
    <w:rsid w:val="0083539E"/>
    <w:rsid w:val="00835E16"/>
    <w:rsid w:val="00846122"/>
    <w:rsid w:val="00846F1D"/>
    <w:rsid w:val="00847BA0"/>
    <w:rsid w:val="00866494"/>
    <w:rsid w:val="008665FB"/>
    <w:rsid w:val="00867523"/>
    <w:rsid w:val="00871103"/>
    <w:rsid w:val="00875E3C"/>
    <w:rsid w:val="0087630B"/>
    <w:rsid w:val="00876FA7"/>
    <w:rsid w:val="008843CE"/>
    <w:rsid w:val="00894F88"/>
    <w:rsid w:val="008A34E1"/>
    <w:rsid w:val="008A36CF"/>
    <w:rsid w:val="008A394F"/>
    <w:rsid w:val="008A6909"/>
    <w:rsid w:val="008A79FF"/>
    <w:rsid w:val="008B2CF8"/>
    <w:rsid w:val="008B3293"/>
    <w:rsid w:val="008B4F5C"/>
    <w:rsid w:val="008B4F68"/>
    <w:rsid w:val="008C34B2"/>
    <w:rsid w:val="008C620C"/>
    <w:rsid w:val="008C6BF5"/>
    <w:rsid w:val="008C77F3"/>
    <w:rsid w:val="008D30CB"/>
    <w:rsid w:val="008D325B"/>
    <w:rsid w:val="008D34C8"/>
    <w:rsid w:val="008D3530"/>
    <w:rsid w:val="008D39CF"/>
    <w:rsid w:val="008E02F6"/>
    <w:rsid w:val="008F2123"/>
    <w:rsid w:val="0090225E"/>
    <w:rsid w:val="00902504"/>
    <w:rsid w:val="0090596C"/>
    <w:rsid w:val="00911687"/>
    <w:rsid w:val="009118D2"/>
    <w:rsid w:val="00913192"/>
    <w:rsid w:val="00915A5C"/>
    <w:rsid w:val="009174A3"/>
    <w:rsid w:val="00924693"/>
    <w:rsid w:val="009304FA"/>
    <w:rsid w:val="00930C80"/>
    <w:rsid w:val="0093349D"/>
    <w:rsid w:val="00935D05"/>
    <w:rsid w:val="00935D20"/>
    <w:rsid w:val="009364E8"/>
    <w:rsid w:val="00936A8F"/>
    <w:rsid w:val="00942FDD"/>
    <w:rsid w:val="009439C8"/>
    <w:rsid w:val="00943E21"/>
    <w:rsid w:val="009468FD"/>
    <w:rsid w:val="00946BA6"/>
    <w:rsid w:val="009501E7"/>
    <w:rsid w:val="00954D56"/>
    <w:rsid w:val="00957C9F"/>
    <w:rsid w:val="00962B9E"/>
    <w:rsid w:val="00970F43"/>
    <w:rsid w:val="009724A2"/>
    <w:rsid w:val="00972710"/>
    <w:rsid w:val="0097602F"/>
    <w:rsid w:val="00977D6F"/>
    <w:rsid w:val="0098186C"/>
    <w:rsid w:val="00987E81"/>
    <w:rsid w:val="00991A4A"/>
    <w:rsid w:val="009A39EA"/>
    <w:rsid w:val="009A3BA4"/>
    <w:rsid w:val="009A6B8D"/>
    <w:rsid w:val="009B0F47"/>
    <w:rsid w:val="009B18E7"/>
    <w:rsid w:val="009B1E05"/>
    <w:rsid w:val="009B27AA"/>
    <w:rsid w:val="009B71B2"/>
    <w:rsid w:val="009B789F"/>
    <w:rsid w:val="009C18F6"/>
    <w:rsid w:val="009C5812"/>
    <w:rsid w:val="009C59F4"/>
    <w:rsid w:val="009D2793"/>
    <w:rsid w:val="009D713F"/>
    <w:rsid w:val="009D7E4E"/>
    <w:rsid w:val="009E14D4"/>
    <w:rsid w:val="009E1C2B"/>
    <w:rsid w:val="009E625A"/>
    <w:rsid w:val="009F23A6"/>
    <w:rsid w:val="009F3E6B"/>
    <w:rsid w:val="009F4F50"/>
    <w:rsid w:val="009F6704"/>
    <w:rsid w:val="009F7288"/>
    <w:rsid w:val="00A00E5A"/>
    <w:rsid w:val="00A02143"/>
    <w:rsid w:val="00A04122"/>
    <w:rsid w:val="00A06BF2"/>
    <w:rsid w:val="00A11B09"/>
    <w:rsid w:val="00A14BC3"/>
    <w:rsid w:val="00A16F94"/>
    <w:rsid w:val="00A23C43"/>
    <w:rsid w:val="00A273E9"/>
    <w:rsid w:val="00A30D2B"/>
    <w:rsid w:val="00A31F2D"/>
    <w:rsid w:val="00A34EC8"/>
    <w:rsid w:val="00A3509E"/>
    <w:rsid w:val="00A363E6"/>
    <w:rsid w:val="00A46AE3"/>
    <w:rsid w:val="00A5598D"/>
    <w:rsid w:val="00A6112F"/>
    <w:rsid w:val="00A62596"/>
    <w:rsid w:val="00A632A6"/>
    <w:rsid w:val="00A64056"/>
    <w:rsid w:val="00A64B2A"/>
    <w:rsid w:val="00A72D4E"/>
    <w:rsid w:val="00A72F12"/>
    <w:rsid w:val="00A75A29"/>
    <w:rsid w:val="00A76749"/>
    <w:rsid w:val="00A80656"/>
    <w:rsid w:val="00A81A95"/>
    <w:rsid w:val="00A86378"/>
    <w:rsid w:val="00A87274"/>
    <w:rsid w:val="00A87FC9"/>
    <w:rsid w:val="00AA1051"/>
    <w:rsid w:val="00AA6AF4"/>
    <w:rsid w:val="00AB142D"/>
    <w:rsid w:val="00AB14CF"/>
    <w:rsid w:val="00AC080F"/>
    <w:rsid w:val="00AC22EF"/>
    <w:rsid w:val="00AC5B57"/>
    <w:rsid w:val="00AC6007"/>
    <w:rsid w:val="00AC7B68"/>
    <w:rsid w:val="00AD027E"/>
    <w:rsid w:val="00AD33E8"/>
    <w:rsid w:val="00AD4096"/>
    <w:rsid w:val="00AE5F89"/>
    <w:rsid w:val="00AE7CEE"/>
    <w:rsid w:val="00AE7F78"/>
    <w:rsid w:val="00AF1D7F"/>
    <w:rsid w:val="00AF5887"/>
    <w:rsid w:val="00AF6D7B"/>
    <w:rsid w:val="00AF7702"/>
    <w:rsid w:val="00B068C3"/>
    <w:rsid w:val="00B06C06"/>
    <w:rsid w:val="00B07547"/>
    <w:rsid w:val="00B108DC"/>
    <w:rsid w:val="00B154AF"/>
    <w:rsid w:val="00B1666A"/>
    <w:rsid w:val="00B17E40"/>
    <w:rsid w:val="00B17EBB"/>
    <w:rsid w:val="00B25D9C"/>
    <w:rsid w:val="00B2634B"/>
    <w:rsid w:val="00B307F1"/>
    <w:rsid w:val="00B366B9"/>
    <w:rsid w:val="00B43755"/>
    <w:rsid w:val="00B62162"/>
    <w:rsid w:val="00B63D2B"/>
    <w:rsid w:val="00B67716"/>
    <w:rsid w:val="00B74F83"/>
    <w:rsid w:val="00B75697"/>
    <w:rsid w:val="00B807A6"/>
    <w:rsid w:val="00B84B87"/>
    <w:rsid w:val="00B85546"/>
    <w:rsid w:val="00B91C2A"/>
    <w:rsid w:val="00BA0CFD"/>
    <w:rsid w:val="00BA2534"/>
    <w:rsid w:val="00BA6F38"/>
    <w:rsid w:val="00BB0860"/>
    <w:rsid w:val="00BB25FB"/>
    <w:rsid w:val="00BC15E5"/>
    <w:rsid w:val="00BC376E"/>
    <w:rsid w:val="00BC7029"/>
    <w:rsid w:val="00BC7871"/>
    <w:rsid w:val="00BD4218"/>
    <w:rsid w:val="00BD6B80"/>
    <w:rsid w:val="00BE0E15"/>
    <w:rsid w:val="00BF1D39"/>
    <w:rsid w:val="00BF2157"/>
    <w:rsid w:val="00BF4626"/>
    <w:rsid w:val="00BF7CD5"/>
    <w:rsid w:val="00C02766"/>
    <w:rsid w:val="00C0571F"/>
    <w:rsid w:val="00C06BD2"/>
    <w:rsid w:val="00C12B5A"/>
    <w:rsid w:val="00C12D34"/>
    <w:rsid w:val="00C1433E"/>
    <w:rsid w:val="00C15347"/>
    <w:rsid w:val="00C16651"/>
    <w:rsid w:val="00C2143A"/>
    <w:rsid w:val="00C264F0"/>
    <w:rsid w:val="00C32128"/>
    <w:rsid w:val="00C35305"/>
    <w:rsid w:val="00C361B1"/>
    <w:rsid w:val="00C37377"/>
    <w:rsid w:val="00C404BD"/>
    <w:rsid w:val="00C45DCD"/>
    <w:rsid w:val="00C52C35"/>
    <w:rsid w:val="00C53D28"/>
    <w:rsid w:val="00C62102"/>
    <w:rsid w:val="00C662A6"/>
    <w:rsid w:val="00C66D3F"/>
    <w:rsid w:val="00C672E3"/>
    <w:rsid w:val="00C70F48"/>
    <w:rsid w:val="00C72CE5"/>
    <w:rsid w:val="00C807ED"/>
    <w:rsid w:val="00C8124F"/>
    <w:rsid w:val="00C81D43"/>
    <w:rsid w:val="00C84000"/>
    <w:rsid w:val="00C84306"/>
    <w:rsid w:val="00C87FEE"/>
    <w:rsid w:val="00C91FFE"/>
    <w:rsid w:val="00C924DE"/>
    <w:rsid w:val="00CA1EB1"/>
    <w:rsid w:val="00CA495C"/>
    <w:rsid w:val="00CA548D"/>
    <w:rsid w:val="00CB0290"/>
    <w:rsid w:val="00CB1D0D"/>
    <w:rsid w:val="00CB2104"/>
    <w:rsid w:val="00CB3A01"/>
    <w:rsid w:val="00CB71B0"/>
    <w:rsid w:val="00CC5C24"/>
    <w:rsid w:val="00CD4CB6"/>
    <w:rsid w:val="00CD4D78"/>
    <w:rsid w:val="00CD72C3"/>
    <w:rsid w:val="00CF1C8A"/>
    <w:rsid w:val="00CF40F2"/>
    <w:rsid w:val="00CF4918"/>
    <w:rsid w:val="00D0275E"/>
    <w:rsid w:val="00D0373D"/>
    <w:rsid w:val="00D052FC"/>
    <w:rsid w:val="00D105BC"/>
    <w:rsid w:val="00D12366"/>
    <w:rsid w:val="00D143A2"/>
    <w:rsid w:val="00D208FB"/>
    <w:rsid w:val="00D20DD7"/>
    <w:rsid w:val="00D22E4C"/>
    <w:rsid w:val="00D26637"/>
    <w:rsid w:val="00D266F4"/>
    <w:rsid w:val="00D31270"/>
    <w:rsid w:val="00D34B18"/>
    <w:rsid w:val="00D3526C"/>
    <w:rsid w:val="00D40A7B"/>
    <w:rsid w:val="00D45FF1"/>
    <w:rsid w:val="00D542BB"/>
    <w:rsid w:val="00D55440"/>
    <w:rsid w:val="00D55F5A"/>
    <w:rsid w:val="00D61AB6"/>
    <w:rsid w:val="00D70FAF"/>
    <w:rsid w:val="00D71BFC"/>
    <w:rsid w:val="00D74937"/>
    <w:rsid w:val="00D751A3"/>
    <w:rsid w:val="00D80897"/>
    <w:rsid w:val="00D837D7"/>
    <w:rsid w:val="00D8435D"/>
    <w:rsid w:val="00D85C19"/>
    <w:rsid w:val="00D877ED"/>
    <w:rsid w:val="00D915D3"/>
    <w:rsid w:val="00D95B40"/>
    <w:rsid w:val="00D96500"/>
    <w:rsid w:val="00DA2B4E"/>
    <w:rsid w:val="00DA7CC1"/>
    <w:rsid w:val="00DB0406"/>
    <w:rsid w:val="00DB4D94"/>
    <w:rsid w:val="00DC3490"/>
    <w:rsid w:val="00DC79FD"/>
    <w:rsid w:val="00DD0FBD"/>
    <w:rsid w:val="00DD5E95"/>
    <w:rsid w:val="00DD6BC1"/>
    <w:rsid w:val="00DD6CC9"/>
    <w:rsid w:val="00DD762B"/>
    <w:rsid w:val="00DE165A"/>
    <w:rsid w:val="00DE5C99"/>
    <w:rsid w:val="00DE6EF6"/>
    <w:rsid w:val="00DF0661"/>
    <w:rsid w:val="00DF5DF8"/>
    <w:rsid w:val="00DF6249"/>
    <w:rsid w:val="00DF72C0"/>
    <w:rsid w:val="00E1225F"/>
    <w:rsid w:val="00E12D2E"/>
    <w:rsid w:val="00E14C00"/>
    <w:rsid w:val="00E152B4"/>
    <w:rsid w:val="00E20804"/>
    <w:rsid w:val="00E20874"/>
    <w:rsid w:val="00E21A73"/>
    <w:rsid w:val="00E22138"/>
    <w:rsid w:val="00E2691B"/>
    <w:rsid w:val="00E27478"/>
    <w:rsid w:val="00E307C0"/>
    <w:rsid w:val="00E3293B"/>
    <w:rsid w:val="00E34A5B"/>
    <w:rsid w:val="00E40E31"/>
    <w:rsid w:val="00E424FB"/>
    <w:rsid w:val="00E5340E"/>
    <w:rsid w:val="00E54383"/>
    <w:rsid w:val="00E616E5"/>
    <w:rsid w:val="00E63C82"/>
    <w:rsid w:val="00E67477"/>
    <w:rsid w:val="00E67B56"/>
    <w:rsid w:val="00E73A93"/>
    <w:rsid w:val="00E75BD4"/>
    <w:rsid w:val="00E8253E"/>
    <w:rsid w:val="00E86617"/>
    <w:rsid w:val="00E90210"/>
    <w:rsid w:val="00E941A1"/>
    <w:rsid w:val="00E9495D"/>
    <w:rsid w:val="00E94CC0"/>
    <w:rsid w:val="00EA1EDA"/>
    <w:rsid w:val="00EA4FC8"/>
    <w:rsid w:val="00EA5C40"/>
    <w:rsid w:val="00EB3731"/>
    <w:rsid w:val="00EC41EA"/>
    <w:rsid w:val="00EC4E01"/>
    <w:rsid w:val="00EC7346"/>
    <w:rsid w:val="00ED123D"/>
    <w:rsid w:val="00ED2784"/>
    <w:rsid w:val="00ED554D"/>
    <w:rsid w:val="00ED6DA4"/>
    <w:rsid w:val="00ED6FB8"/>
    <w:rsid w:val="00ED74A5"/>
    <w:rsid w:val="00ED7EBB"/>
    <w:rsid w:val="00ED7F96"/>
    <w:rsid w:val="00EE38C4"/>
    <w:rsid w:val="00EF5BD5"/>
    <w:rsid w:val="00EF7E00"/>
    <w:rsid w:val="00F0257F"/>
    <w:rsid w:val="00F05D43"/>
    <w:rsid w:val="00F07519"/>
    <w:rsid w:val="00F11D9D"/>
    <w:rsid w:val="00F152CA"/>
    <w:rsid w:val="00F16AE6"/>
    <w:rsid w:val="00F20FB1"/>
    <w:rsid w:val="00F226B8"/>
    <w:rsid w:val="00F24BD5"/>
    <w:rsid w:val="00F25646"/>
    <w:rsid w:val="00F27933"/>
    <w:rsid w:val="00F27B61"/>
    <w:rsid w:val="00F343EC"/>
    <w:rsid w:val="00F40B8B"/>
    <w:rsid w:val="00F42E19"/>
    <w:rsid w:val="00F464B8"/>
    <w:rsid w:val="00F47BDF"/>
    <w:rsid w:val="00F514F8"/>
    <w:rsid w:val="00F536FF"/>
    <w:rsid w:val="00F56F1A"/>
    <w:rsid w:val="00F612D6"/>
    <w:rsid w:val="00F67E0D"/>
    <w:rsid w:val="00F70480"/>
    <w:rsid w:val="00F71470"/>
    <w:rsid w:val="00F75C8B"/>
    <w:rsid w:val="00F81A94"/>
    <w:rsid w:val="00F86413"/>
    <w:rsid w:val="00F91C9A"/>
    <w:rsid w:val="00F950EE"/>
    <w:rsid w:val="00F97D93"/>
    <w:rsid w:val="00FA2B76"/>
    <w:rsid w:val="00FB1BD6"/>
    <w:rsid w:val="00FB2563"/>
    <w:rsid w:val="00FB2A2D"/>
    <w:rsid w:val="00FC20D7"/>
    <w:rsid w:val="00FC6C5D"/>
    <w:rsid w:val="00FD3F1B"/>
    <w:rsid w:val="00FD4A31"/>
    <w:rsid w:val="00FD63D0"/>
    <w:rsid w:val="00FE001D"/>
    <w:rsid w:val="00FE240A"/>
    <w:rsid w:val="00FF288C"/>
    <w:rsid w:val="00FF5F2B"/>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7E78"/>
  <w15:docId w15:val="{680A9A29-4213-4F1C-A891-CC485FF9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D53"/>
    <w:pPr>
      <w:ind w:left="720"/>
      <w:contextualSpacing/>
    </w:pPr>
  </w:style>
  <w:style w:type="paragraph" w:styleId="a4">
    <w:name w:val="Balloon Text"/>
    <w:basedOn w:val="a"/>
    <w:link w:val="a5"/>
    <w:uiPriority w:val="99"/>
    <w:semiHidden/>
    <w:unhideWhenUsed/>
    <w:rsid w:val="00D208F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D208FB"/>
    <w:rPr>
      <w:rFonts w:ascii="Tahoma" w:hAnsi="Tahoma" w:cs="Tahoma"/>
      <w:sz w:val="16"/>
      <w:szCs w:val="16"/>
    </w:rPr>
  </w:style>
  <w:style w:type="character" w:styleId="Hyperlink">
    <w:name w:val="Hyperlink"/>
    <w:basedOn w:val="a0"/>
    <w:uiPriority w:val="99"/>
    <w:unhideWhenUsed/>
    <w:rsid w:val="008D3530"/>
    <w:rPr>
      <w:color w:val="0000FF" w:themeColor="hyperlink"/>
      <w:u w:val="single"/>
    </w:rPr>
  </w:style>
  <w:style w:type="paragraph" w:customStyle="1" w:styleId="regpar">
    <w:name w:val="regpar"/>
    <w:basedOn w:val="a"/>
    <w:rsid w:val="00C12B5A"/>
    <w:pPr>
      <w:spacing w:after="0" w:line="300" w:lineRule="exact"/>
      <w:ind w:firstLine="240"/>
      <w:jc w:val="both"/>
    </w:pPr>
    <w:rPr>
      <w:rFonts w:ascii="Times" w:eastAsia="Times New Roman" w:hAnsi="Times" w:cs="Times"/>
      <w:sz w:val="24"/>
      <w:szCs w:val="24"/>
    </w:rPr>
  </w:style>
  <w:style w:type="paragraph" w:styleId="a6">
    <w:name w:val="header"/>
    <w:basedOn w:val="a"/>
    <w:link w:val="a7"/>
    <w:uiPriority w:val="99"/>
    <w:unhideWhenUsed/>
    <w:rsid w:val="00A06BF2"/>
    <w:pPr>
      <w:tabs>
        <w:tab w:val="center" w:pos="4153"/>
        <w:tab w:val="right" w:pos="8306"/>
      </w:tabs>
      <w:spacing w:after="0" w:line="240" w:lineRule="auto"/>
    </w:pPr>
  </w:style>
  <w:style w:type="character" w:customStyle="1" w:styleId="a7">
    <w:name w:val="כותרת עליונה תו"/>
    <w:basedOn w:val="a0"/>
    <w:link w:val="a6"/>
    <w:uiPriority w:val="99"/>
    <w:rsid w:val="00A06BF2"/>
  </w:style>
  <w:style w:type="paragraph" w:styleId="a8">
    <w:name w:val="footer"/>
    <w:basedOn w:val="a"/>
    <w:link w:val="a9"/>
    <w:uiPriority w:val="99"/>
    <w:unhideWhenUsed/>
    <w:rsid w:val="00A06BF2"/>
    <w:pPr>
      <w:tabs>
        <w:tab w:val="center" w:pos="4153"/>
        <w:tab w:val="right" w:pos="8306"/>
      </w:tabs>
      <w:spacing w:after="0" w:line="240" w:lineRule="auto"/>
    </w:pPr>
  </w:style>
  <w:style w:type="character" w:customStyle="1" w:styleId="a9">
    <w:name w:val="כותרת תחתונה תו"/>
    <w:basedOn w:val="a0"/>
    <w:link w:val="a8"/>
    <w:uiPriority w:val="99"/>
    <w:rsid w:val="00A06BF2"/>
  </w:style>
  <w:style w:type="paragraph" w:styleId="NormalWeb">
    <w:name w:val="Normal (Web)"/>
    <w:basedOn w:val="a"/>
    <w:uiPriority w:val="99"/>
    <w:semiHidden/>
    <w:unhideWhenUsed/>
    <w:rsid w:val="00E12D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Placeholder Text"/>
    <w:basedOn w:val="a0"/>
    <w:uiPriority w:val="99"/>
    <w:semiHidden/>
    <w:rsid w:val="006E1851"/>
    <w:rPr>
      <w:color w:val="808080"/>
    </w:rPr>
  </w:style>
  <w:style w:type="paragraph" w:styleId="ab">
    <w:name w:val="footnote text"/>
    <w:basedOn w:val="a"/>
    <w:link w:val="ac"/>
    <w:uiPriority w:val="99"/>
    <w:semiHidden/>
    <w:unhideWhenUsed/>
    <w:rsid w:val="001F1F0E"/>
    <w:pPr>
      <w:spacing w:after="0" w:line="240" w:lineRule="auto"/>
    </w:pPr>
    <w:rPr>
      <w:sz w:val="20"/>
      <w:szCs w:val="20"/>
    </w:rPr>
  </w:style>
  <w:style w:type="character" w:customStyle="1" w:styleId="ac">
    <w:name w:val="טקסט הערת שוליים תו"/>
    <w:basedOn w:val="a0"/>
    <w:link w:val="ab"/>
    <w:uiPriority w:val="99"/>
    <w:semiHidden/>
    <w:rsid w:val="001F1F0E"/>
    <w:rPr>
      <w:sz w:val="20"/>
      <w:szCs w:val="20"/>
    </w:rPr>
  </w:style>
  <w:style w:type="character" w:styleId="ad">
    <w:name w:val="footnote reference"/>
    <w:basedOn w:val="a0"/>
    <w:uiPriority w:val="99"/>
    <w:semiHidden/>
    <w:unhideWhenUsed/>
    <w:rsid w:val="001F1F0E"/>
    <w:rPr>
      <w:vertAlign w:val="superscript"/>
    </w:rPr>
  </w:style>
  <w:style w:type="character" w:styleId="ae">
    <w:name w:val="annotation reference"/>
    <w:basedOn w:val="a0"/>
    <w:uiPriority w:val="99"/>
    <w:semiHidden/>
    <w:unhideWhenUsed/>
    <w:rsid w:val="00AF6D7B"/>
    <w:rPr>
      <w:sz w:val="16"/>
      <w:szCs w:val="16"/>
    </w:rPr>
  </w:style>
  <w:style w:type="paragraph" w:styleId="af">
    <w:name w:val="annotation text"/>
    <w:basedOn w:val="a"/>
    <w:link w:val="af0"/>
    <w:uiPriority w:val="99"/>
    <w:semiHidden/>
    <w:unhideWhenUsed/>
    <w:rsid w:val="00AF6D7B"/>
    <w:pPr>
      <w:spacing w:line="240" w:lineRule="auto"/>
    </w:pPr>
    <w:rPr>
      <w:sz w:val="20"/>
      <w:szCs w:val="20"/>
    </w:rPr>
  </w:style>
  <w:style w:type="character" w:customStyle="1" w:styleId="af0">
    <w:name w:val="טקסט הערה תו"/>
    <w:basedOn w:val="a0"/>
    <w:link w:val="af"/>
    <w:uiPriority w:val="99"/>
    <w:semiHidden/>
    <w:rsid w:val="00AF6D7B"/>
    <w:rPr>
      <w:sz w:val="20"/>
      <w:szCs w:val="20"/>
    </w:rPr>
  </w:style>
  <w:style w:type="paragraph" w:styleId="af1">
    <w:name w:val="annotation subject"/>
    <w:basedOn w:val="af"/>
    <w:next w:val="af"/>
    <w:link w:val="af2"/>
    <w:uiPriority w:val="99"/>
    <w:semiHidden/>
    <w:unhideWhenUsed/>
    <w:rsid w:val="00AF6D7B"/>
    <w:rPr>
      <w:b/>
      <w:bCs/>
    </w:rPr>
  </w:style>
  <w:style w:type="character" w:customStyle="1" w:styleId="af2">
    <w:name w:val="נושא הערה תו"/>
    <w:basedOn w:val="af0"/>
    <w:link w:val="af1"/>
    <w:uiPriority w:val="99"/>
    <w:semiHidden/>
    <w:rsid w:val="00AF6D7B"/>
    <w:rPr>
      <w:b/>
      <w:bCs/>
      <w:sz w:val="20"/>
      <w:szCs w:val="20"/>
    </w:rPr>
  </w:style>
  <w:style w:type="paragraph" w:customStyle="1" w:styleId="LetterheadBOI">
    <w:name w:val="Letterhead BOI"/>
    <w:basedOn w:val="regpar"/>
    <w:link w:val="LetterheadBOIChar"/>
    <w:qFormat/>
    <w:rsid w:val="00867523"/>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867523"/>
    <w:pPr>
      <w:spacing w:line="300" w:lineRule="atLeast"/>
      <w:ind w:firstLine="0"/>
      <w:jc w:val="center"/>
    </w:pPr>
    <w:rPr>
      <w:rFonts w:ascii="Times New Roman" w:hAnsi="Times New Roman" w:cs="Times New Roman"/>
      <w:sz w:val="26"/>
      <w:szCs w:val="26"/>
    </w:rPr>
  </w:style>
  <w:style w:type="character" w:customStyle="1" w:styleId="LetterheadBOIChar">
    <w:name w:val="Letterhead BOI Char"/>
    <w:basedOn w:val="a0"/>
    <w:link w:val="LetterheadBOI"/>
    <w:rsid w:val="00867523"/>
    <w:rPr>
      <w:rFonts w:ascii="Times New Roman" w:eastAsia="Times New Roman" w:hAnsi="Times New Roman" w:cs="David"/>
      <w:b/>
      <w:sz w:val="24"/>
      <w:szCs w:val="24"/>
    </w:rPr>
  </w:style>
  <w:style w:type="character" w:customStyle="1" w:styleId="Letterhead2Char">
    <w:name w:val="Letterhead 2 Char"/>
    <w:basedOn w:val="a0"/>
    <w:link w:val="Letterhead2"/>
    <w:rsid w:val="00867523"/>
    <w:rPr>
      <w:rFonts w:ascii="Times New Roman" w:eastAsia="Times New Roman" w:hAnsi="Times New Roman" w:cs="Times New Roman"/>
      <w:sz w:val="26"/>
      <w:szCs w:val="26"/>
    </w:rPr>
  </w:style>
  <w:style w:type="paragraph" w:customStyle="1" w:styleId="PressReleaseTitle">
    <w:name w:val="Press Release Title"/>
    <w:basedOn w:val="a"/>
    <w:link w:val="PressReleaseTitleChar"/>
    <w:qFormat/>
    <w:rsid w:val="00867523"/>
    <w:pPr>
      <w:tabs>
        <w:tab w:val="center" w:pos="4156"/>
        <w:tab w:val="right" w:pos="8312"/>
      </w:tabs>
      <w:spacing w:after="0" w:line="240" w:lineRule="auto"/>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867523"/>
    <w:rPr>
      <w:rFonts w:ascii="Times New Roman" w:eastAsia="Times New Roman" w:hAnsi="Times New Roman" w:cs="David"/>
      <w:b/>
      <w:bCs/>
      <w:sz w:val="26"/>
      <w:szCs w:val="26"/>
    </w:rPr>
  </w:style>
  <w:style w:type="paragraph" w:styleId="af3">
    <w:name w:val="Plain Text"/>
    <w:basedOn w:val="a"/>
    <w:link w:val="af4"/>
    <w:uiPriority w:val="99"/>
    <w:unhideWhenUsed/>
    <w:rsid w:val="000B3141"/>
    <w:pPr>
      <w:bidi/>
      <w:spacing w:after="0" w:line="240" w:lineRule="auto"/>
    </w:pPr>
    <w:rPr>
      <w:rFonts w:ascii="Calibri" w:hAnsi="Calibri"/>
      <w:szCs w:val="21"/>
    </w:rPr>
  </w:style>
  <w:style w:type="character" w:customStyle="1" w:styleId="af4">
    <w:name w:val="טקסט רגיל תו"/>
    <w:basedOn w:val="a0"/>
    <w:link w:val="af3"/>
    <w:uiPriority w:val="99"/>
    <w:rsid w:val="000B3141"/>
    <w:rPr>
      <w:rFonts w:ascii="Calibri" w:hAnsi="Calibri"/>
      <w:szCs w:val="21"/>
    </w:rPr>
  </w:style>
  <w:style w:type="character" w:styleId="FollowedHyperlink">
    <w:name w:val="FollowedHyperlink"/>
    <w:basedOn w:val="a0"/>
    <w:uiPriority w:val="99"/>
    <w:semiHidden/>
    <w:unhideWhenUsed/>
    <w:rsid w:val="000B31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31">
      <w:bodyDiv w:val="1"/>
      <w:marLeft w:val="0"/>
      <w:marRight w:val="0"/>
      <w:marTop w:val="0"/>
      <w:marBottom w:val="0"/>
      <w:divBdr>
        <w:top w:val="none" w:sz="0" w:space="0" w:color="auto"/>
        <w:left w:val="none" w:sz="0" w:space="0" w:color="auto"/>
        <w:bottom w:val="none" w:sz="0" w:space="0" w:color="auto"/>
        <w:right w:val="none" w:sz="0" w:space="0" w:color="auto"/>
      </w:divBdr>
    </w:div>
    <w:div w:id="321667994">
      <w:bodyDiv w:val="1"/>
      <w:marLeft w:val="0"/>
      <w:marRight w:val="0"/>
      <w:marTop w:val="0"/>
      <w:marBottom w:val="0"/>
      <w:divBdr>
        <w:top w:val="none" w:sz="0" w:space="0" w:color="auto"/>
        <w:left w:val="none" w:sz="0" w:space="0" w:color="auto"/>
        <w:bottom w:val="none" w:sz="0" w:space="0" w:color="auto"/>
        <w:right w:val="none" w:sz="0" w:space="0" w:color="auto"/>
      </w:divBdr>
    </w:div>
    <w:div w:id="633830435">
      <w:bodyDiv w:val="1"/>
      <w:marLeft w:val="0"/>
      <w:marRight w:val="0"/>
      <w:marTop w:val="0"/>
      <w:marBottom w:val="0"/>
      <w:divBdr>
        <w:top w:val="none" w:sz="0" w:space="0" w:color="auto"/>
        <w:left w:val="none" w:sz="0" w:space="0" w:color="auto"/>
        <w:bottom w:val="none" w:sz="0" w:space="0" w:color="auto"/>
        <w:right w:val="none" w:sz="0" w:space="0" w:color="auto"/>
      </w:divBdr>
    </w:div>
    <w:div w:id="802238250">
      <w:bodyDiv w:val="1"/>
      <w:marLeft w:val="0"/>
      <w:marRight w:val="0"/>
      <w:marTop w:val="0"/>
      <w:marBottom w:val="0"/>
      <w:divBdr>
        <w:top w:val="none" w:sz="0" w:space="0" w:color="auto"/>
        <w:left w:val="none" w:sz="0" w:space="0" w:color="auto"/>
        <w:bottom w:val="none" w:sz="0" w:space="0" w:color="auto"/>
        <w:right w:val="none" w:sz="0" w:space="0" w:color="auto"/>
      </w:divBdr>
    </w:div>
    <w:div w:id="1028677198">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455825455">
      <w:bodyDiv w:val="1"/>
      <w:marLeft w:val="0"/>
      <w:marRight w:val="0"/>
      <w:marTop w:val="0"/>
      <w:marBottom w:val="0"/>
      <w:divBdr>
        <w:top w:val="none" w:sz="0" w:space="0" w:color="auto"/>
        <w:left w:val="none" w:sz="0" w:space="0" w:color="auto"/>
        <w:bottom w:val="none" w:sz="0" w:space="0" w:color="auto"/>
        <w:right w:val="none" w:sz="0" w:space="0" w:color="auto"/>
      </w:divBdr>
    </w:div>
    <w:div w:id="1810777537">
      <w:bodyDiv w:val="1"/>
      <w:marLeft w:val="0"/>
      <w:marRight w:val="0"/>
      <w:marTop w:val="0"/>
      <w:marBottom w:val="0"/>
      <w:divBdr>
        <w:top w:val="none" w:sz="0" w:space="0" w:color="auto"/>
        <w:left w:val="none" w:sz="0" w:space="0" w:color="auto"/>
        <w:bottom w:val="none" w:sz="0" w:space="0" w:color="auto"/>
        <w:right w:val="none" w:sz="0" w:space="0" w:color="auto"/>
      </w:divBdr>
    </w:div>
    <w:div w:id="1838039189">
      <w:bodyDiv w:val="1"/>
      <w:marLeft w:val="0"/>
      <w:marRight w:val="0"/>
      <w:marTop w:val="0"/>
      <w:marBottom w:val="0"/>
      <w:divBdr>
        <w:top w:val="none" w:sz="0" w:space="0" w:color="auto"/>
        <w:left w:val="none" w:sz="0" w:space="0" w:color="auto"/>
        <w:bottom w:val="none" w:sz="0" w:space="0" w:color="auto"/>
        <w:right w:val="none" w:sz="0" w:space="0" w:color="auto"/>
      </w:divBdr>
    </w:div>
    <w:div w:id="19448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oi.org.il/en/economic-roles/data-and-statistics/money-and-debt-aggregates/debt-and-credit/"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0B623-CC80-427D-9256-8A0A650D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1049</Words>
  <Characters>5248</Characters>
  <Application>Microsoft Office Word</Application>
  <DocSecurity>4</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u15c</dc:creator>
  <cp:lastModifiedBy>מיטל רולניצקי</cp:lastModifiedBy>
  <cp:revision>2</cp:revision>
  <cp:lastPrinted>2014-12-25T12:03:00Z</cp:lastPrinted>
  <dcterms:created xsi:type="dcterms:W3CDTF">2024-12-22T11:46:00Z</dcterms:created>
  <dcterms:modified xsi:type="dcterms:W3CDTF">2024-12-22T11:46:00Z</dcterms:modified>
</cp:coreProperties>
</file>