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59"/>
        <w:bidiVisual/>
        <w:tblW w:w="8520" w:type="dxa"/>
        <w:tblLayout w:type="fixed"/>
        <w:tblLook w:val="0000" w:firstRow="0" w:lastRow="0" w:firstColumn="0" w:lastColumn="0" w:noHBand="0" w:noVBand="0"/>
      </w:tblPr>
      <w:tblGrid>
        <w:gridCol w:w="2840"/>
        <w:gridCol w:w="2596"/>
        <w:gridCol w:w="3084"/>
      </w:tblGrid>
      <w:tr w:rsidR="001F25FA" w:rsidRPr="00A67536" w:rsidTr="001F25FA">
        <w:trPr>
          <w:trHeight w:val="1701"/>
        </w:trPr>
        <w:tc>
          <w:tcPr>
            <w:tcW w:w="2840" w:type="dxa"/>
            <w:tcBorders>
              <w:top w:val="nil"/>
              <w:left w:val="nil"/>
              <w:bottom w:val="nil"/>
              <w:right w:val="nil"/>
            </w:tcBorders>
            <w:vAlign w:val="center"/>
          </w:tcPr>
          <w:p w:rsidR="001F25FA" w:rsidRPr="00A67536" w:rsidRDefault="001F25FA" w:rsidP="001F25FA">
            <w:pPr>
              <w:spacing w:line="360" w:lineRule="auto"/>
              <w:jc w:val="both"/>
              <w:rPr>
                <w:b/>
                <w:bCs/>
                <w:sz w:val="28"/>
                <w:szCs w:val="28"/>
              </w:rPr>
            </w:pPr>
            <w:r w:rsidRPr="00A67536">
              <w:rPr>
                <w:b/>
                <w:bCs/>
                <w:sz w:val="28"/>
                <w:szCs w:val="28"/>
                <w:rtl/>
              </w:rPr>
              <w:t>בנ</w:t>
            </w:r>
            <w:r w:rsidRPr="00A67536">
              <w:rPr>
                <w:rFonts w:hint="cs"/>
                <w:b/>
                <w:bCs/>
                <w:sz w:val="28"/>
                <w:szCs w:val="28"/>
                <w:rtl/>
              </w:rPr>
              <w:t xml:space="preserve">ק </w:t>
            </w:r>
            <w:r w:rsidRPr="00A67536">
              <w:rPr>
                <w:b/>
                <w:bCs/>
                <w:sz w:val="28"/>
                <w:szCs w:val="28"/>
                <w:rtl/>
              </w:rPr>
              <w:t>יש</w:t>
            </w:r>
            <w:r w:rsidRPr="00A67536">
              <w:rPr>
                <w:rFonts w:hint="cs"/>
                <w:b/>
                <w:bCs/>
                <w:sz w:val="28"/>
                <w:szCs w:val="28"/>
                <w:rtl/>
              </w:rPr>
              <w:t>ראל</w:t>
            </w:r>
          </w:p>
          <w:p w:rsidR="001F25FA" w:rsidRPr="00A67536" w:rsidRDefault="001F25FA" w:rsidP="001F25FA">
            <w:pPr>
              <w:spacing w:line="360" w:lineRule="auto"/>
              <w:ind w:right="-101"/>
              <w:jc w:val="both"/>
            </w:pPr>
            <w:r w:rsidRPr="00A67536">
              <w:rPr>
                <w:rtl/>
              </w:rPr>
              <w:t>דו</w:t>
            </w:r>
            <w:r w:rsidRPr="00A67536">
              <w:rPr>
                <w:rFonts w:hint="cs"/>
                <w:rtl/>
              </w:rPr>
              <w:t>בר</w:t>
            </w:r>
            <w:r w:rsidRPr="00A67536">
              <w:rPr>
                <w:rtl/>
              </w:rPr>
              <w:t>ות</w:t>
            </w:r>
            <w:r w:rsidRPr="00A67536">
              <w:rPr>
                <w:rFonts w:hint="cs"/>
                <w:rtl/>
              </w:rPr>
              <w:t xml:space="preserve"> והסברה כלכלית</w:t>
            </w:r>
          </w:p>
        </w:tc>
        <w:tc>
          <w:tcPr>
            <w:tcW w:w="2596" w:type="dxa"/>
            <w:tcBorders>
              <w:top w:val="nil"/>
              <w:left w:val="nil"/>
              <w:bottom w:val="nil"/>
              <w:right w:val="nil"/>
            </w:tcBorders>
          </w:tcPr>
          <w:p w:rsidR="001F25FA" w:rsidRPr="00A67536" w:rsidRDefault="001F25FA" w:rsidP="001F25FA">
            <w:pPr>
              <w:jc w:val="both"/>
            </w:pPr>
            <w:r>
              <w:rPr>
                <w:rFonts w:hint="eastAsia"/>
                <w:noProof/>
                <w:rtl/>
              </w:rPr>
              <w:drawing>
                <wp:anchor distT="0" distB="0" distL="114300" distR="114300" simplePos="0" relativeHeight="251659264" behindDoc="0" locked="0" layoutInCell="1" allowOverlap="1" wp14:anchorId="4D540BF6" wp14:editId="2C5BB1C9">
                  <wp:simplePos x="0" y="0"/>
                  <wp:positionH relativeFrom="column">
                    <wp:align>center</wp:align>
                  </wp:positionH>
                  <wp:positionV relativeFrom="paragraph">
                    <wp:posOffset>33655</wp:posOffset>
                  </wp:positionV>
                  <wp:extent cx="914400" cy="91440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k of Israel 2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tc>
        <w:tc>
          <w:tcPr>
            <w:tcW w:w="3084" w:type="dxa"/>
            <w:tcBorders>
              <w:top w:val="nil"/>
              <w:left w:val="nil"/>
              <w:bottom w:val="nil"/>
              <w:right w:val="nil"/>
            </w:tcBorders>
            <w:vAlign w:val="center"/>
          </w:tcPr>
          <w:p w:rsidR="001F25FA" w:rsidRPr="001B64B5" w:rsidRDefault="001F25FA" w:rsidP="001F25FA">
            <w:pPr>
              <w:spacing w:line="480" w:lineRule="auto"/>
              <w:jc w:val="right"/>
            </w:pPr>
            <w:r w:rsidRPr="00026D2F">
              <w:rPr>
                <w:rFonts w:hint="eastAsia"/>
                <w:rtl/>
              </w:rPr>
              <w:t>‏‏יום </w:t>
            </w:r>
            <w:r>
              <w:rPr>
                <w:rFonts w:hint="cs"/>
                <w:rtl/>
              </w:rPr>
              <w:t>שני</w:t>
            </w:r>
            <w:r w:rsidRPr="00026D2F">
              <w:rPr>
                <w:rtl/>
              </w:rPr>
              <w:t xml:space="preserve"> </w:t>
            </w:r>
            <w:r w:rsidRPr="00026D2F">
              <w:rPr>
                <w:rFonts w:hint="cs"/>
                <w:rtl/>
              </w:rPr>
              <w:t>כ</w:t>
            </w:r>
            <w:r w:rsidRPr="00026D2F">
              <w:rPr>
                <w:rtl/>
              </w:rPr>
              <w:t>"</w:t>
            </w:r>
            <w:r>
              <w:rPr>
                <w:rFonts w:hint="cs"/>
                <w:rtl/>
              </w:rPr>
              <w:t>ח</w:t>
            </w:r>
            <w:r w:rsidRPr="00026D2F">
              <w:rPr>
                <w:rtl/>
              </w:rPr>
              <w:t xml:space="preserve"> </w:t>
            </w:r>
            <w:r w:rsidRPr="00026D2F">
              <w:rPr>
                <w:rFonts w:hint="cs"/>
                <w:rtl/>
              </w:rPr>
              <w:t>ב</w:t>
            </w:r>
            <w:r w:rsidRPr="00026D2F">
              <w:rPr>
                <w:rtl/>
              </w:rPr>
              <w:t xml:space="preserve">אדר </w:t>
            </w:r>
            <w:proofErr w:type="spellStart"/>
            <w:r w:rsidRPr="00026D2F">
              <w:rPr>
                <w:rFonts w:hint="cs"/>
                <w:rtl/>
              </w:rPr>
              <w:t>ה</w:t>
            </w:r>
            <w:r w:rsidRPr="00026D2F">
              <w:rPr>
                <w:rtl/>
              </w:rPr>
              <w:t>תשפ"ג</w:t>
            </w:r>
            <w:proofErr w:type="spellEnd"/>
          </w:p>
          <w:p w:rsidR="001F25FA" w:rsidRPr="001B64B5" w:rsidRDefault="001F25FA" w:rsidP="001F25FA">
            <w:pPr>
              <w:spacing w:line="480" w:lineRule="auto"/>
              <w:jc w:val="right"/>
            </w:pPr>
            <w:r w:rsidRPr="001B64B5">
              <w:rPr>
                <w:rFonts w:hint="eastAsia"/>
                <w:rtl/>
              </w:rPr>
              <w:t>‏‏</w:t>
            </w:r>
            <w:r>
              <w:rPr>
                <w:rFonts w:hint="cs"/>
                <w:rtl/>
              </w:rPr>
              <w:t>21</w:t>
            </w:r>
            <w:r w:rsidRPr="001B64B5">
              <w:rPr>
                <w:rFonts w:hint="cs"/>
                <w:rtl/>
              </w:rPr>
              <w:t xml:space="preserve"> במרץ </w:t>
            </w:r>
            <w:r>
              <w:rPr>
                <w:rFonts w:hint="cs"/>
                <w:rtl/>
              </w:rPr>
              <w:t>2023</w:t>
            </w:r>
          </w:p>
        </w:tc>
      </w:tr>
    </w:tbl>
    <w:p w:rsidR="001F25FA" w:rsidRDefault="001F25FA" w:rsidP="001F25FA">
      <w:pPr>
        <w:jc w:val="both"/>
        <w:rPr>
          <w:b/>
          <w:bCs/>
          <w:rtl/>
        </w:rPr>
      </w:pPr>
      <w:bookmarkStart w:id="0" w:name="_GoBack"/>
      <w:r w:rsidRPr="00A67536">
        <w:rPr>
          <w:rFonts w:hint="cs"/>
          <w:rtl/>
        </w:rPr>
        <w:t>הודעה לעיתונות:</w:t>
      </w:r>
    </w:p>
    <w:p w:rsidR="001F25FA" w:rsidRPr="002F5C49" w:rsidRDefault="001F25FA" w:rsidP="001F25FA">
      <w:pPr>
        <w:jc w:val="both"/>
        <w:rPr>
          <w:rtl/>
        </w:rPr>
      </w:pPr>
      <w:r w:rsidRPr="002F5C49">
        <w:rPr>
          <w:rFonts w:hint="cs"/>
          <w:rtl/>
        </w:rPr>
        <w:t>ניתוח מתוך דוח בנק ישראל לשנת 2022</w:t>
      </w:r>
      <w:r>
        <w:rPr>
          <w:rFonts w:hint="cs"/>
          <w:rtl/>
        </w:rPr>
        <w:t>:</w:t>
      </w:r>
    </w:p>
    <w:p w:rsidR="00D858A3" w:rsidRPr="001F25FA" w:rsidRDefault="00792F36" w:rsidP="008D0E4E">
      <w:pPr>
        <w:autoSpaceDE w:val="0"/>
        <w:autoSpaceDN w:val="0"/>
        <w:adjustRightInd w:val="0"/>
        <w:spacing w:after="120" w:line="360" w:lineRule="auto"/>
        <w:jc w:val="center"/>
        <w:rPr>
          <w:rFonts w:ascii="David" w:hAnsi="David"/>
          <w:b/>
          <w:bCs/>
          <w:color w:val="000000"/>
          <w:sz w:val="28"/>
          <w:szCs w:val="28"/>
          <w:rtl/>
        </w:rPr>
      </w:pPr>
      <w:r w:rsidRPr="001F25FA">
        <w:rPr>
          <w:rFonts w:ascii="David" w:hAnsi="David"/>
          <w:b/>
          <w:bCs/>
          <w:color w:val="000000"/>
          <w:sz w:val="28"/>
          <w:szCs w:val="28"/>
          <w:rtl/>
        </w:rPr>
        <w:t xml:space="preserve">התמסורת </w:t>
      </w:r>
      <w:r w:rsidRPr="001F25FA">
        <w:rPr>
          <w:rFonts w:ascii="David" w:hAnsi="David" w:hint="cs"/>
          <w:b/>
          <w:bCs/>
          <w:color w:val="000000"/>
          <w:sz w:val="28"/>
          <w:szCs w:val="28"/>
          <w:rtl/>
        </w:rPr>
        <w:t>מ</w:t>
      </w:r>
      <w:r w:rsidR="00961B6B" w:rsidRPr="001F25FA">
        <w:rPr>
          <w:rFonts w:ascii="David" w:hAnsi="David"/>
          <w:b/>
          <w:bCs/>
          <w:color w:val="000000"/>
          <w:sz w:val="28"/>
          <w:szCs w:val="28"/>
          <w:rtl/>
        </w:rPr>
        <w:t xml:space="preserve">המדיניות המוניטרית לריבית הפיקדונות </w:t>
      </w:r>
      <w:r w:rsidR="00590BB2" w:rsidRPr="001F25FA">
        <w:rPr>
          <w:rFonts w:ascii="David" w:hAnsi="David" w:hint="cs"/>
          <w:b/>
          <w:bCs/>
          <w:color w:val="000000"/>
          <w:sz w:val="28"/>
          <w:szCs w:val="28"/>
          <w:rtl/>
        </w:rPr>
        <w:t>בישראל</w:t>
      </w:r>
    </w:p>
    <w:p w:rsidR="00DF12E6" w:rsidRDefault="0073385A" w:rsidP="002145A3">
      <w:pPr>
        <w:pStyle w:val="a3"/>
        <w:numPr>
          <w:ilvl w:val="0"/>
          <w:numId w:val="5"/>
        </w:numPr>
        <w:autoSpaceDE w:val="0"/>
        <w:autoSpaceDN w:val="0"/>
        <w:adjustRightInd w:val="0"/>
        <w:spacing w:after="120" w:line="360" w:lineRule="auto"/>
        <w:jc w:val="both"/>
        <w:rPr>
          <w:rFonts w:ascii="David" w:hAnsi="David"/>
          <w:color w:val="000000"/>
        </w:rPr>
      </w:pPr>
      <w:r>
        <w:rPr>
          <w:rFonts w:ascii="David" w:hAnsi="David" w:hint="cs"/>
          <w:color w:val="000000"/>
          <w:rtl/>
        </w:rPr>
        <w:t>עליית</w:t>
      </w:r>
      <w:r w:rsidR="00744C6E">
        <w:rPr>
          <w:rFonts w:ascii="David" w:hAnsi="David" w:hint="cs"/>
          <w:color w:val="000000"/>
          <w:rtl/>
        </w:rPr>
        <w:t xml:space="preserve"> ריבית הפיקדונות ב</w:t>
      </w:r>
      <w:r w:rsidR="00A546EF">
        <w:rPr>
          <w:rFonts w:ascii="David" w:hAnsi="David" w:hint="cs"/>
          <w:color w:val="000000"/>
          <w:rtl/>
        </w:rPr>
        <w:t>שנה האחרונה</w:t>
      </w:r>
      <w:r w:rsidR="00744C6E">
        <w:rPr>
          <w:rFonts w:ascii="David" w:hAnsi="David" w:hint="cs"/>
          <w:color w:val="000000"/>
          <w:rtl/>
        </w:rPr>
        <w:t xml:space="preserve"> שיקפה </w:t>
      </w:r>
      <w:r w:rsidR="00792F36">
        <w:rPr>
          <w:rFonts w:ascii="David" w:hAnsi="David" w:hint="cs"/>
          <w:color w:val="000000"/>
          <w:rtl/>
        </w:rPr>
        <w:t>במידה</w:t>
      </w:r>
      <w:r w:rsidR="00744C6E">
        <w:rPr>
          <w:rFonts w:ascii="David" w:hAnsi="David" w:hint="cs"/>
          <w:color w:val="000000"/>
          <w:rtl/>
        </w:rPr>
        <w:t xml:space="preserve"> חלקית בלבד את עליית ריבית בנק ישראל</w:t>
      </w:r>
      <w:r w:rsidR="001827F3">
        <w:rPr>
          <w:rFonts w:ascii="David" w:hAnsi="David" w:hint="cs"/>
          <w:color w:val="000000"/>
          <w:rtl/>
        </w:rPr>
        <w:t>, אך</w:t>
      </w:r>
      <w:r w:rsidR="002145A3" w:rsidRPr="002145A3">
        <w:rPr>
          <w:rFonts w:ascii="David" w:hAnsi="David" w:hint="cs"/>
          <w:color w:val="000000"/>
          <w:rtl/>
        </w:rPr>
        <w:t xml:space="preserve"> </w:t>
      </w:r>
      <w:r w:rsidR="003604C3" w:rsidRPr="00744FC4">
        <w:rPr>
          <w:rFonts w:ascii="David" w:hAnsi="David" w:hint="eastAsia"/>
          <w:color w:val="000000"/>
          <w:rtl/>
        </w:rPr>
        <w:t>התמסורת</w:t>
      </w:r>
      <w:r w:rsidR="003604C3">
        <w:rPr>
          <w:rFonts w:ascii="David" w:hAnsi="David" w:hint="cs"/>
          <w:color w:val="000000"/>
          <w:rtl/>
        </w:rPr>
        <w:t xml:space="preserve"> </w:t>
      </w:r>
      <w:r w:rsidR="002145A3">
        <w:rPr>
          <w:rFonts w:ascii="David" w:hAnsi="David" w:hint="cs"/>
          <w:color w:val="000000"/>
          <w:rtl/>
        </w:rPr>
        <w:t>התחזקה משמעותית בחודשים האחרונים של שנת 2022</w:t>
      </w:r>
      <w:r>
        <w:rPr>
          <w:rFonts w:ascii="David" w:hAnsi="David" w:hint="cs"/>
          <w:color w:val="000000"/>
          <w:rtl/>
        </w:rPr>
        <w:t>.</w:t>
      </w:r>
      <w:r w:rsidR="00A546EF">
        <w:rPr>
          <w:rFonts w:ascii="David" w:hAnsi="David" w:hint="cs"/>
          <w:color w:val="000000"/>
          <w:rtl/>
        </w:rPr>
        <w:t xml:space="preserve"> תופע</w:t>
      </w:r>
      <w:r w:rsidR="002145A3">
        <w:rPr>
          <w:rFonts w:ascii="David" w:hAnsi="David" w:hint="cs"/>
          <w:color w:val="000000"/>
          <w:rtl/>
        </w:rPr>
        <w:t>ת התמסורת החלקית</w:t>
      </w:r>
      <w:r w:rsidR="00A546EF">
        <w:rPr>
          <w:rFonts w:ascii="David" w:hAnsi="David" w:hint="cs"/>
          <w:color w:val="000000"/>
          <w:rtl/>
        </w:rPr>
        <w:t xml:space="preserve"> לא הייתה ייחודית ל</w:t>
      </w:r>
      <w:r w:rsidR="00DF12E6">
        <w:rPr>
          <w:rFonts w:ascii="David" w:hAnsi="David" w:hint="cs"/>
          <w:color w:val="000000"/>
          <w:rtl/>
        </w:rPr>
        <w:t>ישראל</w:t>
      </w:r>
      <w:r w:rsidR="00792F36">
        <w:rPr>
          <w:rFonts w:ascii="David" w:hAnsi="David" w:hint="cs"/>
          <w:color w:val="000000"/>
          <w:rtl/>
        </w:rPr>
        <w:t>,</w:t>
      </w:r>
      <w:r w:rsidR="00DF12E6">
        <w:rPr>
          <w:rFonts w:ascii="David" w:hAnsi="David" w:hint="cs"/>
          <w:color w:val="000000"/>
          <w:rtl/>
        </w:rPr>
        <w:t xml:space="preserve"> </w:t>
      </w:r>
      <w:r w:rsidR="00A546EF">
        <w:rPr>
          <w:rFonts w:ascii="David" w:hAnsi="David" w:hint="cs"/>
          <w:color w:val="000000"/>
          <w:rtl/>
        </w:rPr>
        <w:t xml:space="preserve">ונראה </w:t>
      </w:r>
      <w:r w:rsidR="003604C3">
        <w:rPr>
          <w:rFonts w:ascii="David" w:hAnsi="David" w:hint="cs"/>
          <w:color w:val="000000"/>
          <w:rtl/>
        </w:rPr>
        <w:t>ש</w:t>
      </w:r>
      <w:r w:rsidR="002145A3">
        <w:rPr>
          <w:rFonts w:ascii="David" w:hAnsi="David" w:hint="cs"/>
          <w:color w:val="000000"/>
          <w:rtl/>
        </w:rPr>
        <w:t xml:space="preserve">בישראל </w:t>
      </w:r>
      <w:r w:rsidR="003604C3" w:rsidRPr="00744FC4">
        <w:rPr>
          <w:rFonts w:ascii="David" w:hAnsi="David" w:hint="eastAsia"/>
          <w:color w:val="000000"/>
          <w:rtl/>
        </w:rPr>
        <w:t>התמסורת</w:t>
      </w:r>
      <w:r w:rsidR="003604C3" w:rsidRPr="00744FC4">
        <w:rPr>
          <w:rFonts w:ascii="David" w:hAnsi="David"/>
          <w:color w:val="000000"/>
          <w:rtl/>
        </w:rPr>
        <w:t xml:space="preserve"> </w:t>
      </w:r>
      <w:r w:rsidR="002145A3">
        <w:rPr>
          <w:rFonts w:ascii="David" w:hAnsi="David" w:hint="cs"/>
          <w:color w:val="000000"/>
          <w:rtl/>
        </w:rPr>
        <w:t xml:space="preserve">הייתה גבוהה יותר מאשר </w:t>
      </w:r>
      <w:r w:rsidR="00A105C6">
        <w:rPr>
          <w:rFonts w:ascii="David" w:hAnsi="David" w:hint="cs"/>
          <w:color w:val="000000"/>
          <w:rtl/>
        </w:rPr>
        <w:t>ברוב המדינות המפותחות</w:t>
      </w:r>
      <w:r w:rsidR="006E39B2">
        <w:rPr>
          <w:rFonts w:ascii="David" w:hAnsi="David" w:hint="cs"/>
          <w:color w:val="000000"/>
          <w:rtl/>
        </w:rPr>
        <w:t>.</w:t>
      </w:r>
    </w:p>
    <w:p w:rsidR="008A1AFF" w:rsidRDefault="008D0E4E" w:rsidP="00792F36">
      <w:pPr>
        <w:pStyle w:val="a3"/>
        <w:numPr>
          <w:ilvl w:val="0"/>
          <w:numId w:val="5"/>
        </w:numPr>
        <w:autoSpaceDE w:val="0"/>
        <w:autoSpaceDN w:val="0"/>
        <w:adjustRightInd w:val="0"/>
        <w:spacing w:after="120" w:line="360" w:lineRule="auto"/>
        <w:jc w:val="both"/>
        <w:rPr>
          <w:rFonts w:ascii="David" w:hAnsi="David"/>
          <w:color w:val="000000"/>
        </w:rPr>
      </w:pPr>
      <w:r>
        <w:rPr>
          <w:rFonts w:ascii="David" w:hAnsi="David" w:hint="cs"/>
          <w:color w:val="000000"/>
          <w:rtl/>
        </w:rPr>
        <w:t xml:space="preserve">ניתוח אמפירי של </w:t>
      </w:r>
      <w:r w:rsidR="00792F36">
        <w:rPr>
          <w:rFonts w:ascii="David" w:hAnsi="David" w:hint="cs"/>
          <w:color w:val="000000"/>
          <w:rtl/>
        </w:rPr>
        <w:t>ה</w:t>
      </w:r>
      <w:r>
        <w:rPr>
          <w:rFonts w:ascii="David" w:hAnsi="David" w:hint="cs"/>
          <w:color w:val="000000"/>
          <w:rtl/>
        </w:rPr>
        <w:t xml:space="preserve">תמסורת </w:t>
      </w:r>
      <w:r w:rsidR="00792F36">
        <w:rPr>
          <w:rFonts w:ascii="David" w:hAnsi="David" w:hint="cs"/>
          <w:color w:val="000000"/>
          <w:rtl/>
        </w:rPr>
        <w:t>מ</w:t>
      </w:r>
      <w:r>
        <w:rPr>
          <w:rFonts w:ascii="David" w:hAnsi="David" w:hint="cs"/>
          <w:color w:val="000000"/>
          <w:rtl/>
        </w:rPr>
        <w:t>המדיניות המוניטרית לריבית הפיקדונות</w:t>
      </w:r>
      <w:r w:rsidR="0073385A">
        <w:rPr>
          <w:rFonts w:ascii="David" w:hAnsi="David" w:hint="cs"/>
          <w:color w:val="000000"/>
          <w:rtl/>
        </w:rPr>
        <w:t xml:space="preserve"> ב</w:t>
      </w:r>
      <w:r w:rsidR="005B43AF">
        <w:rPr>
          <w:rFonts w:ascii="David" w:hAnsi="David" w:hint="cs"/>
          <w:color w:val="000000"/>
          <w:rtl/>
        </w:rPr>
        <w:t>-</w:t>
      </w:r>
      <w:r w:rsidR="0073385A">
        <w:rPr>
          <w:rFonts w:ascii="David" w:hAnsi="David" w:hint="cs"/>
          <w:color w:val="000000"/>
          <w:rtl/>
        </w:rPr>
        <w:t xml:space="preserve">30 מדינות </w:t>
      </w:r>
      <w:r w:rsidR="0073385A">
        <w:rPr>
          <w:rFonts w:ascii="David" w:hAnsi="David" w:hint="cs"/>
          <w:color w:val="000000"/>
        </w:rPr>
        <w:t>OECD</w:t>
      </w:r>
      <w:r w:rsidR="00792F36">
        <w:rPr>
          <w:rFonts w:ascii="David" w:hAnsi="David" w:hint="cs"/>
          <w:color w:val="000000"/>
          <w:rtl/>
        </w:rPr>
        <w:t xml:space="preserve"> לאורך</w:t>
      </w:r>
      <w:r w:rsidR="0073385A">
        <w:rPr>
          <w:rFonts w:ascii="David" w:hAnsi="David" w:hint="cs"/>
          <w:color w:val="000000"/>
          <w:rtl/>
        </w:rPr>
        <w:t xml:space="preserve"> שני עשורים מעלה כי</w:t>
      </w:r>
      <w:r>
        <w:rPr>
          <w:rFonts w:ascii="David" w:hAnsi="David" w:hint="cs"/>
          <w:color w:val="000000"/>
          <w:rtl/>
        </w:rPr>
        <w:t xml:space="preserve"> </w:t>
      </w:r>
      <w:r w:rsidR="004C5360">
        <w:rPr>
          <w:rFonts w:ascii="David" w:hAnsi="David" w:hint="cs"/>
          <w:color w:val="000000"/>
          <w:rtl/>
        </w:rPr>
        <w:t xml:space="preserve">התמסורת נוטה להיות חלשה </w:t>
      </w:r>
      <w:r w:rsidR="00DE301B">
        <w:rPr>
          <w:rFonts w:ascii="David" w:hAnsi="David" w:hint="cs"/>
          <w:color w:val="000000"/>
          <w:rtl/>
        </w:rPr>
        <w:t>במיוחד</w:t>
      </w:r>
      <w:r w:rsidR="004C5360">
        <w:rPr>
          <w:rFonts w:ascii="David" w:hAnsi="David" w:hint="cs"/>
          <w:color w:val="000000"/>
          <w:rtl/>
        </w:rPr>
        <w:t xml:space="preserve"> בסביבת ריבית נמוכה.</w:t>
      </w:r>
      <w:r w:rsidR="00E92C4D">
        <w:rPr>
          <w:rFonts w:ascii="David" w:hAnsi="David" w:hint="cs"/>
          <w:color w:val="000000"/>
          <w:rtl/>
        </w:rPr>
        <w:t xml:space="preserve"> </w:t>
      </w:r>
      <w:r w:rsidR="0073385A" w:rsidRPr="0073385A">
        <w:rPr>
          <w:rFonts w:ascii="David" w:hAnsi="David"/>
          <w:color w:val="000000"/>
          <w:rtl/>
        </w:rPr>
        <w:t>עודפי נזילות גב</w:t>
      </w:r>
      <w:r w:rsidR="004C5360">
        <w:rPr>
          <w:rFonts w:ascii="David" w:hAnsi="David"/>
          <w:color w:val="000000"/>
          <w:rtl/>
        </w:rPr>
        <w:t>והים וריכוזיות של המערכת הבנקאי</w:t>
      </w:r>
      <w:r w:rsidR="00744C6E">
        <w:rPr>
          <w:rFonts w:ascii="David" w:hAnsi="David" w:hint="cs"/>
          <w:color w:val="000000"/>
          <w:rtl/>
        </w:rPr>
        <w:t>ת</w:t>
      </w:r>
      <w:r w:rsidR="0073385A" w:rsidRPr="0073385A">
        <w:rPr>
          <w:rFonts w:ascii="David" w:hAnsi="David"/>
          <w:color w:val="000000"/>
          <w:rtl/>
        </w:rPr>
        <w:t xml:space="preserve"> </w:t>
      </w:r>
      <w:r w:rsidR="00E92C4D">
        <w:rPr>
          <w:rFonts w:ascii="David" w:hAnsi="David" w:hint="cs"/>
          <w:color w:val="000000"/>
          <w:rtl/>
        </w:rPr>
        <w:t xml:space="preserve">קשורים אף הם </w:t>
      </w:r>
      <w:r w:rsidR="00792F36">
        <w:rPr>
          <w:rFonts w:ascii="David" w:hAnsi="David" w:hint="cs"/>
          <w:color w:val="000000"/>
          <w:rtl/>
        </w:rPr>
        <w:t>לעוצמתה הנמוכה של התמסורת</w:t>
      </w:r>
      <w:r w:rsidR="0073385A" w:rsidRPr="0073385A">
        <w:rPr>
          <w:rFonts w:ascii="David" w:hAnsi="David"/>
          <w:color w:val="000000"/>
          <w:rtl/>
        </w:rPr>
        <w:t>.</w:t>
      </w:r>
    </w:p>
    <w:p w:rsidR="00A105C6" w:rsidRPr="00744FC4" w:rsidRDefault="0073385A" w:rsidP="0011039C">
      <w:pPr>
        <w:pStyle w:val="a3"/>
        <w:numPr>
          <w:ilvl w:val="0"/>
          <w:numId w:val="5"/>
        </w:numPr>
        <w:autoSpaceDE w:val="0"/>
        <w:autoSpaceDN w:val="0"/>
        <w:adjustRightInd w:val="0"/>
        <w:spacing w:after="120" w:line="360" w:lineRule="auto"/>
        <w:jc w:val="both"/>
        <w:rPr>
          <w:rFonts w:ascii="David" w:hAnsi="David"/>
          <w:color w:val="000000"/>
        </w:rPr>
      </w:pPr>
      <w:r w:rsidRPr="00744FC4">
        <w:rPr>
          <w:rFonts w:ascii="David" w:hAnsi="David" w:hint="cs"/>
          <w:color w:val="000000"/>
          <w:rtl/>
        </w:rPr>
        <w:t>צמצום הנז</w:t>
      </w:r>
      <w:r w:rsidR="005C5999" w:rsidRPr="00744FC4">
        <w:rPr>
          <w:rFonts w:ascii="David" w:hAnsi="David"/>
          <w:color w:val="000000"/>
          <w:rtl/>
        </w:rPr>
        <w:softHyphen/>
      </w:r>
      <w:r w:rsidRPr="00744FC4">
        <w:rPr>
          <w:rFonts w:ascii="David" w:hAnsi="David" w:hint="cs"/>
          <w:color w:val="000000"/>
          <w:rtl/>
        </w:rPr>
        <w:t>ילות וחזרה לסביבת ריבית גבוהה</w:t>
      </w:r>
      <w:r w:rsidR="00330576" w:rsidRPr="00744FC4">
        <w:rPr>
          <w:rFonts w:ascii="David" w:hAnsi="David" w:hint="cs"/>
          <w:color w:val="000000"/>
          <w:rtl/>
        </w:rPr>
        <w:t>,</w:t>
      </w:r>
      <w:r w:rsidRPr="00744FC4">
        <w:rPr>
          <w:rFonts w:ascii="David" w:hAnsi="David" w:hint="cs"/>
          <w:color w:val="000000"/>
          <w:rtl/>
        </w:rPr>
        <w:t xml:space="preserve"> </w:t>
      </w:r>
      <w:r w:rsidR="000B0855" w:rsidRPr="00744FC4">
        <w:rPr>
          <w:rFonts w:ascii="David" w:hAnsi="David" w:hint="cs"/>
          <w:color w:val="000000"/>
          <w:rtl/>
        </w:rPr>
        <w:t>כחלק מתהליך ההידוק</w:t>
      </w:r>
      <w:r w:rsidR="00A546EF" w:rsidRPr="00744FC4">
        <w:rPr>
          <w:rFonts w:ascii="David" w:hAnsi="David" w:hint="cs"/>
          <w:color w:val="000000"/>
          <w:rtl/>
        </w:rPr>
        <w:t xml:space="preserve"> המוניטרי</w:t>
      </w:r>
      <w:r w:rsidR="00FA7150" w:rsidRPr="00744FC4">
        <w:rPr>
          <w:rFonts w:ascii="David" w:hAnsi="David" w:hint="cs"/>
          <w:color w:val="000000"/>
          <w:rtl/>
        </w:rPr>
        <w:t>,</w:t>
      </w:r>
      <w:r w:rsidR="00A546EF" w:rsidRPr="00744FC4">
        <w:rPr>
          <w:rFonts w:ascii="David" w:hAnsi="David" w:hint="cs"/>
          <w:color w:val="000000"/>
          <w:rtl/>
        </w:rPr>
        <w:t xml:space="preserve"> </w:t>
      </w:r>
      <w:r w:rsidR="008A1AFF" w:rsidRPr="00744FC4">
        <w:rPr>
          <w:rFonts w:ascii="David" w:hAnsi="David" w:hint="cs"/>
          <w:color w:val="000000"/>
          <w:rtl/>
        </w:rPr>
        <w:t xml:space="preserve">לצד </w:t>
      </w:r>
      <w:r w:rsidR="00744C6E" w:rsidRPr="00744FC4">
        <w:rPr>
          <w:rFonts w:ascii="David" w:hAnsi="David" w:hint="cs"/>
          <w:color w:val="000000"/>
          <w:rtl/>
        </w:rPr>
        <w:t>פעולות</w:t>
      </w:r>
      <w:r w:rsidR="008A1AFF" w:rsidRPr="00744FC4">
        <w:rPr>
          <w:rFonts w:ascii="David" w:hAnsi="David" w:hint="cs"/>
          <w:color w:val="000000"/>
          <w:rtl/>
        </w:rPr>
        <w:t xml:space="preserve"> </w:t>
      </w:r>
      <w:r w:rsidR="002145A3" w:rsidRPr="00744FC4">
        <w:rPr>
          <w:rFonts w:ascii="David" w:hAnsi="David" w:hint="cs"/>
          <w:color w:val="000000"/>
          <w:rtl/>
        </w:rPr>
        <w:t xml:space="preserve">בנק ישראל </w:t>
      </w:r>
      <w:r w:rsidR="00744C6E" w:rsidRPr="00744FC4">
        <w:rPr>
          <w:rFonts w:ascii="David" w:hAnsi="David" w:hint="cs"/>
          <w:color w:val="000000"/>
          <w:rtl/>
        </w:rPr>
        <w:t xml:space="preserve">להגברת </w:t>
      </w:r>
      <w:r w:rsidR="00792F36" w:rsidRPr="00744FC4">
        <w:rPr>
          <w:rFonts w:ascii="David" w:hAnsi="David" w:hint="cs"/>
          <w:color w:val="000000"/>
          <w:rtl/>
        </w:rPr>
        <w:t xml:space="preserve">היכולת להשוות </w:t>
      </w:r>
      <w:r w:rsidR="001827F3" w:rsidRPr="00744FC4">
        <w:rPr>
          <w:rFonts w:ascii="David" w:hAnsi="David" w:hint="cs"/>
          <w:color w:val="000000"/>
          <w:rtl/>
        </w:rPr>
        <w:t xml:space="preserve">בין </w:t>
      </w:r>
      <w:r w:rsidR="00744C6E" w:rsidRPr="00744FC4">
        <w:rPr>
          <w:rFonts w:ascii="David" w:hAnsi="David" w:hint="cs"/>
          <w:color w:val="000000"/>
          <w:rtl/>
        </w:rPr>
        <w:t>ריביות הבנקים</w:t>
      </w:r>
      <w:r w:rsidR="002145A3" w:rsidRPr="00744FC4">
        <w:rPr>
          <w:rFonts w:ascii="David" w:hAnsi="David" w:hint="cs"/>
          <w:color w:val="000000"/>
          <w:rtl/>
        </w:rPr>
        <w:t xml:space="preserve"> ושיח </w:t>
      </w:r>
      <w:r w:rsidR="006E39B2" w:rsidRPr="00744FC4">
        <w:rPr>
          <w:rFonts w:ascii="David" w:hAnsi="David" w:hint="cs"/>
          <w:color w:val="000000"/>
          <w:rtl/>
        </w:rPr>
        <w:t>ציבורי</w:t>
      </w:r>
      <w:r w:rsidR="002145A3" w:rsidRPr="00744FC4">
        <w:rPr>
          <w:rFonts w:ascii="David" w:hAnsi="David" w:hint="cs"/>
          <w:color w:val="000000"/>
          <w:rtl/>
        </w:rPr>
        <w:t xml:space="preserve"> ער</w:t>
      </w:r>
      <w:r w:rsidR="005C5999" w:rsidRPr="00744FC4">
        <w:rPr>
          <w:rFonts w:ascii="David" w:hAnsi="David" w:hint="cs"/>
          <w:color w:val="000000"/>
          <w:rtl/>
        </w:rPr>
        <w:t xml:space="preserve"> יכולים להסביר חלק מההפרשים בין ישראל לשאר המדינות ואת התחזקות התמסורת </w:t>
      </w:r>
      <w:r w:rsidR="000B0855" w:rsidRPr="00744FC4">
        <w:rPr>
          <w:rFonts w:ascii="David" w:hAnsi="David" w:hint="cs"/>
          <w:color w:val="000000"/>
          <w:rtl/>
        </w:rPr>
        <w:t xml:space="preserve">בישראל </w:t>
      </w:r>
      <w:r w:rsidR="005C5999" w:rsidRPr="00744FC4">
        <w:rPr>
          <w:rFonts w:ascii="David" w:hAnsi="David" w:hint="cs"/>
          <w:color w:val="000000"/>
          <w:rtl/>
        </w:rPr>
        <w:t>ברבעון האחרון של השנה.</w:t>
      </w:r>
    </w:p>
    <w:bookmarkEnd w:id="0"/>
    <w:p w:rsidR="00E855A2" w:rsidRPr="005C5999" w:rsidRDefault="00E855A2" w:rsidP="00E855A2">
      <w:pPr>
        <w:pStyle w:val="a3"/>
        <w:autoSpaceDE w:val="0"/>
        <w:autoSpaceDN w:val="0"/>
        <w:adjustRightInd w:val="0"/>
        <w:spacing w:after="120" w:line="360" w:lineRule="auto"/>
        <w:jc w:val="both"/>
        <w:rPr>
          <w:rFonts w:ascii="David" w:hAnsi="David"/>
          <w:color w:val="000000"/>
        </w:rPr>
      </w:pPr>
    </w:p>
    <w:p w:rsidR="008D0E4E" w:rsidRDefault="008D0E4E" w:rsidP="00D858A3">
      <w:pPr>
        <w:pStyle w:val="a3"/>
        <w:numPr>
          <w:ilvl w:val="0"/>
          <w:numId w:val="20"/>
        </w:numPr>
        <w:autoSpaceDE w:val="0"/>
        <w:autoSpaceDN w:val="0"/>
        <w:adjustRightInd w:val="0"/>
        <w:spacing w:after="120" w:line="360" w:lineRule="auto"/>
        <w:jc w:val="both"/>
        <w:rPr>
          <w:rFonts w:ascii="David" w:hAnsi="David"/>
          <w:b/>
          <w:bCs/>
          <w:color w:val="000000"/>
        </w:rPr>
      </w:pPr>
      <w:r>
        <w:rPr>
          <w:rFonts w:ascii="David" w:hAnsi="David" w:hint="cs"/>
          <w:b/>
          <w:bCs/>
          <w:color w:val="000000"/>
          <w:rtl/>
        </w:rPr>
        <w:t>רקע</w:t>
      </w:r>
    </w:p>
    <w:p w:rsidR="00A105C6" w:rsidRDefault="008D0E4E" w:rsidP="00414C4E">
      <w:pPr>
        <w:autoSpaceDE w:val="0"/>
        <w:autoSpaceDN w:val="0"/>
        <w:adjustRightInd w:val="0"/>
        <w:spacing w:after="120" w:line="360" w:lineRule="auto"/>
        <w:jc w:val="both"/>
        <w:rPr>
          <w:rFonts w:ascii="David" w:hAnsi="David"/>
          <w:color w:val="000000"/>
          <w:rtl/>
        </w:rPr>
      </w:pPr>
      <w:r w:rsidRPr="00B6128D">
        <w:rPr>
          <w:rFonts w:ascii="David" w:hAnsi="David" w:hint="cs"/>
          <w:color w:val="000000"/>
          <w:rtl/>
        </w:rPr>
        <w:t xml:space="preserve">במדינות רבות עליית הריבית </w:t>
      </w:r>
      <w:r w:rsidR="00FA7150">
        <w:rPr>
          <w:rFonts w:ascii="David" w:hAnsi="David" w:hint="cs"/>
          <w:color w:val="000000"/>
          <w:rtl/>
        </w:rPr>
        <w:t xml:space="preserve">של הבנקים המרכזיים </w:t>
      </w:r>
      <w:r w:rsidR="005216BD">
        <w:rPr>
          <w:rFonts w:ascii="David" w:hAnsi="David" w:hint="cs"/>
          <w:color w:val="000000"/>
          <w:rtl/>
        </w:rPr>
        <w:t xml:space="preserve">בשנת 2022 </w:t>
      </w:r>
      <w:r w:rsidRPr="00B6128D">
        <w:rPr>
          <w:rFonts w:ascii="David" w:hAnsi="David" w:hint="cs"/>
          <w:color w:val="000000"/>
          <w:rtl/>
        </w:rPr>
        <w:t xml:space="preserve">התאפיינה </w:t>
      </w:r>
      <w:r>
        <w:rPr>
          <w:rFonts w:ascii="David" w:hAnsi="David" w:hint="cs"/>
          <w:color w:val="000000"/>
          <w:rtl/>
        </w:rPr>
        <w:t>בגלגול (תמסורת)</w:t>
      </w:r>
      <w:r w:rsidR="00EB4E37">
        <w:rPr>
          <w:rFonts w:ascii="David" w:hAnsi="David" w:hint="cs"/>
          <w:color w:val="000000"/>
          <w:rtl/>
        </w:rPr>
        <w:t xml:space="preserve"> חלקי </w:t>
      </w:r>
      <w:r w:rsidRPr="00B6128D">
        <w:rPr>
          <w:rFonts w:ascii="David" w:hAnsi="David" w:hint="cs"/>
          <w:color w:val="000000"/>
          <w:rtl/>
        </w:rPr>
        <w:t>בלבד לריבית הפיקדונות. לדוגמה, איור 1 מציג את ה</w:t>
      </w:r>
      <w:r>
        <w:rPr>
          <w:rFonts w:ascii="David" w:hAnsi="David" w:hint="cs"/>
          <w:color w:val="000000"/>
          <w:rtl/>
        </w:rPr>
        <w:t>תמסורת החלקית לפיקדונות בארה"ב, במדינות האיחוד האירופי</w:t>
      </w:r>
      <w:r w:rsidR="00091A92">
        <w:rPr>
          <w:rFonts w:ascii="David" w:hAnsi="David" w:hint="cs"/>
          <w:color w:val="000000"/>
          <w:rtl/>
        </w:rPr>
        <w:t xml:space="preserve"> ובישראל</w:t>
      </w:r>
      <w:r>
        <w:rPr>
          <w:rFonts w:ascii="David" w:hAnsi="David" w:hint="cs"/>
          <w:color w:val="000000"/>
          <w:rtl/>
        </w:rPr>
        <w:t xml:space="preserve"> בין ינואר 2022 </w:t>
      </w:r>
      <w:r w:rsidR="00EF73FF">
        <w:rPr>
          <w:rFonts w:ascii="David" w:hAnsi="David" w:hint="cs"/>
          <w:color w:val="000000"/>
          <w:rtl/>
        </w:rPr>
        <w:t>לדצמבר</w:t>
      </w:r>
      <w:r>
        <w:rPr>
          <w:rFonts w:ascii="David" w:hAnsi="David" w:hint="cs"/>
          <w:color w:val="000000"/>
          <w:rtl/>
        </w:rPr>
        <w:t xml:space="preserve"> 2022</w:t>
      </w:r>
      <w:r w:rsidR="005216BD">
        <w:rPr>
          <w:rFonts w:ascii="David" w:hAnsi="David" w:hint="cs"/>
          <w:color w:val="000000"/>
          <w:rtl/>
        </w:rPr>
        <w:t xml:space="preserve"> </w:t>
      </w:r>
      <w:r w:rsidR="00330576">
        <w:rPr>
          <w:rFonts w:ascii="David" w:hAnsi="David" w:hint="eastAsia"/>
          <w:color w:val="000000"/>
          <w:rtl/>
        </w:rPr>
        <w:t>–</w:t>
      </w:r>
      <w:r w:rsidR="00330576">
        <w:rPr>
          <w:rFonts w:ascii="David" w:hAnsi="David" w:hint="cs"/>
          <w:color w:val="000000"/>
          <w:rtl/>
        </w:rPr>
        <w:t xml:space="preserve"> </w:t>
      </w:r>
      <w:r w:rsidR="00A105C6">
        <w:rPr>
          <w:rFonts w:ascii="David" w:hAnsi="David" w:hint="cs"/>
          <w:color w:val="000000"/>
          <w:rtl/>
        </w:rPr>
        <w:t xml:space="preserve">את השינוי בריבית הבנקים המרכזיים לצד השינוי בריבית הממוצעת </w:t>
      </w:r>
      <w:r w:rsidR="005216BD">
        <w:rPr>
          <w:rFonts w:ascii="David" w:hAnsi="David" w:hint="cs"/>
          <w:color w:val="000000"/>
          <w:rtl/>
        </w:rPr>
        <w:t xml:space="preserve">ששולמה למשקי הבית על </w:t>
      </w:r>
      <w:r w:rsidR="00A105C6">
        <w:rPr>
          <w:rFonts w:ascii="David" w:hAnsi="David" w:hint="cs"/>
          <w:color w:val="000000"/>
          <w:rtl/>
        </w:rPr>
        <w:t>פיקדונות</w:t>
      </w:r>
      <w:r w:rsidR="00374D02">
        <w:rPr>
          <w:rFonts w:ascii="David" w:hAnsi="David" w:hint="cs"/>
          <w:color w:val="000000"/>
          <w:rtl/>
        </w:rPr>
        <w:t xml:space="preserve"> חדשים </w:t>
      </w:r>
      <w:r w:rsidR="00A105C6">
        <w:rPr>
          <w:rFonts w:ascii="David" w:hAnsi="David" w:hint="cs"/>
          <w:color w:val="000000"/>
          <w:rtl/>
        </w:rPr>
        <w:t>לתק</w:t>
      </w:r>
      <w:r w:rsidR="00C45CF3">
        <w:rPr>
          <w:rFonts w:ascii="David" w:hAnsi="David" w:hint="cs"/>
          <w:color w:val="000000"/>
          <w:rtl/>
        </w:rPr>
        <w:t>ופה של עד שלושה חודשים</w:t>
      </w:r>
      <w:r w:rsidR="00A105C6">
        <w:rPr>
          <w:rFonts w:ascii="David" w:hAnsi="David" w:hint="cs"/>
          <w:color w:val="000000"/>
          <w:rtl/>
        </w:rPr>
        <w:t>.</w:t>
      </w:r>
      <w:r w:rsidR="00C45CF3">
        <w:rPr>
          <w:rStyle w:val="a8"/>
          <w:rtl/>
        </w:rPr>
        <w:footnoteReference w:id="1"/>
      </w:r>
      <w:r w:rsidR="00A105C6">
        <w:rPr>
          <w:rFonts w:hint="cs"/>
          <w:rtl/>
        </w:rPr>
        <w:t xml:space="preserve"> </w:t>
      </w:r>
      <w:r w:rsidR="00414C4E" w:rsidRPr="00414C4E">
        <w:rPr>
          <w:rFonts w:ascii="David" w:hAnsi="David"/>
          <w:color w:val="000000"/>
          <w:rtl/>
        </w:rPr>
        <w:t xml:space="preserve">תיבה זו סוקרת מספר גורמים שיכולים להשפיע על התמסורת מריבית הבנק המרכזי לריבית הפיקדונות. </w:t>
      </w:r>
      <w:r w:rsidR="00414C4E" w:rsidRPr="00414C4E">
        <w:rPr>
          <w:rFonts w:ascii="David" w:hAnsi="David" w:hint="cs"/>
          <w:color w:val="000000"/>
          <w:rtl/>
        </w:rPr>
        <w:t>היא מתמקדת בהשפעה של סביבת הריבית הנמוכה, לצד</w:t>
      </w:r>
      <w:r w:rsidR="00414C4E" w:rsidRPr="00414C4E">
        <w:rPr>
          <w:rFonts w:ascii="David" w:hAnsi="David"/>
          <w:color w:val="000000"/>
          <w:rtl/>
        </w:rPr>
        <w:t xml:space="preserve"> מאפיינים של המערכת הבנקאית</w:t>
      </w:r>
      <w:r w:rsidR="00414C4E" w:rsidRPr="00414C4E">
        <w:rPr>
          <w:rFonts w:ascii="David" w:hAnsi="David" w:hint="cs"/>
          <w:color w:val="000000"/>
          <w:rtl/>
        </w:rPr>
        <w:t>,</w:t>
      </w:r>
      <w:r w:rsidR="00414C4E" w:rsidRPr="00414C4E">
        <w:rPr>
          <w:rFonts w:ascii="David" w:hAnsi="David"/>
          <w:color w:val="000000"/>
          <w:rtl/>
        </w:rPr>
        <w:t xml:space="preserve"> כגון ריכוזיות ועודפי נזילות</w:t>
      </w:r>
      <w:r w:rsidR="00414C4E" w:rsidRPr="00414C4E">
        <w:rPr>
          <w:rFonts w:ascii="David" w:hAnsi="David" w:hint="cs"/>
          <w:color w:val="000000"/>
          <w:rtl/>
        </w:rPr>
        <w:t>.</w:t>
      </w:r>
    </w:p>
    <w:p w:rsidR="00C45CF3" w:rsidRDefault="00C01554" w:rsidP="009C4015">
      <w:pPr>
        <w:autoSpaceDE w:val="0"/>
        <w:autoSpaceDN w:val="0"/>
        <w:adjustRightInd w:val="0"/>
        <w:spacing w:after="120" w:line="360" w:lineRule="auto"/>
        <w:jc w:val="both"/>
        <w:rPr>
          <w:rFonts w:ascii="David" w:hAnsi="David"/>
          <w:color w:val="000000"/>
          <w:rtl/>
        </w:rPr>
      </w:pPr>
      <w:r>
        <w:rPr>
          <w:rFonts w:hint="cs"/>
          <w:rtl/>
        </w:rPr>
        <w:t xml:space="preserve">לפי האיור, </w:t>
      </w:r>
      <w:r w:rsidR="00261BD6">
        <w:rPr>
          <w:rFonts w:hint="cs"/>
          <w:rtl/>
        </w:rPr>
        <w:t>בעוד שבישראל התמסורת מריבית הבנק המרכזי לריב</w:t>
      </w:r>
      <w:r w:rsidR="000B0855">
        <w:rPr>
          <w:rFonts w:hint="cs"/>
          <w:rtl/>
        </w:rPr>
        <w:t>ית הפיקדונות עמדה</w:t>
      </w:r>
      <w:r w:rsidR="00EF73FF">
        <w:rPr>
          <w:rFonts w:hint="cs"/>
          <w:rtl/>
        </w:rPr>
        <w:t xml:space="preserve"> על קרוב ל</w:t>
      </w:r>
      <w:r w:rsidR="00374D02">
        <w:rPr>
          <w:rFonts w:hint="cs"/>
          <w:rtl/>
        </w:rPr>
        <w:t>-</w:t>
      </w:r>
      <w:r w:rsidR="00EF73FF">
        <w:rPr>
          <w:rFonts w:hint="cs"/>
          <w:rtl/>
        </w:rPr>
        <w:t>50</w:t>
      </w:r>
      <w:r w:rsidR="000B0855">
        <w:rPr>
          <w:rFonts w:hint="cs"/>
          <w:rtl/>
        </w:rPr>
        <w:t>%</w:t>
      </w:r>
      <w:r w:rsidR="00261BD6">
        <w:rPr>
          <w:rFonts w:hint="cs"/>
          <w:rtl/>
        </w:rPr>
        <w:t xml:space="preserve">, בארה"ב </w:t>
      </w:r>
      <w:r w:rsidR="002C4CCE">
        <w:rPr>
          <w:rFonts w:hint="cs"/>
          <w:rtl/>
        </w:rPr>
        <w:t>היה שיעורה</w:t>
      </w:r>
      <w:r w:rsidR="000B0855">
        <w:rPr>
          <w:rFonts w:hint="cs"/>
          <w:rtl/>
        </w:rPr>
        <w:t xml:space="preserve"> כ-</w:t>
      </w:r>
      <w:r w:rsidR="00EF73FF">
        <w:rPr>
          <w:rFonts w:hint="cs"/>
          <w:rtl/>
        </w:rPr>
        <w:t>9</w:t>
      </w:r>
      <w:r>
        <w:rPr>
          <w:rFonts w:hint="cs"/>
          <w:rtl/>
        </w:rPr>
        <w:t xml:space="preserve">% בלבד, </w:t>
      </w:r>
      <w:r w:rsidR="000B0855">
        <w:rPr>
          <w:rFonts w:hint="cs"/>
          <w:rtl/>
        </w:rPr>
        <w:t xml:space="preserve">ובאירופה בממוצע </w:t>
      </w:r>
      <w:r w:rsidR="002C4CCE">
        <w:rPr>
          <w:rFonts w:hint="eastAsia"/>
          <w:rtl/>
        </w:rPr>
        <w:t>–</w:t>
      </w:r>
      <w:r w:rsidR="002C4CCE">
        <w:rPr>
          <w:rFonts w:hint="cs"/>
          <w:rtl/>
        </w:rPr>
        <w:t xml:space="preserve"> </w:t>
      </w:r>
      <w:r w:rsidR="00261BD6">
        <w:rPr>
          <w:rFonts w:hint="cs"/>
          <w:rtl/>
        </w:rPr>
        <w:t>כ-</w:t>
      </w:r>
      <w:r w:rsidR="00C9453D">
        <w:rPr>
          <w:rFonts w:hint="cs"/>
          <w:rtl/>
        </w:rPr>
        <w:t>21</w:t>
      </w:r>
      <w:r w:rsidR="00261BD6">
        <w:rPr>
          <w:rFonts w:hint="cs"/>
          <w:rtl/>
        </w:rPr>
        <w:t xml:space="preserve">%. </w:t>
      </w:r>
      <w:r w:rsidR="002C4CCE">
        <w:rPr>
          <w:rFonts w:hint="cs"/>
          <w:rtl/>
        </w:rPr>
        <w:t xml:space="preserve">לגבי </w:t>
      </w:r>
      <w:r w:rsidR="00261BD6">
        <w:rPr>
          <w:rFonts w:hint="cs"/>
          <w:rtl/>
        </w:rPr>
        <w:t>פיקדונות לתקופה של עד שלושה חודשים רק בסלובניה, אוסטריה</w:t>
      </w:r>
      <w:r>
        <w:rPr>
          <w:rFonts w:hint="cs"/>
          <w:rtl/>
        </w:rPr>
        <w:t>,</w:t>
      </w:r>
      <w:r w:rsidR="00261BD6">
        <w:rPr>
          <w:rFonts w:hint="cs"/>
          <w:rtl/>
        </w:rPr>
        <w:t xml:space="preserve"> </w:t>
      </w:r>
      <w:r w:rsidR="007D0025">
        <w:rPr>
          <w:rFonts w:hint="cs"/>
          <w:rtl/>
        </w:rPr>
        <w:t>ו</w:t>
      </w:r>
      <w:r w:rsidR="00261BD6">
        <w:rPr>
          <w:rFonts w:hint="cs"/>
          <w:rtl/>
        </w:rPr>
        <w:t xml:space="preserve">לוקסמבורג הייתה </w:t>
      </w:r>
      <w:r w:rsidR="00261BD6">
        <w:rPr>
          <w:rFonts w:ascii="David" w:hAnsi="David" w:hint="cs"/>
          <w:color w:val="000000"/>
          <w:rtl/>
        </w:rPr>
        <w:t>התמסורת</w:t>
      </w:r>
      <w:r>
        <w:rPr>
          <w:rFonts w:ascii="David" w:hAnsi="David" w:hint="cs"/>
          <w:color w:val="000000"/>
          <w:rtl/>
        </w:rPr>
        <w:t xml:space="preserve"> במהלך התקופה</w:t>
      </w:r>
      <w:r w:rsidR="00261BD6">
        <w:rPr>
          <w:rFonts w:ascii="David" w:hAnsi="David" w:hint="cs"/>
          <w:color w:val="000000"/>
          <w:rtl/>
        </w:rPr>
        <w:t xml:space="preserve"> חזקה יותר מאשר בישראל</w:t>
      </w:r>
      <w:r>
        <w:rPr>
          <w:rFonts w:ascii="David" w:hAnsi="David" w:hint="cs"/>
          <w:color w:val="000000"/>
          <w:rtl/>
        </w:rPr>
        <w:t>.</w:t>
      </w:r>
      <w:r w:rsidR="00261BD6">
        <w:rPr>
          <w:rFonts w:ascii="David" w:hAnsi="David" w:hint="cs"/>
          <w:color w:val="000000"/>
          <w:rtl/>
        </w:rPr>
        <w:t xml:space="preserve"> </w:t>
      </w:r>
      <w:r w:rsidR="009C4015">
        <w:rPr>
          <w:rFonts w:ascii="David" w:hAnsi="David" w:hint="cs"/>
          <w:color w:val="000000"/>
          <w:rtl/>
        </w:rPr>
        <w:t>התמסורת בישראל התחזקה משמעותית במשך השנה</w:t>
      </w:r>
      <w:r w:rsidR="00261BD6">
        <w:rPr>
          <w:rFonts w:ascii="David" w:hAnsi="David" w:hint="cs"/>
          <w:color w:val="000000"/>
          <w:rtl/>
        </w:rPr>
        <w:t xml:space="preserve">. איור 2 מציג את השינוי </w:t>
      </w:r>
      <w:r w:rsidR="00EF73FF">
        <w:rPr>
          <w:rFonts w:ascii="David" w:hAnsi="David" w:hint="cs"/>
          <w:color w:val="000000"/>
          <w:rtl/>
        </w:rPr>
        <w:t xml:space="preserve">המצטבר </w:t>
      </w:r>
      <w:r w:rsidR="00261BD6">
        <w:rPr>
          <w:rFonts w:ascii="David" w:hAnsi="David" w:hint="cs"/>
          <w:color w:val="000000"/>
          <w:rtl/>
        </w:rPr>
        <w:t xml:space="preserve">בריבית הפיקדונות הממוצעת לצד השינוי </w:t>
      </w:r>
      <w:r w:rsidR="00EF73FF">
        <w:rPr>
          <w:rFonts w:ascii="David" w:hAnsi="David" w:hint="cs"/>
          <w:color w:val="000000"/>
          <w:rtl/>
        </w:rPr>
        <w:t xml:space="preserve">המצטבר </w:t>
      </w:r>
      <w:r w:rsidR="00261BD6">
        <w:rPr>
          <w:rFonts w:ascii="David" w:hAnsi="David" w:hint="cs"/>
          <w:color w:val="000000"/>
          <w:rtl/>
        </w:rPr>
        <w:t>בריבית בנק ישראל</w:t>
      </w:r>
      <w:r w:rsidR="00EF73FF">
        <w:rPr>
          <w:rFonts w:ascii="David" w:hAnsi="David" w:hint="cs"/>
          <w:color w:val="000000"/>
          <w:rtl/>
        </w:rPr>
        <w:t xml:space="preserve"> ואת היחס </w:t>
      </w:r>
      <w:r w:rsidR="00EF73FF">
        <w:rPr>
          <w:rFonts w:ascii="David" w:hAnsi="David" w:hint="cs"/>
          <w:color w:val="000000"/>
          <w:rtl/>
        </w:rPr>
        <w:lastRenderedPageBreak/>
        <w:t>ביניה</w:t>
      </w:r>
      <w:r w:rsidR="00EF73FF">
        <w:rPr>
          <w:rFonts w:ascii="David" w:hAnsi="David" w:hint="eastAsia"/>
          <w:color w:val="000000"/>
          <w:rtl/>
        </w:rPr>
        <w:t>ם</w:t>
      </w:r>
      <w:r w:rsidR="00EF73FF">
        <w:rPr>
          <w:rFonts w:ascii="David" w:hAnsi="David" w:hint="cs"/>
          <w:color w:val="000000"/>
          <w:rtl/>
        </w:rPr>
        <w:t xml:space="preserve"> </w:t>
      </w:r>
      <w:r w:rsidR="009C4015">
        <w:rPr>
          <w:rFonts w:ascii="David" w:hAnsi="David" w:hint="cs"/>
          <w:color w:val="000000"/>
          <w:rtl/>
        </w:rPr>
        <w:t>מ</w:t>
      </w:r>
      <w:r w:rsidR="00261BD6">
        <w:rPr>
          <w:rFonts w:ascii="David" w:hAnsi="David" w:hint="cs"/>
          <w:color w:val="000000"/>
          <w:rtl/>
        </w:rPr>
        <w:t xml:space="preserve">אפריל 2022 עד </w:t>
      </w:r>
      <w:r w:rsidR="00EF73FF">
        <w:rPr>
          <w:rFonts w:ascii="David" w:hAnsi="David" w:hint="cs"/>
          <w:color w:val="000000"/>
          <w:rtl/>
        </w:rPr>
        <w:t>דצמבר</w:t>
      </w:r>
      <w:r w:rsidR="00261BD6">
        <w:rPr>
          <w:rFonts w:ascii="David" w:hAnsi="David" w:hint="cs"/>
          <w:color w:val="000000"/>
          <w:rtl/>
        </w:rPr>
        <w:t xml:space="preserve"> 2022. ניתן לראות בבירור את האצת שיעור עליית</w:t>
      </w:r>
      <w:r w:rsidR="002C4CCE">
        <w:rPr>
          <w:rFonts w:ascii="David" w:hAnsi="David" w:hint="cs"/>
          <w:color w:val="000000"/>
          <w:rtl/>
        </w:rPr>
        <w:t>ה של</w:t>
      </w:r>
      <w:r w:rsidR="00261BD6">
        <w:rPr>
          <w:rFonts w:ascii="David" w:hAnsi="David" w:hint="cs"/>
          <w:color w:val="000000"/>
          <w:rtl/>
        </w:rPr>
        <w:t xml:space="preserve"> ריבית הפיקדונות </w:t>
      </w:r>
      <w:r w:rsidR="009C4015">
        <w:rPr>
          <w:rFonts w:ascii="David" w:hAnsi="David" w:hint="cs"/>
          <w:color w:val="000000"/>
          <w:rtl/>
        </w:rPr>
        <w:t xml:space="preserve">ביחס לעליית ריבית בנק ישראל: </w:t>
      </w:r>
      <w:r w:rsidR="00903DD9">
        <w:rPr>
          <w:rFonts w:ascii="David" w:hAnsi="David" w:hint="cs"/>
          <w:color w:val="000000"/>
          <w:rtl/>
        </w:rPr>
        <w:t xml:space="preserve">בארבעת החודשים הראשונים של </w:t>
      </w:r>
      <w:r w:rsidR="009C4015">
        <w:rPr>
          <w:rFonts w:ascii="David" w:hAnsi="David" w:hint="cs"/>
          <w:color w:val="000000"/>
          <w:rtl/>
        </w:rPr>
        <w:t>העלאות</w:t>
      </w:r>
      <w:r w:rsidR="00903DD9">
        <w:rPr>
          <w:rFonts w:ascii="David" w:hAnsi="David" w:hint="cs"/>
          <w:color w:val="000000"/>
          <w:rtl/>
        </w:rPr>
        <w:t xml:space="preserve"> הריבית </w:t>
      </w:r>
      <w:r w:rsidR="009C4015">
        <w:rPr>
          <w:rFonts w:ascii="David" w:hAnsi="David" w:hint="cs"/>
          <w:color w:val="000000"/>
          <w:rtl/>
        </w:rPr>
        <w:t xml:space="preserve">המוניטרית </w:t>
      </w:r>
      <w:r w:rsidR="00903DD9">
        <w:rPr>
          <w:rFonts w:ascii="David" w:hAnsi="David" w:hint="cs"/>
          <w:color w:val="000000"/>
          <w:rtl/>
        </w:rPr>
        <w:t xml:space="preserve">שיעור </w:t>
      </w:r>
      <w:r w:rsidR="009C4015">
        <w:rPr>
          <w:rFonts w:ascii="David" w:hAnsi="David" w:hint="cs"/>
          <w:color w:val="000000"/>
          <w:rtl/>
        </w:rPr>
        <w:t>העלייה</w:t>
      </w:r>
      <w:r w:rsidR="00903DD9">
        <w:rPr>
          <w:rFonts w:ascii="David" w:hAnsi="David" w:hint="cs"/>
          <w:color w:val="000000"/>
          <w:rtl/>
        </w:rPr>
        <w:t xml:space="preserve"> המצטבר </w:t>
      </w:r>
      <w:r w:rsidR="009C4015">
        <w:rPr>
          <w:rFonts w:ascii="David" w:hAnsi="David" w:hint="cs"/>
          <w:color w:val="000000"/>
          <w:rtl/>
        </w:rPr>
        <w:t xml:space="preserve">של </w:t>
      </w:r>
      <w:r w:rsidR="00EF73FF">
        <w:rPr>
          <w:rFonts w:ascii="David" w:hAnsi="David" w:hint="cs"/>
          <w:color w:val="000000"/>
          <w:rtl/>
        </w:rPr>
        <w:t xml:space="preserve">ריבית הפיקדונות </w:t>
      </w:r>
      <w:r w:rsidR="009C4015">
        <w:rPr>
          <w:rFonts w:ascii="David" w:hAnsi="David" w:hint="cs"/>
          <w:color w:val="000000"/>
          <w:rtl/>
        </w:rPr>
        <w:t>היה</w:t>
      </w:r>
      <w:r w:rsidR="00903DD9">
        <w:rPr>
          <w:rFonts w:ascii="David" w:hAnsi="David" w:hint="cs"/>
          <w:color w:val="000000"/>
          <w:rtl/>
        </w:rPr>
        <w:t xml:space="preserve"> כ-</w:t>
      </w:r>
      <w:r w:rsidR="00C9453D">
        <w:rPr>
          <w:rFonts w:ascii="David" w:hAnsi="David" w:hint="cs"/>
          <w:color w:val="000000"/>
          <w:rtl/>
        </w:rPr>
        <w:t>25</w:t>
      </w:r>
      <w:r w:rsidR="00903DD9">
        <w:rPr>
          <w:rFonts w:ascii="David" w:hAnsi="David" w:hint="cs"/>
          <w:color w:val="000000"/>
          <w:rtl/>
        </w:rPr>
        <w:t xml:space="preserve">% </w:t>
      </w:r>
      <w:r w:rsidR="00903DD9" w:rsidRPr="00744FC4">
        <w:rPr>
          <w:rFonts w:ascii="David" w:hAnsi="David" w:hint="cs"/>
          <w:color w:val="000000"/>
          <w:rtl/>
        </w:rPr>
        <w:t xml:space="preserve">בלבד </w:t>
      </w:r>
      <w:r w:rsidR="002C4CCE" w:rsidRPr="00744FC4">
        <w:rPr>
          <w:rFonts w:ascii="David" w:hAnsi="David" w:hint="eastAsia"/>
          <w:color w:val="000000"/>
          <w:rtl/>
        </w:rPr>
        <w:t>מן</w:t>
      </w:r>
      <w:r w:rsidR="002C4CCE">
        <w:rPr>
          <w:rFonts w:ascii="David" w:hAnsi="David" w:hint="cs"/>
          <w:color w:val="000000"/>
          <w:rtl/>
        </w:rPr>
        <w:t xml:space="preserve"> העלייה </w:t>
      </w:r>
      <w:r w:rsidR="00EF73FF">
        <w:rPr>
          <w:rFonts w:ascii="David" w:hAnsi="David" w:hint="cs"/>
          <w:color w:val="000000"/>
          <w:rtl/>
        </w:rPr>
        <w:t>המצטבר</w:t>
      </w:r>
      <w:r w:rsidR="00903DD9">
        <w:rPr>
          <w:rFonts w:ascii="David" w:hAnsi="David" w:hint="cs"/>
          <w:color w:val="000000"/>
          <w:rtl/>
        </w:rPr>
        <w:t xml:space="preserve">ת </w:t>
      </w:r>
      <w:r w:rsidR="002C4CCE">
        <w:rPr>
          <w:rFonts w:ascii="David" w:hAnsi="David" w:hint="cs"/>
          <w:color w:val="000000"/>
          <w:rtl/>
        </w:rPr>
        <w:t xml:space="preserve">של ריבית </w:t>
      </w:r>
      <w:r w:rsidR="009C4015">
        <w:rPr>
          <w:rFonts w:ascii="David" w:hAnsi="David" w:hint="cs"/>
          <w:color w:val="000000"/>
          <w:rtl/>
        </w:rPr>
        <w:t>בנק ישראל</w:t>
      </w:r>
      <w:r w:rsidR="00903DD9">
        <w:rPr>
          <w:rFonts w:ascii="David" w:hAnsi="David" w:hint="cs"/>
          <w:color w:val="000000"/>
          <w:rtl/>
        </w:rPr>
        <w:t xml:space="preserve"> אך כעבור </w:t>
      </w:r>
      <w:r w:rsidR="002C4CCE">
        <w:rPr>
          <w:rFonts w:ascii="David" w:hAnsi="David" w:hint="cs"/>
          <w:color w:val="000000"/>
          <w:rtl/>
        </w:rPr>
        <w:t xml:space="preserve">ארבעה </w:t>
      </w:r>
      <w:r w:rsidR="00903DD9">
        <w:rPr>
          <w:rFonts w:ascii="David" w:hAnsi="David" w:hint="cs"/>
          <w:color w:val="000000"/>
          <w:rtl/>
        </w:rPr>
        <w:t>ח</w:t>
      </w:r>
      <w:r w:rsidR="00C9453D">
        <w:rPr>
          <w:rFonts w:ascii="David" w:hAnsi="David" w:hint="cs"/>
          <w:color w:val="000000"/>
          <w:rtl/>
        </w:rPr>
        <w:t xml:space="preserve">ודשים נוספים יחס זה </w:t>
      </w:r>
      <w:r w:rsidR="009C4015">
        <w:rPr>
          <w:rFonts w:ascii="David" w:hAnsi="David" w:hint="cs"/>
          <w:color w:val="000000"/>
          <w:rtl/>
        </w:rPr>
        <w:t>כבר עמד על כ</w:t>
      </w:r>
      <w:r w:rsidR="00903DD9">
        <w:rPr>
          <w:rFonts w:ascii="David" w:hAnsi="David" w:hint="cs"/>
          <w:color w:val="000000"/>
          <w:rtl/>
        </w:rPr>
        <w:t>-50%.</w:t>
      </w:r>
      <w:r w:rsidR="00EF73FF">
        <w:rPr>
          <w:rFonts w:ascii="David" w:hAnsi="David" w:hint="cs"/>
          <w:color w:val="000000"/>
          <w:rtl/>
        </w:rPr>
        <w:t xml:space="preserve"> </w:t>
      </w:r>
      <w:r w:rsidR="006F5783">
        <w:rPr>
          <w:rFonts w:ascii="David" w:hAnsi="David" w:hint="cs"/>
          <w:color w:val="000000"/>
          <w:rtl/>
        </w:rPr>
        <w:t xml:space="preserve"> </w:t>
      </w:r>
    </w:p>
    <w:p w:rsidR="00744FC4" w:rsidRDefault="00744FC4" w:rsidP="009C4015">
      <w:pPr>
        <w:autoSpaceDE w:val="0"/>
        <w:autoSpaceDN w:val="0"/>
        <w:adjustRightInd w:val="0"/>
        <w:spacing w:after="120" w:line="360" w:lineRule="auto"/>
        <w:jc w:val="both"/>
        <w:rPr>
          <w:rFonts w:ascii="David" w:hAnsi="David"/>
          <w:color w:val="000000"/>
          <w:rtl/>
        </w:rPr>
      </w:pPr>
    </w:p>
    <w:tbl>
      <w:tblPr>
        <w:tblStyle w:val="2"/>
        <w:bidiVisual/>
        <w:tblW w:w="0" w:type="auto"/>
        <w:jc w:val="center"/>
        <w:tblLook w:val="04A0" w:firstRow="1" w:lastRow="0" w:firstColumn="1" w:lastColumn="0" w:noHBand="0" w:noVBand="1"/>
      </w:tblPr>
      <w:tblGrid>
        <w:gridCol w:w="7577"/>
      </w:tblGrid>
      <w:tr w:rsidR="008D0E4E" w:rsidRPr="009327E8" w:rsidTr="00E855A2">
        <w:trPr>
          <w:jc w:val="center"/>
        </w:trPr>
        <w:tc>
          <w:tcPr>
            <w:tcW w:w="7577" w:type="dxa"/>
            <w:tcBorders>
              <w:bottom w:val="single" w:sz="4" w:space="0" w:color="auto"/>
            </w:tcBorders>
          </w:tcPr>
          <w:p w:rsidR="008D0E4E" w:rsidRPr="009327E8" w:rsidRDefault="008D0E4E" w:rsidP="00EF73FF">
            <w:pPr>
              <w:spacing w:line="360" w:lineRule="auto"/>
              <w:jc w:val="center"/>
              <w:rPr>
                <w:rFonts w:ascii="David" w:hAnsi="David" w:cs="David"/>
                <w:b/>
                <w:bCs/>
                <w:color w:val="000000" w:themeColor="text1"/>
                <w:sz w:val="24"/>
                <w:szCs w:val="24"/>
                <w:rtl/>
              </w:rPr>
            </w:pPr>
            <w:r w:rsidRPr="009327E8">
              <w:rPr>
                <w:rFonts w:ascii="David" w:hAnsi="David" w:cs="David" w:hint="eastAsia"/>
                <w:b/>
                <w:bCs/>
                <w:color w:val="000000" w:themeColor="text1"/>
                <w:sz w:val="24"/>
                <w:szCs w:val="24"/>
                <w:rtl/>
              </w:rPr>
              <w:t>איור</w:t>
            </w:r>
            <w:r>
              <w:rPr>
                <w:rFonts w:ascii="David" w:hAnsi="David" w:cs="David" w:hint="cs"/>
                <w:b/>
                <w:bCs/>
                <w:color w:val="000000" w:themeColor="text1"/>
                <w:sz w:val="24"/>
                <w:szCs w:val="24"/>
                <w:rtl/>
              </w:rPr>
              <w:t xml:space="preserve"> 1</w:t>
            </w:r>
            <w:r w:rsidRPr="009327E8">
              <w:rPr>
                <w:rFonts w:ascii="David" w:hAnsi="David" w:cs="David"/>
                <w:b/>
                <w:bCs/>
                <w:color w:val="000000" w:themeColor="text1"/>
                <w:sz w:val="24"/>
                <w:szCs w:val="24"/>
                <w:rtl/>
              </w:rPr>
              <w:t xml:space="preserve">: </w:t>
            </w:r>
            <w:r w:rsidRPr="00EC6F20">
              <w:rPr>
                <w:rFonts w:ascii="David" w:hAnsi="David" w:cs="David"/>
                <w:b/>
                <w:bCs/>
                <w:color w:val="000000" w:themeColor="text1"/>
                <w:sz w:val="24"/>
                <w:szCs w:val="24"/>
                <w:rtl/>
              </w:rPr>
              <w:t xml:space="preserve">השינוי בריבית על </w:t>
            </w:r>
            <w:r w:rsidRPr="00EC6F20">
              <w:rPr>
                <w:rFonts w:ascii="David" w:hAnsi="David" w:cs="David" w:hint="cs"/>
                <w:b/>
                <w:bCs/>
                <w:color w:val="000000" w:themeColor="text1"/>
                <w:sz w:val="24"/>
                <w:szCs w:val="24"/>
                <w:rtl/>
              </w:rPr>
              <w:t>פיקדונו</w:t>
            </w:r>
            <w:r w:rsidRPr="00EC6F20">
              <w:rPr>
                <w:rFonts w:ascii="David" w:hAnsi="David" w:cs="David" w:hint="eastAsia"/>
                <w:b/>
                <w:bCs/>
                <w:color w:val="000000" w:themeColor="text1"/>
                <w:sz w:val="24"/>
                <w:szCs w:val="24"/>
                <w:rtl/>
              </w:rPr>
              <w:t>ת</w:t>
            </w:r>
            <w:r w:rsidRPr="00EC6F20">
              <w:rPr>
                <w:rFonts w:ascii="David" w:hAnsi="David" w:cs="David"/>
                <w:b/>
                <w:bCs/>
                <w:color w:val="000000" w:themeColor="text1"/>
                <w:sz w:val="24"/>
                <w:szCs w:val="24"/>
                <w:rtl/>
              </w:rPr>
              <w:t xml:space="preserve"> לעומת השינוי בריבית הבנק המרכזי, ינואר 2022 - </w:t>
            </w:r>
            <w:r w:rsidR="00EF73FF">
              <w:rPr>
                <w:rFonts w:ascii="David" w:hAnsi="David" w:cs="David" w:hint="cs"/>
                <w:b/>
                <w:bCs/>
                <w:color w:val="000000" w:themeColor="text1"/>
                <w:sz w:val="24"/>
                <w:szCs w:val="24"/>
                <w:rtl/>
              </w:rPr>
              <w:t>דצמבר</w:t>
            </w:r>
            <w:r w:rsidR="00D96630">
              <w:rPr>
                <w:rFonts w:ascii="David" w:hAnsi="David" w:cs="David"/>
                <w:b/>
                <w:bCs/>
                <w:color w:val="000000" w:themeColor="text1"/>
                <w:sz w:val="24"/>
                <w:szCs w:val="24"/>
                <w:rtl/>
              </w:rPr>
              <w:t xml:space="preserve"> 2022</w:t>
            </w:r>
            <w:r w:rsidR="00D96630">
              <w:rPr>
                <w:rFonts w:ascii="David" w:hAnsi="David" w:cs="David" w:hint="cs"/>
                <w:b/>
                <w:bCs/>
                <w:color w:val="000000" w:themeColor="text1"/>
                <w:sz w:val="24"/>
                <w:szCs w:val="24"/>
                <w:rtl/>
              </w:rPr>
              <w:t>, פיקדונות חדשים לתקופה של עד שלושה חדשים.</w:t>
            </w:r>
          </w:p>
        </w:tc>
      </w:tr>
      <w:tr w:rsidR="00387D6C" w:rsidRPr="009327E8" w:rsidTr="00C00A86">
        <w:trPr>
          <w:jc w:val="center"/>
        </w:trPr>
        <w:tc>
          <w:tcPr>
            <w:tcW w:w="7577" w:type="dxa"/>
            <w:vAlign w:val="center"/>
          </w:tcPr>
          <w:p w:rsidR="00387D6C" w:rsidRPr="00AC4369" w:rsidRDefault="00C00A86" w:rsidP="00F563F5">
            <w:pPr>
              <w:spacing w:after="120" w:line="360" w:lineRule="auto"/>
              <w:jc w:val="center"/>
              <w:rPr>
                <w:rFonts w:ascii="David" w:hAnsi="David" w:cs="David"/>
                <w:color w:val="000000" w:themeColor="text1"/>
                <w:sz w:val="24"/>
                <w:szCs w:val="24"/>
                <w:rtl/>
              </w:rPr>
            </w:pPr>
            <w:r>
              <w:rPr>
                <w:noProof/>
              </w:rPr>
              <w:drawing>
                <wp:inline distT="0" distB="0" distL="0" distR="0" wp14:anchorId="55DB0F86" wp14:editId="09BD3557">
                  <wp:extent cx="4419636" cy="2674188"/>
                  <wp:effectExtent l="0" t="0" r="0" b="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8D0E4E" w:rsidRPr="009327E8" w:rsidTr="00E855A2">
        <w:trPr>
          <w:jc w:val="center"/>
        </w:trPr>
        <w:tc>
          <w:tcPr>
            <w:tcW w:w="7577" w:type="dxa"/>
          </w:tcPr>
          <w:p w:rsidR="008D0E4E" w:rsidRDefault="00C00A86" w:rsidP="007D0025">
            <w:pPr>
              <w:jc w:val="both"/>
              <w:rPr>
                <w:rFonts w:ascii="David" w:hAnsi="David" w:cs="David"/>
                <w:noProof/>
                <w:sz w:val="20"/>
                <w:szCs w:val="20"/>
                <w:rtl/>
              </w:rPr>
            </w:pPr>
            <w:r w:rsidRPr="00AA654B">
              <w:rPr>
                <w:rFonts w:ascii="David" w:hAnsi="David" w:cs="David" w:hint="cs"/>
                <w:noProof/>
                <w:sz w:val="18"/>
                <w:szCs w:val="18"/>
                <w:rtl/>
              </w:rPr>
              <w:t xml:space="preserve">הערה: </w:t>
            </w:r>
            <w:r w:rsidRPr="00AA654B">
              <w:rPr>
                <w:rFonts w:ascii="David" w:hAnsi="David" w:cs="David" w:hint="eastAsia"/>
                <w:noProof/>
                <w:sz w:val="18"/>
                <w:szCs w:val="18"/>
                <w:rtl/>
              </w:rPr>
              <w:t>ה</w:t>
            </w:r>
            <w:r w:rsidRPr="00AA654B">
              <w:rPr>
                <w:rFonts w:ascii="David" w:hAnsi="David" w:cs="David" w:hint="cs"/>
                <w:noProof/>
                <w:sz w:val="18"/>
                <w:szCs w:val="18"/>
                <w:rtl/>
              </w:rPr>
              <w:t>שינוי</w:t>
            </w:r>
            <w:r w:rsidRPr="00AA654B">
              <w:rPr>
                <w:rFonts w:ascii="David" w:hAnsi="David" w:cs="David"/>
                <w:noProof/>
                <w:sz w:val="18"/>
                <w:szCs w:val="18"/>
                <w:rtl/>
              </w:rPr>
              <w:t xml:space="preserve"> בין הריביות </w:t>
            </w:r>
            <w:r w:rsidRPr="00AA654B">
              <w:rPr>
                <w:rFonts w:ascii="David" w:hAnsi="David" w:cs="David" w:hint="cs"/>
                <w:noProof/>
                <w:sz w:val="18"/>
                <w:szCs w:val="18"/>
                <w:rtl/>
              </w:rPr>
              <w:t xml:space="preserve">הבנק המרכזי </w:t>
            </w:r>
            <w:r>
              <w:rPr>
                <w:rFonts w:ascii="David" w:hAnsi="David" w:cs="David" w:hint="cs"/>
                <w:noProof/>
                <w:sz w:val="18"/>
                <w:szCs w:val="18"/>
                <w:rtl/>
              </w:rPr>
              <w:t xml:space="preserve">הממוצעת במהלך החודש </w:t>
            </w:r>
            <w:r w:rsidRPr="00AA654B">
              <w:rPr>
                <w:rFonts w:ascii="David" w:hAnsi="David" w:cs="David" w:hint="cs"/>
                <w:noProof/>
                <w:sz w:val="18"/>
                <w:szCs w:val="18"/>
                <w:rtl/>
              </w:rPr>
              <w:t xml:space="preserve">וריבית הפיקדונות במדינות נבחרות בין ינואר </w:t>
            </w:r>
            <w:r>
              <w:rPr>
                <w:rFonts w:ascii="David" w:hAnsi="David" w:cs="David" w:hint="cs"/>
                <w:noProof/>
                <w:sz w:val="18"/>
                <w:szCs w:val="18"/>
                <w:rtl/>
              </w:rPr>
              <w:t>לדצמבר</w:t>
            </w:r>
            <w:r w:rsidRPr="00AA654B">
              <w:rPr>
                <w:rFonts w:ascii="David" w:hAnsi="David" w:cs="David" w:hint="cs"/>
                <w:noProof/>
                <w:sz w:val="18"/>
                <w:szCs w:val="18"/>
                <w:rtl/>
              </w:rPr>
              <w:t xml:space="preserve"> 2022. </w:t>
            </w:r>
            <w:r w:rsidRPr="00AA654B">
              <w:rPr>
                <w:rFonts w:ascii="David" w:hAnsi="David" w:cs="David" w:hint="eastAsia"/>
                <w:b/>
                <w:bCs/>
                <w:noProof/>
                <w:sz w:val="18"/>
                <w:szCs w:val="18"/>
                <w:rtl/>
              </w:rPr>
              <w:t>בישראל</w:t>
            </w:r>
            <w:r>
              <w:rPr>
                <w:rFonts w:ascii="David" w:hAnsi="David" w:cs="David" w:hint="cs"/>
                <w:b/>
                <w:bCs/>
                <w:noProof/>
                <w:sz w:val="18"/>
                <w:szCs w:val="18"/>
                <w:rtl/>
              </w:rPr>
              <w:t xml:space="preserve"> -</w:t>
            </w:r>
            <w:r>
              <w:rPr>
                <w:rFonts w:ascii="David" w:hAnsi="David" w:cs="David" w:hint="cs"/>
                <w:noProof/>
                <w:sz w:val="18"/>
                <w:szCs w:val="18"/>
                <w:rtl/>
              </w:rPr>
              <w:t xml:space="preserve"> </w:t>
            </w:r>
            <w:r w:rsidRPr="00427408">
              <w:rPr>
                <w:rFonts w:ascii="David" w:hAnsi="David" w:cs="David"/>
                <w:noProof/>
                <w:sz w:val="18"/>
                <w:szCs w:val="18"/>
                <w:rtl/>
              </w:rPr>
              <w:t xml:space="preserve">ריבית ממוצעת </w:t>
            </w:r>
            <w:r>
              <w:rPr>
                <w:rFonts w:ascii="David" w:hAnsi="David" w:cs="David" w:hint="cs"/>
                <w:noProof/>
                <w:sz w:val="18"/>
                <w:szCs w:val="18"/>
                <w:rtl/>
              </w:rPr>
              <w:t xml:space="preserve">עבור </w:t>
            </w:r>
            <w:r w:rsidRPr="00427408">
              <w:rPr>
                <w:rFonts w:ascii="David" w:hAnsi="David" w:cs="David"/>
                <w:noProof/>
                <w:sz w:val="18"/>
                <w:szCs w:val="18"/>
                <w:rtl/>
              </w:rPr>
              <w:t>פיקדונות</w:t>
            </w:r>
            <w:r>
              <w:rPr>
                <w:rFonts w:ascii="David" w:hAnsi="David" w:cs="David" w:hint="cs"/>
                <w:noProof/>
                <w:sz w:val="18"/>
                <w:szCs w:val="18"/>
                <w:rtl/>
              </w:rPr>
              <w:t xml:space="preserve"> חדשים</w:t>
            </w:r>
            <w:r w:rsidRPr="00427408">
              <w:rPr>
                <w:rFonts w:ascii="David" w:hAnsi="David" w:cs="David"/>
                <w:noProof/>
                <w:sz w:val="18"/>
                <w:szCs w:val="18"/>
                <w:rtl/>
              </w:rPr>
              <w:t xml:space="preserve"> לזמן קצוב של עד שלושה חודשים, ריבית קבוע</w:t>
            </w:r>
            <w:r>
              <w:rPr>
                <w:rFonts w:ascii="David" w:hAnsi="David" w:cs="David" w:hint="cs"/>
                <w:noProof/>
                <w:sz w:val="18"/>
                <w:szCs w:val="18"/>
                <w:rtl/>
              </w:rPr>
              <w:t xml:space="preserve">ה </w:t>
            </w:r>
            <w:r w:rsidRPr="00427408">
              <w:rPr>
                <w:rFonts w:ascii="David" w:hAnsi="David" w:cs="David"/>
                <w:noProof/>
                <w:sz w:val="18"/>
                <w:szCs w:val="18"/>
                <w:rtl/>
              </w:rPr>
              <w:t>לא צמוד</w:t>
            </w:r>
            <w:r>
              <w:rPr>
                <w:rFonts w:ascii="David" w:hAnsi="David" w:cs="David" w:hint="cs"/>
                <w:noProof/>
                <w:sz w:val="18"/>
                <w:szCs w:val="18"/>
                <w:rtl/>
              </w:rPr>
              <w:t>ה</w:t>
            </w:r>
            <w:r w:rsidRPr="00427408">
              <w:rPr>
                <w:rFonts w:ascii="David" w:hAnsi="David" w:cs="David"/>
                <w:noProof/>
                <w:sz w:val="18"/>
                <w:szCs w:val="18"/>
                <w:rtl/>
              </w:rPr>
              <w:t>, סך המערכת הבנ</w:t>
            </w:r>
            <w:r>
              <w:rPr>
                <w:rFonts w:ascii="David" w:hAnsi="David" w:cs="David"/>
                <w:noProof/>
                <w:sz w:val="18"/>
                <w:szCs w:val="18"/>
                <w:rtl/>
              </w:rPr>
              <w:t>קאית, משקי בית ללא בנקאות פרטית</w:t>
            </w:r>
            <w:r>
              <w:rPr>
                <w:rFonts w:ascii="David" w:hAnsi="David" w:cs="David" w:hint="cs"/>
                <w:noProof/>
                <w:sz w:val="18"/>
                <w:szCs w:val="18"/>
                <w:rtl/>
              </w:rPr>
              <w:t>.</w:t>
            </w:r>
            <w:r w:rsidRPr="00AA654B">
              <w:rPr>
                <w:rFonts w:ascii="David" w:hAnsi="David" w:cs="David" w:hint="cs"/>
                <w:noProof/>
                <w:sz w:val="18"/>
                <w:szCs w:val="18"/>
                <w:rtl/>
              </w:rPr>
              <w:t xml:space="preserve"> </w:t>
            </w:r>
            <w:r w:rsidRPr="00AA654B">
              <w:rPr>
                <w:rFonts w:ascii="David" w:hAnsi="David" w:cs="David" w:hint="eastAsia"/>
                <w:b/>
                <w:bCs/>
                <w:noProof/>
                <w:sz w:val="18"/>
                <w:szCs w:val="18"/>
                <w:rtl/>
              </w:rPr>
              <w:t>בארה</w:t>
            </w:r>
            <w:r w:rsidRPr="00AA654B">
              <w:rPr>
                <w:rFonts w:ascii="David" w:hAnsi="David" w:cs="David"/>
                <w:b/>
                <w:bCs/>
                <w:noProof/>
                <w:sz w:val="18"/>
                <w:szCs w:val="18"/>
                <w:rtl/>
              </w:rPr>
              <w:t>"ב</w:t>
            </w:r>
            <w:r w:rsidRPr="00AA654B">
              <w:rPr>
                <w:rFonts w:ascii="David" w:hAnsi="David" w:cs="David" w:hint="cs"/>
                <w:noProof/>
                <w:sz w:val="18"/>
                <w:szCs w:val="18"/>
                <w:rtl/>
              </w:rPr>
              <w:t xml:space="preserve"> </w:t>
            </w:r>
            <w:r>
              <w:rPr>
                <w:rFonts w:ascii="David" w:hAnsi="David" w:cs="David" w:hint="cs"/>
                <w:noProof/>
                <w:sz w:val="18"/>
                <w:szCs w:val="18"/>
                <w:rtl/>
              </w:rPr>
              <w:t xml:space="preserve">- ריבית ממוצעת עבור פיקדונות חדשים </w:t>
            </w:r>
            <w:r w:rsidRPr="00AA654B">
              <w:rPr>
                <w:rFonts w:ascii="David" w:hAnsi="David" w:cs="David" w:hint="cs"/>
                <w:noProof/>
                <w:sz w:val="18"/>
                <w:szCs w:val="18"/>
                <w:rtl/>
              </w:rPr>
              <w:t xml:space="preserve">של כל מגזרי הפעילות (משקי בית ועסקים) </w:t>
            </w:r>
            <w:r>
              <w:rPr>
                <w:rFonts w:ascii="David" w:hAnsi="David" w:cs="David" w:hint="cs"/>
                <w:noProof/>
                <w:sz w:val="18"/>
                <w:szCs w:val="18"/>
                <w:rtl/>
              </w:rPr>
              <w:t>בריבית קבועה לשלושה חודשים (</w:t>
            </w:r>
            <w:r>
              <w:rPr>
                <w:rFonts w:ascii="David" w:hAnsi="David" w:cs="David"/>
                <w:noProof/>
                <w:sz w:val="18"/>
                <w:szCs w:val="18"/>
              </w:rPr>
              <w:t>3-Month CD</w:t>
            </w:r>
            <w:r>
              <w:rPr>
                <w:rFonts w:ascii="David" w:hAnsi="David" w:cs="David" w:hint="cs"/>
                <w:noProof/>
                <w:sz w:val="18"/>
                <w:szCs w:val="18"/>
                <w:rtl/>
              </w:rPr>
              <w:t>).</w:t>
            </w:r>
            <w:r w:rsidRPr="00AA654B">
              <w:rPr>
                <w:rFonts w:ascii="David" w:hAnsi="David" w:cs="David" w:hint="cs"/>
                <w:noProof/>
                <w:sz w:val="18"/>
                <w:szCs w:val="18"/>
                <w:rtl/>
              </w:rPr>
              <w:t xml:space="preserve"> </w:t>
            </w:r>
            <w:r w:rsidRPr="00AA654B">
              <w:rPr>
                <w:rFonts w:ascii="David" w:hAnsi="David" w:cs="David" w:hint="eastAsia"/>
                <w:b/>
                <w:bCs/>
                <w:noProof/>
                <w:sz w:val="18"/>
                <w:szCs w:val="18"/>
                <w:rtl/>
              </w:rPr>
              <w:t>באירופה</w:t>
            </w:r>
            <w:r>
              <w:rPr>
                <w:rFonts w:ascii="David" w:hAnsi="David" w:cs="David" w:hint="cs"/>
                <w:b/>
                <w:bCs/>
                <w:noProof/>
                <w:sz w:val="18"/>
                <w:szCs w:val="18"/>
                <w:rtl/>
              </w:rPr>
              <w:t>-</w:t>
            </w:r>
            <w:r w:rsidRPr="00AA654B">
              <w:rPr>
                <w:rFonts w:ascii="David" w:hAnsi="David" w:cs="David" w:hint="cs"/>
                <w:noProof/>
                <w:sz w:val="18"/>
                <w:szCs w:val="18"/>
                <w:rtl/>
              </w:rPr>
              <w:t xml:space="preserve"> </w:t>
            </w:r>
            <w:r>
              <w:rPr>
                <w:rFonts w:ascii="David" w:hAnsi="David" w:cs="David" w:hint="cs"/>
                <w:noProof/>
                <w:sz w:val="18"/>
                <w:szCs w:val="18"/>
                <w:rtl/>
              </w:rPr>
              <w:t xml:space="preserve">ריבית ממוצעת עבור פיקדונות חדשים למגזר משקי הבית </w:t>
            </w:r>
            <w:r w:rsidRPr="00AA654B">
              <w:rPr>
                <w:rFonts w:ascii="David" w:hAnsi="David" w:cs="David" w:hint="cs"/>
                <w:noProof/>
                <w:sz w:val="18"/>
                <w:szCs w:val="18"/>
                <w:rtl/>
              </w:rPr>
              <w:t>ב</w:t>
            </w:r>
            <w:r w:rsidRPr="00AA654B">
              <w:rPr>
                <w:rFonts w:ascii="David" w:hAnsi="David" w:cs="David"/>
                <w:noProof/>
                <w:sz w:val="18"/>
                <w:szCs w:val="18"/>
                <w:rtl/>
              </w:rPr>
              <w:t>חשבון בו אפשרות המשיכה הינה מוגבלת לאורך תקופת הפיקדון</w:t>
            </w:r>
            <w:r>
              <w:rPr>
                <w:rFonts w:ascii="David" w:hAnsi="David" w:cs="David" w:hint="cs"/>
                <w:noProof/>
                <w:sz w:val="18"/>
                <w:szCs w:val="18"/>
                <w:rtl/>
              </w:rPr>
              <w:t xml:space="preserve"> לעד שלושה חודשים (</w:t>
            </w:r>
            <w:r w:rsidRPr="00B5279D">
              <w:rPr>
                <w:rFonts w:ascii="David" w:hAnsi="David" w:cs="David"/>
                <w:noProof/>
                <w:sz w:val="18"/>
                <w:szCs w:val="18"/>
              </w:rPr>
              <w:t>redeemable at notice, Up to 3 months</w:t>
            </w:r>
            <w:r>
              <w:rPr>
                <w:rFonts w:ascii="David" w:hAnsi="David" w:cs="David" w:hint="cs"/>
                <w:noProof/>
                <w:sz w:val="18"/>
                <w:szCs w:val="18"/>
                <w:rtl/>
              </w:rPr>
              <w:t>)</w:t>
            </w:r>
            <w:r w:rsidR="002460D0">
              <w:rPr>
                <w:rStyle w:val="a8"/>
                <w:rFonts w:ascii="David" w:hAnsi="David" w:cs="David"/>
                <w:noProof/>
                <w:sz w:val="18"/>
                <w:szCs w:val="18"/>
                <w:rtl/>
              </w:rPr>
              <w:footnoteReference w:id="2"/>
            </w:r>
            <w:r w:rsidRPr="00AA654B">
              <w:rPr>
                <w:rFonts w:ascii="David" w:hAnsi="David" w:cs="David" w:hint="cs"/>
                <w:noProof/>
                <w:sz w:val="18"/>
                <w:szCs w:val="18"/>
                <w:rtl/>
              </w:rPr>
              <w:t>.</w:t>
            </w:r>
            <w:r>
              <w:rPr>
                <w:rFonts w:ascii="David" w:hAnsi="David" w:cs="David" w:hint="cs"/>
                <w:noProof/>
                <w:sz w:val="18"/>
                <w:szCs w:val="18"/>
                <w:rtl/>
              </w:rPr>
              <w:t xml:space="preserve"> עבור יתר מדינות האיחוד האירופי אין נתונים זמינים עבור פיקדונות מסוג זה ולכן אינם מוצגים.</w:t>
            </w:r>
          </w:p>
          <w:p w:rsidR="00C00A86" w:rsidRPr="009327E8" w:rsidDel="005443E3" w:rsidRDefault="00C00A86" w:rsidP="007D0025">
            <w:pPr>
              <w:jc w:val="both"/>
              <w:rPr>
                <w:rFonts w:ascii="David" w:hAnsi="David" w:cs="David"/>
                <w:noProof/>
                <w:sz w:val="20"/>
                <w:szCs w:val="20"/>
              </w:rPr>
            </w:pPr>
            <w:r>
              <w:rPr>
                <w:rFonts w:ascii="David" w:hAnsi="David" w:cs="David" w:hint="cs"/>
                <w:noProof/>
                <w:sz w:val="20"/>
                <w:szCs w:val="20"/>
                <w:rtl/>
              </w:rPr>
              <w:t xml:space="preserve">מקור: בנק ישראל, </w:t>
            </w:r>
            <w:r>
              <w:rPr>
                <w:rFonts w:ascii="David" w:hAnsi="David" w:cs="David" w:hint="cs"/>
                <w:noProof/>
                <w:sz w:val="20"/>
                <w:szCs w:val="20"/>
              </w:rPr>
              <w:t>FRED</w:t>
            </w:r>
            <w:r>
              <w:rPr>
                <w:rFonts w:ascii="David" w:hAnsi="David" w:cs="David" w:hint="cs"/>
                <w:noProof/>
                <w:sz w:val="20"/>
                <w:szCs w:val="20"/>
                <w:rtl/>
              </w:rPr>
              <w:t xml:space="preserve">, </w:t>
            </w:r>
            <w:r>
              <w:rPr>
                <w:rFonts w:ascii="David" w:hAnsi="David" w:cs="David" w:hint="cs"/>
                <w:noProof/>
                <w:sz w:val="20"/>
                <w:szCs w:val="20"/>
              </w:rPr>
              <w:t>ECB</w:t>
            </w:r>
          </w:p>
        </w:tc>
      </w:tr>
    </w:tbl>
    <w:p w:rsidR="008D0E4E" w:rsidRDefault="008D0E4E" w:rsidP="008D0E4E">
      <w:pPr>
        <w:autoSpaceDE w:val="0"/>
        <w:autoSpaceDN w:val="0"/>
        <w:adjustRightInd w:val="0"/>
        <w:spacing w:after="120" w:line="360" w:lineRule="auto"/>
        <w:jc w:val="both"/>
        <w:rPr>
          <w:rFonts w:ascii="David" w:hAnsi="David"/>
          <w:color w:val="000000"/>
          <w:rtl/>
        </w:rPr>
      </w:pPr>
    </w:p>
    <w:tbl>
      <w:tblPr>
        <w:tblStyle w:val="2"/>
        <w:bidiVisual/>
        <w:tblW w:w="0" w:type="auto"/>
        <w:jc w:val="center"/>
        <w:tblLook w:val="04A0" w:firstRow="1" w:lastRow="0" w:firstColumn="1" w:lastColumn="0" w:noHBand="0" w:noVBand="1"/>
      </w:tblPr>
      <w:tblGrid>
        <w:gridCol w:w="7577"/>
      </w:tblGrid>
      <w:tr w:rsidR="00D36386" w:rsidRPr="009327E8" w:rsidTr="00E855A2">
        <w:trPr>
          <w:jc w:val="center"/>
        </w:trPr>
        <w:tc>
          <w:tcPr>
            <w:tcW w:w="7577" w:type="dxa"/>
            <w:tcBorders>
              <w:bottom w:val="single" w:sz="4" w:space="0" w:color="auto"/>
            </w:tcBorders>
          </w:tcPr>
          <w:p w:rsidR="00D36386" w:rsidRPr="009327E8" w:rsidRDefault="00D36386" w:rsidP="002E6CFC">
            <w:pPr>
              <w:spacing w:line="360" w:lineRule="auto"/>
              <w:jc w:val="center"/>
              <w:rPr>
                <w:rFonts w:ascii="David" w:hAnsi="David" w:cs="David"/>
                <w:b/>
                <w:bCs/>
                <w:color w:val="000000" w:themeColor="text1"/>
                <w:sz w:val="24"/>
                <w:szCs w:val="24"/>
                <w:rtl/>
              </w:rPr>
            </w:pPr>
            <w:r w:rsidRPr="009327E8">
              <w:rPr>
                <w:rFonts w:ascii="David" w:hAnsi="David" w:cs="David" w:hint="eastAsia"/>
                <w:b/>
                <w:bCs/>
                <w:color w:val="000000" w:themeColor="text1"/>
                <w:sz w:val="24"/>
                <w:szCs w:val="24"/>
                <w:rtl/>
              </w:rPr>
              <w:t>איור</w:t>
            </w:r>
            <w:r>
              <w:rPr>
                <w:rFonts w:ascii="David" w:hAnsi="David" w:cs="David" w:hint="cs"/>
                <w:b/>
                <w:bCs/>
                <w:color w:val="000000" w:themeColor="text1"/>
                <w:sz w:val="24"/>
                <w:szCs w:val="24"/>
                <w:rtl/>
              </w:rPr>
              <w:t xml:space="preserve"> 2</w:t>
            </w:r>
            <w:r w:rsidRPr="009327E8">
              <w:rPr>
                <w:rFonts w:ascii="David" w:hAnsi="David" w:cs="David"/>
                <w:b/>
                <w:bCs/>
                <w:color w:val="000000" w:themeColor="text1"/>
                <w:sz w:val="24"/>
                <w:szCs w:val="24"/>
                <w:rtl/>
              </w:rPr>
              <w:t xml:space="preserve">: </w:t>
            </w:r>
            <w:r w:rsidRPr="00EC6F20">
              <w:rPr>
                <w:rFonts w:ascii="David" w:hAnsi="David" w:cs="David"/>
                <w:b/>
                <w:bCs/>
                <w:color w:val="000000" w:themeColor="text1"/>
                <w:sz w:val="24"/>
                <w:szCs w:val="24"/>
                <w:rtl/>
              </w:rPr>
              <w:t xml:space="preserve">השינוי </w:t>
            </w:r>
            <w:r>
              <w:rPr>
                <w:rFonts w:ascii="David" w:hAnsi="David" w:cs="David" w:hint="cs"/>
                <w:b/>
                <w:bCs/>
                <w:color w:val="000000" w:themeColor="text1"/>
                <w:sz w:val="24"/>
                <w:szCs w:val="24"/>
                <w:rtl/>
              </w:rPr>
              <w:t>החודשי</w:t>
            </w:r>
            <w:r w:rsidR="002E6CFC">
              <w:rPr>
                <w:rFonts w:ascii="David" w:hAnsi="David" w:cs="David" w:hint="cs"/>
                <w:b/>
                <w:bCs/>
                <w:color w:val="000000" w:themeColor="text1"/>
                <w:sz w:val="24"/>
                <w:szCs w:val="24"/>
                <w:rtl/>
              </w:rPr>
              <w:t xml:space="preserve"> המצטבר</w:t>
            </w:r>
            <w:r>
              <w:rPr>
                <w:rFonts w:ascii="David" w:hAnsi="David" w:cs="David" w:hint="cs"/>
                <w:b/>
                <w:bCs/>
                <w:color w:val="000000" w:themeColor="text1"/>
                <w:sz w:val="24"/>
                <w:szCs w:val="24"/>
                <w:rtl/>
              </w:rPr>
              <w:t xml:space="preserve"> </w:t>
            </w:r>
            <w:r w:rsidRPr="00EC6F20">
              <w:rPr>
                <w:rFonts w:ascii="David" w:hAnsi="David" w:cs="David"/>
                <w:b/>
                <w:bCs/>
                <w:color w:val="000000" w:themeColor="text1"/>
                <w:sz w:val="24"/>
                <w:szCs w:val="24"/>
                <w:rtl/>
              </w:rPr>
              <w:t xml:space="preserve">בריבית על </w:t>
            </w:r>
            <w:r w:rsidRPr="00EC6F20">
              <w:rPr>
                <w:rFonts w:ascii="David" w:hAnsi="David" w:cs="David" w:hint="cs"/>
                <w:b/>
                <w:bCs/>
                <w:color w:val="000000" w:themeColor="text1"/>
                <w:sz w:val="24"/>
                <w:szCs w:val="24"/>
                <w:rtl/>
              </w:rPr>
              <w:t>פיקדונו</w:t>
            </w:r>
            <w:r w:rsidRPr="00EC6F20">
              <w:rPr>
                <w:rFonts w:ascii="David" w:hAnsi="David" w:cs="David" w:hint="eastAsia"/>
                <w:b/>
                <w:bCs/>
                <w:color w:val="000000" w:themeColor="text1"/>
                <w:sz w:val="24"/>
                <w:szCs w:val="24"/>
                <w:rtl/>
              </w:rPr>
              <w:t>ת</w:t>
            </w:r>
            <w:r w:rsidR="002E6CFC">
              <w:rPr>
                <w:rFonts w:ascii="David" w:hAnsi="David" w:cs="David" w:hint="cs"/>
                <w:b/>
                <w:bCs/>
                <w:color w:val="000000" w:themeColor="text1"/>
                <w:sz w:val="24"/>
                <w:szCs w:val="24"/>
                <w:rtl/>
              </w:rPr>
              <w:t xml:space="preserve">, </w:t>
            </w:r>
            <w:r w:rsidRPr="00EC6F20">
              <w:rPr>
                <w:rFonts w:ascii="David" w:hAnsi="David" w:cs="David"/>
                <w:b/>
                <w:bCs/>
                <w:color w:val="000000" w:themeColor="text1"/>
                <w:sz w:val="24"/>
                <w:szCs w:val="24"/>
                <w:rtl/>
              </w:rPr>
              <w:t>בריבית הבנק המרכזי</w:t>
            </w:r>
            <w:r w:rsidR="00DA1B5D">
              <w:rPr>
                <w:rFonts w:ascii="David" w:hAnsi="David" w:cs="David" w:hint="cs"/>
                <w:b/>
                <w:bCs/>
                <w:color w:val="000000" w:themeColor="text1"/>
                <w:sz w:val="24"/>
                <w:szCs w:val="24"/>
                <w:rtl/>
              </w:rPr>
              <w:t xml:space="preserve"> בישראל</w:t>
            </w:r>
            <w:r w:rsidR="002E6CFC">
              <w:rPr>
                <w:rFonts w:ascii="David" w:hAnsi="David" w:cs="David" w:hint="cs"/>
                <w:b/>
                <w:bCs/>
                <w:color w:val="000000" w:themeColor="text1"/>
                <w:sz w:val="24"/>
                <w:szCs w:val="24"/>
                <w:rtl/>
              </w:rPr>
              <w:t xml:space="preserve"> והיחס ביניה</w:t>
            </w:r>
            <w:r w:rsidR="002E6CFC">
              <w:rPr>
                <w:rFonts w:ascii="David" w:hAnsi="David" w:cs="David" w:hint="eastAsia"/>
                <w:b/>
                <w:bCs/>
                <w:color w:val="000000" w:themeColor="text1"/>
                <w:sz w:val="24"/>
                <w:szCs w:val="24"/>
                <w:rtl/>
              </w:rPr>
              <w:t>ם</w:t>
            </w:r>
            <w:r w:rsidRPr="00EC6F20">
              <w:rPr>
                <w:rFonts w:ascii="David" w:hAnsi="David" w:cs="David"/>
                <w:b/>
                <w:bCs/>
                <w:color w:val="000000" w:themeColor="text1"/>
                <w:sz w:val="24"/>
                <w:szCs w:val="24"/>
                <w:rtl/>
              </w:rPr>
              <w:t xml:space="preserve">, </w:t>
            </w:r>
            <w:r>
              <w:rPr>
                <w:rFonts w:ascii="David" w:hAnsi="David" w:cs="David" w:hint="cs"/>
                <w:b/>
                <w:bCs/>
                <w:color w:val="000000" w:themeColor="text1"/>
                <w:sz w:val="24"/>
                <w:szCs w:val="24"/>
                <w:rtl/>
              </w:rPr>
              <w:t>אפריל</w:t>
            </w:r>
            <w:r w:rsidRPr="00EC6F20">
              <w:rPr>
                <w:rFonts w:ascii="David" w:hAnsi="David" w:cs="David"/>
                <w:b/>
                <w:bCs/>
                <w:color w:val="000000" w:themeColor="text1"/>
                <w:sz w:val="24"/>
                <w:szCs w:val="24"/>
                <w:rtl/>
              </w:rPr>
              <w:t xml:space="preserve"> 2022 - </w:t>
            </w:r>
            <w:r w:rsidR="002E6CFC">
              <w:rPr>
                <w:rFonts w:ascii="David" w:hAnsi="David" w:cs="David" w:hint="cs"/>
                <w:b/>
                <w:bCs/>
                <w:color w:val="000000" w:themeColor="text1"/>
                <w:sz w:val="24"/>
                <w:szCs w:val="24"/>
                <w:rtl/>
              </w:rPr>
              <w:t>דצמבר</w:t>
            </w:r>
            <w:r>
              <w:rPr>
                <w:rFonts w:ascii="David" w:hAnsi="David" w:cs="David"/>
                <w:b/>
                <w:bCs/>
                <w:color w:val="000000" w:themeColor="text1"/>
                <w:sz w:val="24"/>
                <w:szCs w:val="24"/>
                <w:rtl/>
              </w:rPr>
              <w:t xml:space="preserve"> 2022</w:t>
            </w:r>
          </w:p>
        </w:tc>
      </w:tr>
      <w:tr w:rsidR="00D36386" w:rsidRPr="009327E8" w:rsidTr="00E855A2">
        <w:trPr>
          <w:jc w:val="center"/>
        </w:trPr>
        <w:tc>
          <w:tcPr>
            <w:tcW w:w="7577" w:type="dxa"/>
            <w:vAlign w:val="center"/>
          </w:tcPr>
          <w:p w:rsidR="00D36386" w:rsidRPr="00573421" w:rsidRDefault="00573421" w:rsidP="00B158D2">
            <w:pPr>
              <w:spacing w:after="120" w:line="360" w:lineRule="auto"/>
              <w:jc w:val="center"/>
              <w:rPr>
                <w:rFonts w:ascii="David" w:hAnsi="David" w:cs="David"/>
                <w:color w:val="000000" w:themeColor="text1"/>
                <w:sz w:val="24"/>
                <w:szCs w:val="24"/>
                <w:rtl/>
              </w:rPr>
            </w:pPr>
            <w:r>
              <w:rPr>
                <w:rFonts w:ascii="David" w:hAnsi="David"/>
                <w:noProof/>
                <w:color w:val="000000" w:themeColor="text1"/>
              </w:rPr>
              <w:lastRenderedPageBreak/>
              <w:drawing>
                <wp:inline distT="0" distB="0" distL="0" distR="0" wp14:anchorId="6F90A04F" wp14:editId="250E05D2">
                  <wp:extent cx="4283580" cy="2550160"/>
                  <wp:effectExtent l="0" t="0" r="3175" b="254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1103" cy="2572499"/>
                          </a:xfrm>
                          <a:prstGeom prst="rect">
                            <a:avLst/>
                          </a:prstGeom>
                          <a:noFill/>
                        </pic:spPr>
                      </pic:pic>
                    </a:graphicData>
                  </a:graphic>
                </wp:inline>
              </w:drawing>
            </w:r>
          </w:p>
        </w:tc>
      </w:tr>
      <w:tr w:rsidR="00D36386" w:rsidRPr="009327E8" w:rsidTr="00E855A2">
        <w:trPr>
          <w:jc w:val="center"/>
        </w:trPr>
        <w:tc>
          <w:tcPr>
            <w:tcW w:w="7577" w:type="dxa"/>
          </w:tcPr>
          <w:p w:rsidR="00C00A86" w:rsidRPr="00351B15" w:rsidRDefault="00C00A86" w:rsidP="00C00A86">
            <w:pPr>
              <w:jc w:val="both"/>
              <w:rPr>
                <w:rFonts w:ascii="David" w:hAnsi="David" w:cs="David"/>
                <w:noProof/>
                <w:sz w:val="18"/>
                <w:szCs w:val="18"/>
                <w:rtl/>
              </w:rPr>
            </w:pPr>
            <w:r w:rsidRPr="00351B15">
              <w:rPr>
                <w:rFonts w:ascii="David" w:hAnsi="David" w:cs="David" w:hint="cs"/>
                <w:noProof/>
                <w:sz w:val="18"/>
                <w:szCs w:val="18"/>
                <w:rtl/>
              </w:rPr>
              <w:t xml:space="preserve">הערה: </w:t>
            </w:r>
            <w:r w:rsidRPr="00351B15">
              <w:rPr>
                <w:rFonts w:ascii="David" w:hAnsi="David" w:cs="David"/>
                <w:noProof/>
                <w:sz w:val="18"/>
                <w:szCs w:val="18"/>
                <w:rtl/>
              </w:rPr>
              <w:t>ריבית</w:t>
            </w:r>
            <w:r w:rsidRPr="00351B15">
              <w:rPr>
                <w:rFonts w:ascii="David" w:hAnsi="David" w:cs="David" w:hint="cs"/>
                <w:noProof/>
                <w:sz w:val="18"/>
                <w:szCs w:val="18"/>
                <w:rtl/>
              </w:rPr>
              <w:t xml:space="preserve"> בנק ישראל ממוצעת בכל חודש וריבית פיקדונות</w:t>
            </w:r>
            <w:r w:rsidRPr="00351B15">
              <w:rPr>
                <w:rFonts w:ascii="David" w:hAnsi="David" w:cs="David"/>
                <w:noProof/>
                <w:sz w:val="18"/>
                <w:szCs w:val="18"/>
                <w:rtl/>
              </w:rPr>
              <w:t xml:space="preserve"> ממוצעת </w:t>
            </w:r>
            <w:r w:rsidRPr="00351B15">
              <w:rPr>
                <w:rFonts w:ascii="David" w:hAnsi="David" w:cs="David" w:hint="cs"/>
                <w:noProof/>
                <w:sz w:val="18"/>
                <w:szCs w:val="18"/>
                <w:rtl/>
              </w:rPr>
              <w:t xml:space="preserve">עבור </w:t>
            </w:r>
            <w:r w:rsidRPr="00351B15">
              <w:rPr>
                <w:rFonts w:ascii="David" w:hAnsi="David" w:cs="David"/>
                <w:noProof/>
                <w:sz w:val="18"/>
                <w:szCs w:val="18"/>
                <w:rtl/>
              </w:rPr>
              <w:t>פיקדונות</w:t>
            </w:r>
            <w:r w:rsidRPr="00351B15">
              <w:rPr>
                <w:rFonts w:ascii="David" w:hAnsi="David" w:cs="David" w:hint="cs"/>
                <w:noProof/>
                <w:sz w:val="18"/>
                <w:szCs w:val="18"/>
                <w:rtl/>
              </w:rPr>
              <w:t xml:space="preserve"> חדשים</w:t>
            </w:r>
            <w:r w:rsidRPr="00351B15">
              <w:rPr>
                <w:rFonts w:ascii="David" w:hAnsi="David" w:cs="David"/>
                <w:noProof/>
                <w:sz w:val="18"/>
                <w:szCs w:val="18"/>
                <w:rtl/>
              </w:rPr>
              <w:t xml:space="preserve"> לזמן קצוב של עד שלושה חודשים, ריבית קבוע</w:t>
            </w:r>
            <w:r w:rsidRPr="00351B15">
              <w:rPr>
                <w:rFonts w:ascii="David" w:hAnsi="David" w:cs="David" w:hint="cs"/>
                <w:noProof/>
                <w:sz w:val="18"/>
                <w:szCs w:val="18"/>
                <w:rtl/>
              </w:rPr>
              <w:t xml:space="preserve">ה </w:t>
            </w:r>
            <w:r w:rsidRPr="00351B15">
              <w:rPr>
                <w:rFonts w:ascii="David" w:hAnsi="David" w:cs="David"/>
                <w:noProof/>
                <w:sz w:val="18"/>
                <w:szCs w:val="18"/>
                <w:rtl/>
              </w:rPr>
              <w:t>לא צמוד</w:t>
            </w:r>
            <w:r w:rsidRPr="00351B15">
              <w:rPr>
                <w:rFonts w:ascii="David" w:hAnsi="David" w:cs="David" w:hint="cs"/>
                <w:noProof/>
                <w:sz w:val="18"/>
                <w:szCs w:val="18"/>
                <w:rtl/>
              </w:rPr>
              <w:t>ה</w:t>
            </w:r>
            <w:r w:rsidRPr="00351B15">
              <w:rPr>
                <w:rFonts w:ascii="David" w:hAnsi="David" w:cs="David"/>
                <w:noProof/>
                <w:sz w:val="18"/>
                <w:szCs w:val="18"/>
                <w:rtl/>
              </w:rPr>
              <w:t>, סך המערכת הבנקאית, משקי בית ללא בנקאות פרטית</w:t>
            </w:r>
            <w:r w:rsidRPr="00351B15">
              <w:rPr>
                <w:rFonts w:ascii="David" w:hAnsi="David" w:cs="David" w:hint="cs"/>
                <w:noProof/>
                <w:sz w:val="18"/>
                <w:szCs w:val="18"/>
                <w:rtl/>
              </w:rPr>
              <w:t>.</w:t>
            </w:r>
          </w:p>
          <w:p w:rsidR="00D36386" w:rsidRPr="002E6CFC" w:rsidDel="005443E3" w:rsidRDefault="00C00A86" w:rsidP="00C00A86">
            <w:pPr>
              <w:jc w:val="both"/>
              <w:rPr>
                <w:rFonts w:ascii="David" w:hAnsi="David" w:cs="David"/>
                <w:noProof/>
                <w:sz w:val="20"/>
                <w:szCs w:val="20"/>
              </w:rPr>
            </w:pPr>
            <w:r w:rsidRPr="00351B15">
              <w:rPr>
                <w:rFonts w:ascii="David" w:hAnsi="David" w:cs="David" w:hint="cs"/>
                <w:noProof/>
                <w:sz w:val="18"/>
                <w:szCs w:val="18"/>
                <w:rtl/>
              </w:rPr>
              <w:t>מקור: בנק ישראל.</w:t>
            </w:r>
          </w:p>
        </w:tc>
      </w:tr>
    </w:tbl>
    <w:p w:rsidR="00744FC4" w:rsidRPr="00B36885" w:rsidRDefault="00744FC4" w:rsidP="00B36885">
      <w:pPr>
        <w:autoSpaceDE w:val="0"/>
        <w:autoSpaceDN w:val="0"/>
        <w:adjustRightInd w:val="0"/>
        <w:spacing w:after="120" w:line="360" w:lineRule="auto"/>
        <w:jc w:val="both"/>
        <w:rPr>
          <w:rFonts w:ascii="David" w:hAnsi="David"/>
          <w:b/>
          <w:bCs/>
          <w:color w:val="000000"/>
        </w:rPr>
      </w:pPr>
    </w:p>
    <w:p w:rsidR="00070BD3" w:rsidRPr="002B408A" w:rsidRDefault="002C4CCE" w:rsidP="002B408A">
      <w:pPr>
        <w:pStyle w:val="a3"/>
        <w:numPr>
          <w:ilvl w:val="0"/>
          <w:numId w:val="20"/>
        </w:numPr>
        <w:autoSpaceDE w:val="0"/>
        <w:autoSpaceDN w:val="0"/>
        <w:adjustRightInd w:val="0"/>
        <w:spacing w:after="120" w:line="360" w:lineRule="auto"/>
        <w:jc w:val="both"/>
        <w:rPr>
          <w:rFonts w:ascii="David" w:hAnsi="David"/>
          <w:b/>
          <w:bCs/>
          <w:color w:val="000000"/>
        </w:rPr>
      </w:pPr>
      <w:r w:rsidRPr="00744FC4">
        <w:rPr>
          <w:rFonts w:ascii="David" w:hAnsi="David" w:hint="eastAsia"/>
          <w:b/>
          <w:bCs/>
          <w:color w:val="000000"/>
          <w:rtl/>
        </w:rPr>
        <w:t>ה</w:t>
      </w:r>
      <w:r w:rsidR="00070BD3" w:rsidRPr="00744FC4">
        <w:rPr>
          <w:rFonts w:ascii="David" w:hAnsi="David" w:hint="eastAsia"/>
          <w:b/>
          <w:bCs/>
          <w:color w:val="000000"/>
          <w:rtl/>
        </w:rPr>
        <w:t>ג</w:t>
      </w:r>
      <w:r w:rsidR="00070BD3" w:rsidRPr="00744FC4">
        <w:rPr>
          <w:rFonts w:ascii="David" w:hAnsi="David" w:hint="cs"/>
          <w:b/>
          <w:bCs/>
          <w:color w:val="000000"/>
          <w:rtl/>
        </w:rPr>
        <w:t>ו</w:t>
      </w:r>
      <w:r w:rsidR="00070BD3" w:rsidRPr="002B408A">
        <w:rPr>
          <w:rFonts w:ascii="David" w:hAnsi="David" w:hint="cs"/>
          <w:b/>
          <w:bCs/>
          <w:color w:val="000000"/>
          <w:rtl/>
        </w:rPr>
        <w:t xml:space="preserve">רמים </w:t>
      </w:r>
      <w:r w:rsidR="00FB0754" w:rsidRPr="002B408A">
        <w:rPr>
          <w:rFonts w:ascii="David" w:hAnsi="David" w:hint="cs"/>
          <w:b/>
          <w:bCs/>
          <w:color w:val="000000"/>
          <w:rtl/>
        </w:rPr>
        <w:t>המשפיעים</w:t>
      </w:r>
      <w:r w:rsidR="00070BD3" w:rsidRPr="002B408A">
        <w:rPr>
          <w:rFonts w:ascii="David" w:hAnsi="David" w:hint="cs"/>
          <w:b/>
          <w:bCs/>
          <w:color w:val="000000"/>
          <w:rtl/>
        </w:rPr>
        <w:t xml:space="preserve"> על עוצמת התמסורת</w:t>
      </w:r>
      <w:r w:rsidR="00A105C6" w:rsidRPr="002B408A">
        <w:rPr>
          <w:rFonts w:ascii="David" w:hAnsi="David" w:hint="cs"/>
          <w:b/>
          <w:bCs/>
          <w:color w:val="000000"/>
          <w:rtl/>
        </w:rPr>
        <w:t xml:space="preserve"> והמצב בישראל</w:t>
      </w:r>
    </w:p>
    <w:p w:rsidR="00AC4369" w:rsidRPr="00AC4369" w:rsidRDefault="005510BF" w:rsidP="00F858E3">
      <w:pPr>
        <w:autoSpaceDE w:val="0"/>
        <w:autoSpaceDN w:val="0"/>
        <w:adjustRightInd w:val="0"/>
        <w:spacing w:after="120" w:line="360" w:lineRule="auto"/>
        <w:jc w:val="both"/>
        <w:rPr>
          <w:rFonts w:ascii="David" w:hAnsi="David"/>
          <w:color w:val="000000"/>
        </w:rPr>
      </w:pPr>
      <w:r>
        <w:rPr>
          <w:rFonts w:ascii="David" w:hAnsi="David" w:hint="cs"/>
          <w:color w:val="000000"/>
          <w:rtl/>
        </w:rPr>
        <w:t>בסעיף</w:t>
      </w:r>
      <w:r w:rsidR="00AC4369">
        <w:rPr>
          <w:rFonts w:ascii="David" w:hAnsi="David" w:hint="cs"/>
          <w:color w:val="000000"/>
          <w:rtl/>
        </w:rPr>
        <w:t xml:space="preserve"> זה </w:t>
      </w:r>
      <w:r w:rsidR="00783657">
        <w:rPr>
          <w:rFonts w:ascii="David" w:hAnsi="David" w:hint="cs"/>
          <w:color w:val="000000"/>
          <w:rtl/>
        </w:rPr>
        <w:t xml:space="preserve">אנו סוקרים </w:t>
      </w:r>
      <w:r w:rsidR="00AC4369" w:rsidRPr="00AC4369">
        <w:rPr>
          <w:rFonts w:ascii="David" w:hAnsi="David" w:hint="cs"/>
          <w:color w:val="000000"/>
          <w:rtl/>
        </w:rPr>
        <w:t>שלושה גורמים מרכזיים</w:t>
      </w:r>
      <w:r w:rsidR="00AC4369">
        <w:rPr>
          <w:rFonts w:ascii="David" w:hAnsi="David" w:hint="cs"/>
          <w:color w:val="000000"/>
          <w:rtl/>
        </w:rPr>
        <w:t xml:space="preserve"> </w:t>
      </w:r>
      <w:r>
        <w:rPr>
          <w:rFonts w:ascii="David" w:hAnsi="David" w:hint="cs"/>
          <w:color w:val="000000"/>
          <w:rtl/>
        </w:rPr>
        <w:t>ש</w:t>
      </w:r>
      <w:r w:rsidR="00AC4369">
        <w:rPr>
          <w:rFonts w:ascii="David" w:hAnsi="David" w:hint="cs"/>
          <w:color w:val="000000"/>
          <w:rtl/>
        </w:rPr>
        <w:t>יכולים להשפיע על עוצמת התמסורת מריבית הבנק</w:t>
      </w:r>
      <w:r w:rsidR="006F5783">
        <w:rPr>
          <w:rFonts w:ascii="David" w:hAnsi="David" w:hint="cs"/>
          <w:color w:val="000000"/>
          <w:rtl/>
        </w:rPr>
        <w:t xml:space="preserve"> </w:t>
      </w:r>
      <w:r>
        <w:rPr>
          <w:rFonts w:ascii="David" w:hAnsi="David" w:hint="cs"/>
          <w:color w:val="000000"/>
          <w:rtl/>
        </w:rPr>
        <w:t>המרכזי לריבית הפיקדונות. לגבי</w:t>
      </w:r>
      <w:r w:rsidR="00AC4369">
        <w:rPr>
          <w:rFonts w:ascii="David" w:hAnsi="David" w:hint="cs"/>
          <w:color w:val="000000"/>
          <w:rtl/>
        </w:rPr>
        <w:t xml:space="preserve"> </w:t>
      </w:r>
      <w:r w:rsidR="00783657">
        <w:rPr>
          <w:rFonts w:ascii="David" w:hAnsi="David" w:hint="cs"/>
          <w:color w:val="000000"/>
          <w:rtl/>
        </w:rPr>
        <w:t>כ</w:t>
      </w:r>
      <w:r w:rsidR="00AC4369">
        <w:rPr>
          <w:rFonts w:ascii="David" w:hAnsi="David" w:hint="cs"/>
          <w:color w:val="000000"/>
          <w:rtl/>
        </w:rPr>
        <w:t>ל גורם</w:t>
      </w:r>
      <w:r w:rsidR="006F5783">
        <w:rPr>
          <w:rFonts w:ascii="David" w:hAnsi="David" w:hint="cs"/>
          <w:color w:val="000000"/>
          <w:rtl/>
        </w:rPr>
        <w:t xml:space="preserve"> </w:t>
      </w:r>
      <w:r w:rsidR="00F858E3">
        <w:rPr>
          <w:rFonts w:ascii="David" w:hAnsi="David" w:hint="cs"/>
          <w:color w:val="000000"/>
          <w:rtl/>
        </w:rPr>
        <w:t>בחנו</w:t>
      </w:r>
      <w:r w:rsidR="00AC4369">
        <w:rPr>
          <w:rFonts w:ascii="David" w:hAnsi="David" w:hint="cs"/>
          <w:color w:val="000000"/>
          <w:rtl/>
        </w:rPr>
        <w:t xml:space="preserve"> את המצב בישראל ואת </w:t>
      </w:r>
      <w:r>
        <w:rPr>
          <w:rFonts w:ascii="David" w:hAnsi="David" w:hint="cs"/>
          <w:color w:val="000000"/>
          <w:rtl/>
        </w:rPr>
        <w:t>השפעתו</w:t>
      </w:r>
      <w:r w:rsidR="00AC4369">
        <w:rPr>
          <w:rFonts w:ascii="David" w:hAnsi="David" w:hint="cs"/>
          <w:color w:val="000000"/>
          <w:rtl/>
        </w:rPr>
        <w:t xml:space="preserve"> האפשרית על עוצמת התמסורת.</w:t>
      </w:r>
    </w:p>
    <w:p w:rsidR="00023940" w:rsidRPr="005510BF" w:rsidRDefault="00023940" w:rsidP="005510BF">
      <w:pPr>
        <w:pStyle w:val="a3"/>
        <w:numPr>
          <w:ilvl w:val="1"/>
          <w:numId w:val="30"/>
        </w:numPr>
        <w:autoSpaceDE w:val="0"/>
        <w:autoSpaceDN w:val="0"/>
        <w:adjustRightInd w:val="0"/>
        <w:spacing w:after="120" w:line="360" w:lineRule="auto"/>
        <w:jc w:val="both"/>
        <w:rPr>
          <w:rFonts w:ascii="David" w:hAnsi="David"/>
          <w:b/>
          <w:bCs/>
          <w:color w:val="000000"/>
        </w:rPr>
      </w:pPr>
      <w:r w:rsidRPr="005510BF">
        <w:rPr>
          <w:rFonts w:ascii="David" w:hAnsi="David" w:hint="cs"/>
          <w:b/>
          <w:bCs/>
          <w:color w:val="000000"/>
          <w:rtl/>
        </w:rPr>
        <w:t>"חזרה לנורמליות"</w:t>
      </w:r>
      <w:r w:rsidR="00C45BF7" w:rsidRPr="005510BF">
        <w:rPr>
          <w:rFonts w:ascii="David" w:hAnsi="David" w:hint="cs"/>
          <w:b/>
          <w:bCs/>
          <w:color w:val="000000"/>
          <w:rtl/>
        </w:rPr>
        <w:t xml:space="preserve"> </w:t>
      </w:r>
      <w:r w:rsidR="00C45BF7" w:rsidRPr="005510BF">
        <w:rPr>
          <w:rFonts w:ascii="David" w:hAnsi="David"/>
          <w:b/>
          <w:bCs/>
          <w:color w:val="000000"/>
          <w:rtl/>
        </w:rPr>
        <w:t>–</w:t>
      </w:r>
      <w:r w:rsidR="00C45BF7" w:rsidRPr="005510BF">
        <w:rPr>
          <w:rFonts w:ascii="David" w:hAnsi="David" w:hint="cs"/>
          <w:b/>
          <w:bCs/>
          <w:color w:val="000000"/>
          <w:rtl/>
        </w:rPr>
        <w:t xml:space="preserve"> תמסורת חלשה בסביבת ריבית נמוכה</w:t>
      </w:r>
    </w:p>
    <w:p w:rsidR="00AC4369" w:rsidRDefault="00BB6C3D" w:rsidP="00B266DB">
      <w:pPr>
        <w:autoSpaceDE w:val="0"/>
        <w:autoSpaceDN w:val="0"/>
        <w:adjustRightInd w:val="0"/>
        <w:spacing w:after="120" w:line="360" w:lineRule="auto"/>
        <w:jc w:val="both"/>
        <w:rPr>
          <w:rFonts w:ascii="David" w:hAnsi="David"/>
          <w:color w:val="000000"/>
          <w:rtl/>
        </w:rPr>
      </w:pPr>
      <w:r>
        <w:rPr>
          <w:rFonts w:hint="cs"/>
          <w:rtl/>
        </w:rPr>
        <w:t>הריביות הקצרות בעולם ירדו מא</w:t>
      </w:r>
      <w:r w:rsidR="005510BF">
        <w:rPr>
          <w:rFonts w:hint="cs"/>
          <w:rtl/>
        </w:rPr>
        <w:t>ו</w:t>
      </w:r>
      <w:r>
        <w:rPr>
          <w:rFonts w:hint="cs"/>
          <w:rtl/>
        </w:rPr>
        <w:t xml:space="preserve">ד </w:t>
      </w:r>
      <w:r w:rsidR="005510BF">
        <w:rPr>
          <w:rFonts w:hint="cs"/>
          <w:rtl/>
        </w:rPr>
        <w:t xml:space="preserve">בשנים האחרונות, </w:t>
      </w:r>
      <w:r w:rsidR="00E514AE">
        <w:rPr>
          <w:rFonts w:hint="cs"/>
          <w:rtl/>
        </w:rPr>
        <w:t>ובמדינות רבות הן</w:t>
      </w:r>
      <w:r w:rsidR="00B72317">
        <w:rPr>
          <w:rFonts w:hint="cs"/>
          <w:rtl/>
        </w:rPr>
        <w:t xml:space="preserve"> </w:t>
      </w:r>
      <w:r w:rsidR="00C476DB">
        <w:rPr>
          <w:rFonts w:hint="cs"/>
          <w:rtl/>
        </w:rPr>
        <w:t>אף הפכו לשליליות</w:t>
      </w:r>
      <w:r w:rsidR="00B72317">
        <w:rPr>
          <w:rFonts w:hint="cs"/>
          <w:rtl/>
        </w:rPr>
        <w:t>.</w:t>
      </w:r>
      <w:r w:rsidR="005510BF">
        <w:rPr>
          <w:rFonts w:ascii="David" w:hAnsi="David" w:hint="cs"/>
          <w:color w:val="000000"/>
          <w:rtl/>
        </w:rPr>
        <w:t xml:space="preserve"> כש</w:t>
      </w:r>
      <w:r w:rsidR="00E514AE" w:rsidRPr="003852F0">
        <w:rPr>
          <w:rFonts w:ascii="David" w:hAnsi="David" w:hint="cs"/>
          <w:color w:val="000000"/>
          <w:rtl/>
        </w:rPr>
        <w:t>הריב</w:t>
      </w:r>
      <w:r w:rsidR="005510BF">
        <w:rPr>
          <w:rFonts w:ascii="David" w:hAnsi="David" w:hint="cs"/>
          <w:color w:val="000000"/>
          <w:rtl/>
        </w:rPr>
        <w:t xml:space="preserve">ית של הבנקים המרכזיים ירדה לאפס, </w:t>
      </w:r>
      <w:r w:rsidR="00E514AE" w:rsidRPr="003852F0">
        <w:rPr>
          <w:rFonts w:ascii="David" w:hAnsi="David" w:hint="cs"/>
          <w:color w:val="000000"/>
          <w:rtl/>
        </w:rPr>
        <w:t xml:space="preserve">המרווח </w:t>
      </w:r>
      <w:r w:rsidR="00A23C56">
        <w:rPr>
          <w:rFonts w:ascii="David" w:hAnsi="David" w:hint="cs"/>
          <w:color w:val="000000"/>
          <w:rtl/>
        </w:rPr>
        <w:t>בין ריבית הפיקדונות לריבית הבנק המרכזי</w:t>
      </w:r>
      <w:r w:rsidR="005510BF">
        <w:rPr>
          <w:rFonts w:ascii="David" w:hAnsi="David" w:hint="cs"/>
          <w:color w:val="000000"/>
          <w:rtl/>
        </w:rPr>
        <w:t xml:space="preserve"> הצטמצם, משום</w:t>
      </w:r>
      <w:r w:rsidR="00E514AE" w:rsidRPr="003852F0">
        <w:rPr>
          <w:rFonts w:ascii="David" w:hAnsi="David" w:hint="cs"/>
          <w:color w:val="000000"/>
          <w:rtl/>
        </w:rPr>
        <w:t xml:space="preserve"> שבנקים לא הטילו רי</w:t>
      </w:r>
      <w:r w:rsidR="00B72317">
        <w:rPr>
          <w:rFonts w:ascii="David" w:hAnsi="David" w:hint="cs"/>
          <w:color w:val="000000"/>
          <w:rtl/>
        </w:rPr>
        <w:t>ביות שליליות על פיקדונות הציבור.</w:t>
      </w:r>
      <w:r w:rsidR="005510BF">
        <w:rPr>
          <w:rFonts w:ascii="David" w:hAnsi="David" w:hint="cs"/>
          <w:color w:val="000000"/>
          <w:rtl/>
        </w:rPr>
        <w:t xml:space="preserve"> ואכן,</w:t>
      </w:r>
      <w:r w:rsidR="00B72317">
        <w:rPr>
          <w:rFonts w:ascii="David" w:hAnsi="David" w:hint="cs"/>
          <w:color w:val="000000"/>
          <w:rtl/>
        </w:rPr>
        <w:t xml:space="preserve"> </w:t>
      </w:r>
      <w:r w:rsidR="005510BF">
        <w:rPr>
          <w:rFonts w:ascii="David" w:hAnsi="David" w:hint="cs"/>
          <w:color w:val="000000"/>
          <w:rtl/>
        </w:rPr>
        <w:t xml:space="preserve">מחקרים רבים מהעולם </w:t>
      </w:r>
      <w:r w:rsidR="00AC4369">
        <w:rPr>
          <w:rFonts w:ascii="David" w:hAnsi="David" w:hint="cs"/>
          <w:color w:val="000000"/>
          <w:rtl/>
        </w:rPr>
        <w:t xml:space="preserve">מצאו </w:t>
      </w:r>
      <w:r w:rsidR="005510BF">
        <w:rPr>
          <w:rFonts w:ascii="David" w:hAnsi="David"/>
          <w:color w:val="000000"/>
          <w:rtl/>
        </w:rPr>
        <w:t>שבסביבת ריבית נמוכה</w:t>
      </w:r>
      <w:r w:rsidR="00AC4369" w:rsidRPr="00DD72FF">
        <w:rPr>
          <w:rFonts w:ascii="David" w:hAnsi="David"/>
          <w:color w:val="000000"/>
          <w:rtl/>
        </w:rPr>
        <w:t xml:space="preserve"> </w:t>
      </w:r>
      <w:r w:rsidR="002C6C85">
        <w:rPr>
          <w:rFonts w:ascii="David" w:hAnsi="David" w:hint="cs"/>
          <w:color w:val="000000"/>
          <w:rtl/>
        </w:rPr>
        <w:t xml:space="preserve">השפעתם של </w:t>
      </w:r>
      <w:r w:rsidR="002C6C85" w:rsidRPr="00DD72FF">
        <w:rPr>
          <w:rFonts w:ascii="David" w:hAnsi="David"/>
          <w:color w:val="000000"/>
          <w:rtl/>
        </w:rPr>
        <w:t xml:space="preserve">שינויים </w:t>
      </w:r>
      <w:r w:rsidR="00AC4369" w:rsidRPr="00DD72FF">
        <w:rPr>
          <w:rFonts w:ascii="David" w:hAnsi="David"/>
          <w:color w:val="000000"/>
          <w:rtl/>
        </w:rPr>
        <w:t>בריבית השוק הקצרה</w:t>
      </w:r>
      <w:r w:rsidR="00AC4369">
        <w:rPr>
          <w:rFonts w:ascii="David" w:hAnsi="David" w:hint="cs"/>
          <w:color w:val="000000"/>
          <w:rtl/>
        </w:rPr>
        <w:t xml:space="preserve"> על</w:t>
      </w:r>
      <w:r w:rsidR="00AC4369" w:rsidRPr="00DD72FF">
        <w:rPr>
          <w:rFonts w:ascii="David" w:hAnsi="David"/>
          <w:color w:val="000000"/>
          <w:rtl/>
        </w:rPr>
        <w:t xml:space="preserve"> הוצאות</w:t>
      </w:r>
      <w:r w:rsidR="00AC4369">
        <w:rPr>
          <w:rFonts w:ascii="David" w:hAnsi="David" w:hint="cs"/>
          <w:color w:val="000000"/>
          <w:rtl/>
        </w:rPr>
        <w:t xml:space="preserve"> הריבית של הבנקים</w:t>
      </w:r>
      <w:r w:rsidR="002C6C85">
        <w:rPr>
          <w:rFonts w:ascii="David" w:hAnsi="David" w:hint="cs"/>
          <w:color w:val="000000"/>
          <w:rtl/>
        </w:rPr>
        <w:t xml:space="preserve"> חלשה יחסית</w:t>
      </w:r>
      <w:r w:rsidR="00AC4369" w:rsidRPr="00DD72FF">
        <w:rPr>
          <w:rFonts w:ascii="David" w:hAnsi="David"/>
          <w:color w:val="000000"/>
          <w:rtl/>
        </w:rPr>
        <w:t>.</w:t>
      </w:r>
      <w:r w:rsidR="00AC4369">
        <w:rPr>
          <w:rStyle w:val="a8"/>
          <w:rFonts w:ascii="David" w:hAnsi="David"/>
          <w:color w:val="000000"/>
          <w:rtl/>
        </w:rPr>
        <w:footnoteReference w:id="3"/>
      </w:r>
      <w:r w:rsidR="00B266DB">
        <w:rPr>
          <w:rFonts w:ascii="David" w:hAnsi="David" w:hint="cs"/>
          <w:color w:val="000000"/>
          <w:rtl/>
        </w:rPr>
        <w:t xml:space="preserve"> לכן </w:t>
      </w:r>
      <w:r w:rsidR="00AC4369" w:rsidRPr="003852F0">
        <w:rPr>
          <w:rFonts w:ascii="David" w:hAnsi="David" w:hint="cs"/>
          <w:color w:val="000000"/>
          <w:rtl/>
        </w:rPr>
        <w:t xml:space="preserve">התמסורת החלקית </w:t>
      </w:r>
      <w:r w:rsidR="00B266DB">
        <w:rPr>
          <w:rFonts w:ascii="David" w:hAnsi="David" w:hint="cs"/>
          <w:color w:val="000000"/>
          <w:rtl/>
        </w:rPr>
        <w:t xml:space="preserve">מן העלייה של </w:t>
      </w:r>
      <w:r w:rsidR="00AC4369" w:rsidRPr="003852F0">
        <w:rPr>
          <w:rFonts w:ascii="David" w:hAnsi="David" w:hint="cs"/>
          <w:color w:val="000000"/>
          <w:rtl/>
        </w:rPr>
        <w:t xml:space="preserve">ריבית הבנקים המרכזיים לריבית הפיקדונות יכולה לשקף חזרה לאותו מרווח חיובי שהיה </w:t>
      </w:r>
      <w:r w:rsidR="00B266DB">
        <w:rPr>
          <w:rFonts w:ascii="David" w:hAnsi="David" w:hint="cs"/>
          <w:color w:val="000000"/>
          <w:rtl/>
        </w:rPr>
        <w:t>לפני</w:t>
      </w:r>
      <w:r w:rsidR="00AC4369" w:rsidRPr="003852F0">
        <w:rPr>
          <w:rFonts w:ascii="David" w:hAnsi="David" w:hint="cs"/>
          <w:color w:val="000000"/>
          <w:rtl/>
        </w:rPr>
        <w:t xml:space="preserve"> תקופת הריביות האפסיות</w:t>
      </w:r>
      <w:r w:rsidR="00AC4369">
        <w:rPr>
          <w:rFonts w:ascii="David" w:hAnsi="David" w:hint="cs"/>
          <w:color w:val="000000"/>
          <w:rtl/>
        </w:rPr>
        <w:t>.</w:t>
      </w:r>
    </w:p>
    <w:p w:rsidR="0010279A" w:rsidRPr="00510758" w:rsidRDefault="00B72317" w:rsidP="000B511C">
      <w:pPr>
        <w:autoSpaceDE w:val="0"/>
        <w:autoSpaceDN w:val="0"/>
        <w:adjustRightInd w:val="0"/>
        <w:spacing w:after="120" w:line="360" w:lineRule="auto"/>
        <w:jc w:val="both"/>
        <w:rPr>
          <w:rFonts w:ascii="David" w:hAnsi="David"/>
          <w:color w:val="000000"/>
          <w:rtl/>
        </w:rPr>
      </w:pPr>
      <w:r>
        <w:rPr>
          <w:rFonts w:ascii="David" w:hAnsi="David" w:hint="cs"/>
          <w:color w:val="000000"/>
          <w:rtl/>
        </w:rPr>
        <w:t>אי</w:t>
      </w:r>
      <w:r w:rsidR="00926945">
        <w:rPr>
          <w:rFonts w:ascii="David" w:hAnsi="David" w:hint="cs"/>
          <w:color w:val="000000"/>
          <w:rtl/>
        </w:rPr>
        <w:t xml:space="preserve">ור </w:t>
      </w:r>
      <w:r w:rsidR="000656D5">
        <w:rPr>
          <w:rFonts w:ascii="David" w:hAnsi="David" w:hint="cs"/>
          <w:color w:val="000000"/>
          <w:rtl/>
        </w:rPr>
        <w:t>3</w:t>
      </w:r>
      <w:r w:rsidR="00926945">
        <w:rPr>
          <w:rFonts w:ascii="David" w:hAnsi="David" w:hint="cs"/>
          <w:color w:val="000000"/>
          <w:rtl/>
        </w:rPr>
        <w:t xml:space="preserve"> מציג </w:t>
      </w:r>
      <w:r>
        <w:rPr>
          <w:rFonts w:ascii="David" w:hAnsi="David" w:hint="cs"/>
          <w:color w:val="000000"/>
          <w:rtl/>
        </w:rPr>
        <w:t xml:space="preserve">את הריבית הממוצעת </w:t>
      </w:r>
      <w:r w:rsidR="00B266DB">
        <w:rPr>
          <w:rFonts w:ascii="David" w:hAnsi="David" w:hint="cs"/>
          <w:color w:val="000000"/>
          <w:rtl/>
        </w:rPr>
        <w:t>על פיקדון</w:t>
      </w:r>
      <w:r>
        <w:rPr>
          <w:rFonts w:ascii="David" w:hAnsi="David" w:hint="cs"/>
          <w:color w:val="000000"/>
          <w:rtl/>
        </w:rPr>
        <w:t xml:space="preserve"> קצוב </w:t>
      </w:r>
      <w:r w:rsidR="00B266DB">
        <w:rPr>
          <w:rFonts w:ascii="David" w:hAnsi="David" w:hint="cs"/>
          <w:color w:val="000000"/>
          <w:rtl/>
        </w:rPr>
        <w:t>לתקופה</w:t>
      </w:r>
      <w:r>
        <w:rPr>
          <w:rFonts w:ascii="David" w:hAnsi="David" w:hint="cs"/>
          <w:color w:val="000000"/>
          <w:rtl/>
        </w:rPr>
        <w:t xml:space="preserve"> של עד שלושה חודשים בישראל לצד ריבית בנק ישראל מ</w:t>
      </w:r>
      <w:r w:rsidR="002016BD">
        <w:rPr>
          <w:rFonts w:ascii="David" w:hAnsi="David" w:hint="cs"/>
          <w:color w:val="000000"/>
          <w:rtl/>
        </w:rPr>
        <w:t xml:space="preserve">ינואר </w:t>
      </w:r>
      <w:r>
        <w:rPr>
          <w:rFonts w:ascii="David" w:hAnsi="David" w:hint="cs"/>
          <w:color w:val="000000"/>
          <w:rtl/>
        </w:rPr>
        <w:t>2004 עד</w:t>
      </w:r>
      <w:r w:rsidR="002016BD">
        <w:rPr>
          <w:rFonts w:ascii="David" w:hAnsi="David" w:hint="cs"/>
          <w:color w:val="000000"/>
          <w:rtl/>
        </w:rPr>
        <w:t xml:space="preserve"> דצמבר</w:t>
      </w:r>
      <w:r>
        <w:rPr>
          <w:rFonts w:ascii="David" w:hAnsi="David" w:hint="cs"/>
          <w:color w:val="000000"/>
          <w:rtl/>
        </w:rPr>
        <w:t xml:space="preserve"> </w:t>
      </w:r>
      <w:r w:rsidR="00A31FF8">
        <w:rPr>
          <w:rFonts w:ascii="David" w:hAnsi="David" w:hint="cs"/>
          <w:color w:val="000000"/>
          <w:rtl/>
        </w:rPr>
        <w:t>2015</w:t>
      </w:r>
      <w:r>
        <w:rPr>
          <w:rFonts w:ascii="David" w:hAnsi="David" w:hint="cs"/>
          <w:color w:val="000000"/>
          <w:rtl/>
        </w:rPr>
        <w:t>.</w:t>
      </w:r>
      <w:r w:rsidR="00A31FF8">
        <w:rPr>
          <w:rStyle w:val="a8"/>
          <w:rFonts w:ascii="David" w:hAnsi="David"/>
          <w:color w:val="000000"/>
          <w:rtl/>
        </w:rPr>
        <w:footnoteReference w:id="4"/>
      </w:r>
      <w:r>
        <w:rPr>
          <w:rFonts w:ascii="David" w:hAnsi="David" w:hint="cs"/>
          <w:color w:val="000000"/>
          <w:rtl/>
        </w:rPr>
        <w:t xml:space="preserve"> </w:t>
      </w:r>
      <w:r w:rsidR="00926945">
        <w:rPr>
          <w:rFonts w:ascii="David" w:hAnsi="David" w:hint="cs"/>
          <w:color w:val="000000"/>
          <w:rtl/>
        </w:rPr>
        <w:t xml:space="preserve">ניתן לראות כי המרווח בין הריביות </w:t>
      </w:r>
      <w:r w:rsidR="002460D0">
        <w:rPr>
          <w:rFonts w:ascii="David" w:hAnsi="David" w:hint="cs"/>
          <w:color w:val="000000"/>
          <w:rtl/>
        </w:rPr>
        <w:t>נוטה להצטמצ</w:t>
      </w:r>
      <w:r w:rsidR="002460D0">
        <w:rPr>
          <w:rFonts w:ascii="David" w:hAnsi="David" w:hint="eastAsia"/>
          <w:color w:val="000000"/>
          <w:rtl/>
        </w:rPr>
        <w:t>ם</w:t>
      </w:r>
      <w:r w:rsidR="002460D0">
        <w:rPr>
          <w:rFonts w:ascii="David" w:hAnsi="David" w:hint="cs"/>
          <w:color w:val="000000"/>
          <w:rtl/>
        </w:rPr>
        <w:t xml:space="preserve"> בתקופות בהן ריבית בנק ישראל מתקרבת למחסום האפס (לדוגמה</w:t>
      </w:r>
      <w:r w:rsidR="006B711F">
        <w:rPr>
          <w:rFonts w:ascii="David" w:hAnsi="David" w:hint="cs"/>
          <w:color w:val="000000"/>
          <w:rtl/>
        </w:rPr>
        <w:t xml:space="preserve"> ב</w:t>
      </w:r>
      <w:r w:rsidR="00EC7307">
        <w:rPr>
          <w:rFonts w:ascii="David" w:hAnsi="David" w:hint="cs"/>
          <w:color w:val="000000"/>
          <w:rtl/>
        </w:rPr>
        <w:t>-</w:t>
      </w:r>
      <w:r w:rsidR="006B711F">
        <w:rPr>
          <w:rFonts w:ascii="David" w:hAnsi="David" w:hint="cs"/>
          <w:color w:val="000000"/>
          <w:rtl/>
        </w:rPr>
        <w:t>200</w:t>
      </w:r>
      <w:r w:rsidR="009603A2">
        <w:rPr>
          <w:rFonts w:ascii="David" w:hAnsi="David" w:hint="cs"/>
          <w:color w:val="000000"/>
          <w:rtl/>
        </w:rPr>
        <w:t>9</w:t>
      </w:r>
      <w:r w:rsidR="006B711F">
        <w:rPr>
          <w:rFonts w:ascii="David" w:hAnsi="David" w:hint="cs"/>
          <w:color w:val="000000"/>
          <w:rtl/>
        </w:rPr>
        <w:t xml:space="preserve"> ומ</w:t>
      </w:r>
      <w:r w:rsidR="00EC7307">
        <w:rPr>
          <w:rFonts w:ascii="David" w:hAnsi="David" w:hint="cs"/>
          <w:color w:val="000000"/>
          <w:rtl/>
        </w:rPr>
        <w:t>-</w:t>
      </w:r>
      <w:r w:rsidR="006B711F">
        <w:rPr>
          <w:rFonts w:ascii="David" w:hAnsi="David" w:hint="cs"/>
          <w:color w:val="000000"/>
          <w:rtl/>
        </w:rPr>
        <w:t>2015)</w:t>
      </w:r>
      <w:r w:rsidR="002460D0">
        <w:rPr>
          <w:rFonts w:ascii="David" w:hAnsi="David" w:hint="cs"/>
          <w:color w:val="000000"/>
          <w:rtl/>
        </w:rPr>
        <w:t xml:space="preserve"> </w:t>
      </w:r>
      <w:r w:rsidR="00926945">
        <w:rPr>
          <w:rFonts w:ascii="David" w:hAnsi="David" w:hint="cs"/>
          <w:color w:val="000000"/>
          <w:rtl/>
        </w:rPr>
        <w:t xml:space="preserve">. </w:t>
      </w:r>
      <w:r w:rsidR="00B266DB">
        <w:rPr>
          <w:rFonts w:ascii="David" w:hAnsi="David" w:hint="cs"/>
          <w:color w:val="000000"/>
          <w:rtl/>
        </w:rPr>
        <w:t>משמע</w:t>
      </w:r>
      <w:r w:rsidR="00926945">
        <w:rPr>
          <w:rFonts w:ascii="David" w:hAnsi="David" w:hint="cs"/>
          <w:color w:val="000000"/>
          <w:rtl/>
        </w:rPr>
        <w:t xml:space="preserve"> ש</w:t>
      </w:r>
      <w:r w:rsidR="008C1FD7">
        <w:rPr>
          <w:rFonts w:ascii="David" w:hAnsi="David" w:hint="cs"/>
          <w:color w:val="000000"/>
          <w:rtl/>
        </w:rPr>
        <w:t xml:space="preserve">היסטורית </w:t>
      </w:r>
      <w:r w:rsidR="00926945">
        <w:rPr>
          <w:rFonts w:ascii="David" w:hAnsi="David" w:hint="cs"/>
          <w:color w:val="000000"/>
          <w:rtl/>
        </w:rPr>
        <w:t xml:space="preserve">גם </w:t>
      </w:r>
      <w:r w:rsidR="00B266DB">
        <w:rPr>
          <w:rFonts w:ascii="David" w:hAnsi="David" w:hint="cs"/>
          <w:color w:val="000000"/>
          <w:rtl/>
        </w:rPr>
        <w:t>ב</w:t>
      </w:r>
      <w:r w:rsidR="00926945">
        <w:rPr>
          <w:rFonts w:ascii="David" w:hAnsi="David" w:hint="cs"/>
          <w:color w:val="000000"/>
          <w:rtl/>
        </w:rPr>
        <w:t xml:space="preserve">ישראל </w:t>
      </w:r>
      <w:r w:rsidR="00B266DB">
        <w:rPr>
          <w:rFonts w:ascii="David" w:hAnsi="David" w:hint="cs"/>
          <w:color w:val="000000"/>
          <w:rtl/>
        </w:rPr>
        <w:t>ירידה של ריבית הבנק המרכזי</w:t>
      </w:r>
      <w:r>
        <w:rPr>
          <w:rFonts w:ascii="David" w:hAnsi="David" w:hint="cs"/>
          <w:color w:val="000000"/>
          <w:rtl/>
        </w:rPr>
        <w:t xml:space="preserve"> </w:t>
      </w:r>
      <w:r w:rsidR="006B711F">
        <w:rPr>
          <w:rFonts w:ascii="David" w:hAnsi="David" w:hint="cs"/>
          <w:color w:val="000000"/>
          <w:rtl/>
        </w:rPr>
        <w:t xml:space="preserve">לסביבת הריבית האפסית </w:t>
      </w:r>
      <w:r>
        <w:rPr>
          <w:rFonts w:ascii="David" w:hAnsi="David" w:hint="cs"/>
          <w:color w:val="000000"/>
          <w:rtl/>
        </w:rPr>
        <w:t xml:space="preserve">קשורה </w:t>
      </w:r>
      <w:r>
        <w:rPr>
          <w:rFonts w:ascii="David" w:hAnsi="David" w:hint="cs"/>
          <w:color w:val="000000"/>
          <w:rtl/>
        </w:rPr>
        <w:lastRenderedPageBreak/>
        <w:t>לצמצום המרווח</w:t>
      </w:r>
      <w:r w:rsidR="00B266DB">
        <w:rPr>
          <w:rFonts w:ascii="David" w:hAnsi="David" w:hint="cs"/>
          <w:color w:val="000000"/>
          <w:rtl/>
        </w:rPr>
        <w:t>,</w:t>
      </w:r>
      <w:r>
        <w:rPr>
          <w:rFonts w:ascii="David" w:hAnsi="David" w:hint="cs"/>
          <w:color w:val="000000"/>
          <w:rtl/>
        </w:rPr>
        <w:t xml:space="preserve"> ולהפך</w:t>
      </w:r>
      <w:r w:rsidR="00B266DB">
        <w:rPr>
          <w:rFonts w:ascii="David" w:hAnsi="David" w:hint="cs"/>
          <w:color w:val="000000"/>
          <w:rtl/>
        </w:rPr>
        <w:t>:</w:t>
      </w:r>
      <w:r w:rsidR="00195F3E">
        <w:rPr>
          <w:rFonts w:ascii="David" w:hAnsi="David" w:hint="cs"/>
          <w:color w:val="000000"/>
          <w:rtl/>
        </w:rPr>
        <w:t xml:space="preserve"> </w:t>
      </w:r>
      <w:r w:rsidR="00B266DB">
        <w:rPr>
          <w:rFonts w:ascii="David" w:hAnsi="David" w:hint="cs"/>
          <w:color w:val="000000"/>
          <w:rtl/>
        </w:rPr>
        <w:t>כש</w:t>
      </w:r>
      <w:r w:rsidR="00195F3E">
        <w:rPr>
          <w:rFonts w:ascii="David" w:hAnsi="David" w:hint="cs"/>
          <w:color w:val="000000"/>
          <w:rtl/>
        </w:rPr>
        <w:t xml:space="preserve">ריבית </w:t>
      </w:r>
      <w:r w:rsidR="00B266DB">
        <w:rPr>
          <w:rFonts w:ascii="David" w:hAnsi="David" w:hint="cs"/>
          <w:color w:val="000000"/>
          <w:rtl/>
        </w:rPr>
        <w:t xml:space="preserve">בנק ישראל עולה </w:t>
      </w:r>
      <w:r w:rsidR="006B711F">
        <w:rPr>
          <w:rFonts w:ascii="David" w:hAnsi="David" w:hint="cs"/>
          <w:color w:val="000000"/>
          <w:rtl/>
        </w:rPr>
        <w:t xml:space="preserve">חזרה לסביבת ריבית "נורמלית" </w:t>
      </w:r>
      <w:r w:rsidR="00B266DB">
        <w:rPr>
          <w:rFonts w:ascii="David" w:hAnsi="David" w:hint="cs"/>
          <w:color w:val="000000"/>
          <w:rtl/>
        </w:rPr>
        <w:t xml:space="preserve">המרווח בינה לבין </w:t>
      </w:r>
      <w:r w:rsidR="00195F3E">
        <w:rPr>
          <w:rFonts w:ascii="David" w:hAnsi="David" w:hint="cs"/>
          <w:color w:val="000000"/>
          <w:rtl/>
        </w:rPr>
        <w:t>ריבית הפיקדונות</w:t>
      </w:r>
      <w:r w:rsidR="00977029">
        <w:rPr>
          <w:rFonts w:ascii="David" w:hAnsi="David" w:hint="cs"/>
          <w:color w:val="000000"/>
          <w:rtl/>
        </w:rPr>
        <w:t xml:space="preserve"> מתרחב</w:t>
      </w:r>
      <w:r>
        <w:rPr>
          <w:rFonts w:ascii="David" w:hAnsi="David" w:hint="cs"/>
          <w:color w:val="000000"/>
          <w:rtl/>
        </w:rPr>
        <w:t>.</w:t>
      </w:r>
      <w:r w:rsidR="00926945">
        <w:rPr>
          <w:rFonts w:ascii="David" w:hAnsi="David" w:hint="cs"/>
          <w:color w:val="000000"/>
          <w:rtl/>
        </w:rPr>
        <w:t xml:space="preserve"> </w:t>
      </w:r>
    </w:p>
    <w:tbl>
      <w:tblPr>
        <w:tblStyle w:val="2"/>
        <w:bidiVisual/>
        <w:tblW w:w="4596" w:type="pct"/>
        <w:jc w:val="center"/>
        <w:tblLook w:val="04A0" w:firstRow="1" w:lastRow="0" w:firstColumn="1" w:lastColumn="0" w:noHBand="0" w:noVBand="1"/>
      </w:tblPr>
      <w:tblGrid>
        <w:gridCol w:w="7626"/>
      </w:tblGrid>
      <w:tr w:rsidR="00164831" w:rsidRPr="00926945" w:rsidTr="002016BD">
        <w:trPr>
          <w:jc w:val="center"/>
        </w:trPr>
        <w:tc>
          <w:tcPr>
            <w:tcW w:w="7626" w:type="dxa"/>
            <w:tcBorders>
              <w:bottom w:val="single" w:sz="4" w:space="0" w:color="auto"/>
            </w:tcBorders>
          </w:tcPr>
          <w:p w:rsidR="00573421" w:rsidRDefault="00A624EE" w:rsidP="00573421">
            <w:pPr>
              <w:spacing w:line="360" w:lineRule="auto"/>
              <w:jc w:val="center"/>
              <w:rPr>
                <w:rFonts w:ascii="David" w:hAnsi="David" w:cs="David"/>
                <w:b/>
                <w:bCs/>
                <w:color w:val="000000" w:themeColor="text1"/>
                <w:sz w:val="24"/>
                <w:szCs w:val="24"/>
                <w:rtl/>
              </w:rPr>
            </w:pPr>
            <w:r w:rsidRPr="00926945">
              <w:rPr>
                <w:rFonts w:ascii="David" w:hAnsi="David" w:cs="David" w:hint="eastAsia"/>
                <w:b/>
                <w:bCs/>
                <w:color w:val="000000" w:themeColor="text1"/>
                <w:sz w:val="24"/>
                <w:szCs w:val="24"/>
                <w:rtl/>
              </w:rPr>
              <w:t>איור</w:t>
            </w:r>
            <w:r w:rsidR="000656D5">
              <w:rPr>
                <w:rFonts w:ascii="David" w:hAnsi="David" w:cs="David" w:hint="cs"/>
                <w:b/>
                <w:bCs/>
                <w:color w:val="000000" w:themeColor="text1"/>
                <w:sz w:val="24"/>
                <w:szCs w:val="24"/>
                <w:rtl/>
              </w:rPr>
              <w:t xml:space="preserve"> 3</w:t>
            </w:r>
            <w:r w:rsidRPr="00926945">
              <w:rPr>
                <w:rFonts w:ascii="David" w:hAnsi="David" w:cs="David"/>
                <w:b/>
                <w:bCs/>
                <w:color w:val="000000" w:themeColor="text1"/>
                <w:sz w:val="24"/>
                <w:szCs w:val="24"/>
                <w:rtl/>
              </w:rPr>
              <w:t>: ריבית ממוצעת, פיקדון לזמן קצוב</w:t>
            </w:r>
            <w:r w:rsidRPr="00926945">
              <w:rPr>
                <w:rFonts w:ascii="David" w:hAnsi="David" w:cs="David" w:hint="cs"/>
                <w:b/>
                <w:bCs/>
                <w:color w:val="000000" w:themeColor="text1"/>
                <w:sz w:val="24"/>
                <w:szCs w:val="24"/>
                <w:rtl/>
              </w:rPr>
              <w:t xml:space="preserve"> וריבית בנק ישראל,</w:t>
            </w:r>
            <w:r w:rsidRPr="00926945">
              <w:rPr>
                <w:rFonts w:ascii="David" w:hAnsi="David" w:cs="David"/>
                <w:b/>
                <w:bCs/>
                <w:color w:val="000000" w:themeColor="text1"/>
                <w:sz w:val="24"/>
                <w:szCs w:val="24"/>
                <w:rtl/>
              </w:rPr>
              <w:t xml:space="preserve"> </w:t>
            </w:r>
          </w:p>
          <w:p w:rsidR="00A624EE" w:rsidRPr="00926945" w:rsidRDefault="00A624EE" w:rsidP="00573421">
            <w:pPr>
              <w:spacing w:line="360" w:lineRule="auto"/>
              <w:jc w:val="center"/>
              <w:rPr>
                <w:rFonts w:ascii="David" w:hAnsi="David" w:cs="David"/>
                <w:b/>
                <w:bCs/>
                <w:color w:val="000000" w:themeColor="text1"/>
                <w:sz w:val="24"/>
                <w:szCs w:val="24"/>
                <w:rtl/>
              </w:rPr>
            </w:pPr>
            <w:r w:rsidRPr="00926945">
              <w:rPr>
                <w:rFonts w:ascii="David" w:hAnsi="David" w:cs="David"/>
                <w:b/>
                <w:bCs/>
                <w:color w:val="000000" w:themeColor="text1"/>
                <w:sz w:val="24"/>
                <w:szCs w:val="24"/>
                <w:rtl/>
              </w:rPr>
              <w:t xml:space="preserve">ינואר </w:t>
            </w:r>
            <w:r w:rsidRPr="00926945">
              <w:rPr>
                <w:rFonts w:ascii="David" w:hAnsi="David" w:cs="David" w:hint="cs"/>
                <w:b/>
                <w:bCs/>
                <w:color w:val="000000" w:themeColor="text1"/>
                <w:sz w:val="24"/>
                <w:szCs w:val="24"/>
                <w:rtl/>
              </w:rPr>
              <w:t>2004</w:t>
            </w:r>
            <w:r w:rsidRPr="00926945">
              <w:rPr>
                <w:rFonts w:ascii="David" w:hAnsi="David" w:cs="David"/>
                <w:b/>
                <w:bCs/>
                <w:color w:val="000000" w:themeColor="text1"/>
                <w:sz w:val="24"/>
                <w:szCs w:val="24"/>
                <w:rtl/>
              </w:rPr>
              <w:t xml:space="preserve"> - </w:t>
            </w:r>
            <w:r w:rsidRPr="00926945">
              <w:rPr>
                <w:rFonts w:ascii="David" w:hAnsi="David" w:cs="David" w:hint="cs"/>
                <w:b/>
                <w:bCs/>
                <w:color w:val="000000" w:themeColor="text1"/>
                <w:sz w:val="24"/>
                <w:szCs w:val="24"/>
                <w:rtl/>
              </w:rPr>
              <w:t>דצמבר</w:t>
            </w:r>
            <w:r w:rsidRPr="00926945">
              <w:rPr>
                <w:rFonts w:ascii="David" w:hAnsi="David" w:cs="David"/>
                <w:b/>
                <w:bCs/>
                <w:color w:val="000000" w:themeColor="text1"/>
                <w:sz w:val="24"/>
                <w:szCs w:val="24"/>
                <w:rtl/>
              </w:rPr>
              <w:t xml:space="preserve"> </w:t>
            </w:r>
            <w:r w:rsidR="00573421">
              <w:rPr>
                <w:rFonts w:ascii="David" w:hAnsi="David" w:cs="David" w:hint="cs"/>
                <w:b/>
                <w:bCs/>
                <w:color w:val="000000" w:themeColor="text1"/>
                <w:sz w:val="24"/>
                <w:szCs w:val="24"/>
                <w:rtl/>
              </w:rPr>
              <w:t>2015</w:t>
            </w:r>
            <w:r w:rsidRPr="00926945">
              <w:rPr>
                <w:rFonts w:ascii="David" w:hAnsi="David" w:cs="David"/>
                <w:b/>
                <w:bCs/>
                <w:color w:val="000000" w:themeColor="text1"/>
                <w:sz w:val="24"/>
                <w:szCs w:val="24"/>
                <w:rtl/>
              </w:rPr>
              <w:t>.</w:t>
            </w:r>
          </w:p>
        </w:tc>
      </w:tr>
      <w:tr w:rsidR="00926945" w:rsidRPr="009327E8" w:rsidTr="00FD4906">
        <w:trPr>
          <w:jc w:val="center"/>
        </w:trPr>
        <w:tc>
          <w:tcPr>
            <w:tcW w:w="7626" w:type="dxa"/>
            <w:tcBorders>
              <w:top w:val="nil"/>
            </w:tcBorders>
          </w:tcPr>
          <w:p w:rsidR="00926945" w:rsidRPr="00B40744" w:rsidRDefault="00FD4906" w:rsidP="00926945">
            <w:pPr>
              <w:spacing w:after="120" w:line="360" w:lineRule="auto"/>
              <w:jc w:val="center"/>
              <w:rPr>
                <w:rFonts w:ascii="David" w:hAnsi="David" w:cs="David"/>
                <w:color w:val="000000" w:themeColor="text1"/>
                <w:sz w:val="24"/>
                <w:szCs w:val="24"/>
                <w:rtl/>
              </w:rPr>
            </w:pPr>
            <w:r>
              <w:rPr>
                <w:rFonts w:ascii="David" w:hAnsi="David"/>
                <w:noProof/>
                <w:color w:val="000000" w:themeColor="text1"/>
              </w:rPr>
              <w:drawing>
                <wp:inline distT="0" distB="0" distL="0" distR="0" wp14:anchorId="52AF47F2" wp14:editId="271C5572">
                  <wp:extent cx="3727450" cy="2309279"/>
                  <wp:effectExtent l="0" t="0" r="635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4053" cy="2362933"/>
                          </a:xfrm>
                          <a:prstGeom prst="rect">
                            <a:avLst/>
                          </a:prstGeom>
                          <a:noFill/>
                        </pic:spPr>
                      </pic:pic>
                    </a:graphicData>
                  </a:graphic>
                </wp:inline>
              </w:drawing>
            </w:r>
          </w:p>
        </w:tc>
      </w:tr>
      <w:tr w:rsidR="00164831" w:rsidRPr="009327E8" w:rsidTr="002016BD">
        <w:trPr>
          <w:jc w:val="center"/>
        </w:trPr>
        <w:tc>
          <w:tcPr>
            <w:tcW w:w="7626" w:type="dxa"/>
          </w:tcPr>
          <w:p w:rsidR="00573421" w:rsidRPr="006E5AFC" w:rsidRDefault="00A624EE" w:rsidP="00573421">
            <w:pPr>
              <w:jc w:val="both"/>
              <w:rPr>
                <w:rFonts w:ascii="David" w:hAnsi="David" w:cs="David"/>
                <w:noProof/>
                <w:sz w:val="20"/>
                <w:szCs w:val="20"/>
                <w:rtl/>
              </w:rPr>
            </w:pPr>
            <w:r w:rsidRPr="006E5AFC">
              <w:rPr>
                <w:rFonts w:ascii="David" w:hAnsi="David" w:cs="David" w:hint="cs"/>
                <w:noProof/>
                <w:sz w:val="20"/>
                <w:szCs w:val="20"/>
                <w:rtl/>
              </w:rPr>
              <w:t xml:space="preserve">הערה: </w:t>
            </w:r>
            <w:r w:rsidR="00573421" w:rsidRPr="006E5AFC">
              <w:rPr>
                <w:rFonts w:ascii="David" w:hAnsi="David" w:cs="David"/>
                <w:noProof/>
                <w:sz w:val="20"/>
                <w:szCs w:val="20"/>
                <w:rtl/>
              </w:rPr>
              <w:t xml:space="preserve">ריבית בנק ישראל </w:t>
            </w:r>
            <w:r w:rsidR="00573421" w:rsidRPr="006E5AFC">
              <w:rPr>
                <w:rFonts w:ascii="David" w:hAnsi="David" w:cs="David" w:hint="cs"/>
                <w:noProof/>
                <w:sz w:val="20"/>
                <w:szCs w:val="20"/>
                <w:rtl/>
              </w:rPr>
              <w:t>היא הריבית היומית הממוצעת</w:t>
            </w:r>
            <w:r w:rsidR="00573421" w:rsidRPr="006E5AFC">
              <w:rPr>
                <w:rFonts w:ascii="David" w:hAnsi="David" w:cs="David"/>
                <w:noProof/>
                <w:sz w:val="20"/>
                <w:szCs w:val="20"/>
                <w:rtl/>
              </w:rPr>
              <w:t xml:space="preserve"> בכל חודש</w:t>
            </w:r>
            <w:r w:rsidR="00573421" w:rsidRPr="006E5AFC">
              <w:rPr>
                <w:rFonts w:ascii="David" w:hAnsi="David" w:cs="David" w:hint="cs"/>
                <w:noProof/>
                <w:sz w:val="20"/>
                <w:szCs w:val="20"/>
                <w:rtl/>
              </w:rPr>
              <w:t xml:space="preserve">. </w:t>
            </w:r>
            <w:r w:rsidR="00412AE7" w:rsidRPr="006E5AFC">
              <w:rPr>
                <w:rFonts w:ascii="David" w:hAnsi="David" w:cs="David" w:hint="cs"/>
                <w:noProof/>
                <w:sz w:val="20"/>
                <w:szCs w:val="20"/>
                <w:rtl/>
              </w:rPr>
              <w:t>ריבית</w:t>
            </w:r>
            <w:r w:rsidR="00164831" w:rsidRPr="006E5AFC">
              <w:rPr>
                <w:rFonts w:ascii="David" w:hAnsi="David" w:cs="David" w:hint="cs"/>
                <w:noProof/>
                <w:sz w:val="20"/>
                <w:szCs w:val="20"/>
                <w:rtl/>
              </w:rPr>
              <w:t xml:space="preserve"> פז"ק היא ריבית פיקדון לזמן קצוב</w:t>
            </w:r>
            <w:r w:rsidR="00573421" w:rsidRPr="006E5AFC">
              <w:rPr>
                <w:rFonts w:ascii="David" w:hAnsi="David" w:cs="David" w:hint="cs"/>
                <w:noProof/>
                <w:sz w:val="20"/>
                <w:szCs w:val="20"/>
                <w:rtl/>
              </w:rPr>
              <w:t xml:space="preserve"> לכלל הציבור</w:t>
            </w:r>
            <w:r w:rsidR="00164831" w:rsidRPr="006E5AFC">
              <w:rPr>
                <w:rFonts w:ascii="David" w:hAnsi="David" w:cs="David" w:hint="cs"/>
                <w:noProof/>
                <w:sz w:val="20"/>
                <w:szCs w:val="20"/>
                <w:rtl/>
              </w:rPr>
              <w:t xml:space="preserve">, </w:t>
            </w:r>
            <w:r w:rsidR="00164831" w:rsidRPr="006E5AFC">
              <w:rPr>
                <w:rFonts w:ascii="David" w:hAnsi="David" w:cs="David"/>
                <w:noProof/>
                <w:sz w:val="20"/>
                <w:szCs w:val="20"/>
                <w:rtl/>
              </w:rPr>
              <w:t xml:space="preserve">מגזר לא צמוד-קבועה, </w:t>
            </w:r>
            <w:r w:rsidR="003562FA" w:rsidRPr="006E5AFC">
              <w:rPr>
                <w:rFonts w:ascii="David" w:hAnsi="David" w:cs="David"/>
                <w:noProof/>
                <w:sz w:val="20"/>
                <w:szCs w:val="20"/>
                <w:rtl/>
              </w:rPr>
              <w:t>לחודש עד שלושה חודשי</w:t>
            </w:r>
            <w:r w:rsidR="003562FA" w:rsidRPr="006E5AFC">
              <w:rPr>
                <w:rFonts w:ascii="David" w:hAnsi="David" w:cs="David" w:hint="cs"/>
                <w:noProof/>
                <w:sz w:val="20"/>
                <w:szCs w:val="20"/>
                <w:rtl/>
              </w:rPr>
              <w:t>ם</w:t>
            </w:r>
            <w:r w:rsidR="00573421" w:rsidRPr="006E5AFC">
              <w:rPr>
                <w:rFonts w:ascii="David" w:hAnsi="David" w:cs="David" w:hint="cs"/>
                <w:noProof/>
                <w:sz w:val="20"/>
                <w:szCs w:val="20"/>
                <w:rtl/>
              </w:rPr>
              <w:t>, כלל המערכת הבנקאית</w:t>
            </w:r>
            <w:r w:rsidR="00164831" w:rsidRPr="006E5AFC">
              <w:rPr>
                <w:rFonts w:ascii="David" w:hAnsi="David" w:cs="David" w:hint="cs"/>
                <w:noProof/>
                <w:sz w:val="20"/>
                <w:szCs w:val="20"/>
                <w:rtl/>
              </w:rPr>
              <w:t>.</w:t>
            </w:r>
            <w:r w:rsidR="00B24F1C" w:rsidRPr="006E5AFC">
              <w:rPr>
                <w:rFonts w:ascii="David" w:hAnsi="David" w:cs="David" w:hint="cs"/>
                <w:noProof/>
                <w:sz w:val="20"/>
                <w:szCs w:val="20"/>
                <w:rtl/>
              </w:rPr>
              <w:t xml:space="preserve"> </w:t>
            </w:r>
          </w:p>
          <w:p w:rsidR="00A624EE" w:rsidRPr="00B40744" w:rsidDel="005443E3" w:rsidRDefault="00C00A86" w:rsidP="00573421">
            <w:pPr>
              <w:jc w:val="both"/>
              <w:rPr>
                <w:rFonts w:ascii="David" w:hAnsi="David" w:cs="David"/>
                <w:noProof/>
              </w:rPr>
            </w:pPr>
            <w:r w:rsidRPr="006E5AFC">
              <w:rPr>
                <w:rFonts w:ascii="David" w:hAnsi="David" w:cs="David" w:hint="cs"/>
                <w:noProof/>
                <w:sz w:val="20"/>
                <w:szCs w:val="20"/>
                <w:rtl/>
              </w:rPr>
              <w:t>מקור:בנק ישראל</w:t>
            </w:r>
            <w:r w:rsidR="00164831" w:rsidRPr="00573421">
              <w:rPr>
                <w:rFonts w:ascii="David" w:hAnsi="David" w:cs="David" w:hint="cs"/>
                <w:noProof/>
                <w:sz w:val="20"/>
                <w:szCs w:val="20"/>
                <w:rtl/>
              </w:rPr>
              <w:t xml:space="preserve"> </w:t>
            </w:r>
            <w:r w:rsidR="00412AE7" w:rsidRPr="00573421">
              <w:rPr>
                <w:rFonts w:ascii="David" w:hAnsi="David" w:cs="David" w:hint="cs"/>
                <w:noProof/>
                <w:sz w:val="20"/>
                <w:szCs w:val="20"/>
                <w:rtl/>
              </w:rPr>
              <w:t xml:space="preserve"> </w:t>
            </w:r>
          </w:p>
        </w:tc>
      </w:tr>
    </w:tbl>
    <w:p w:rsidR="002016BD" w:rsidRPr="002016BD" w:rsidRDefault="002016BD" w:rsidP="00EC7307">
      <w:pPr>
        <w:autoSpaceDE w:val="0"/>
        <w:autoSpaceDN w:val="0"/>
        <w:adjustRightInd w:val="0"/>
        <w:spacing w:after="120" w:line="360" w:lineRule="auto"/>
        <w:jc w:val="both"/>
        <w:rPr>
          <w:rFonts w:ascii="David" w:hAnsi="David"/>
          <w:color w:val="000000"/>
          <w:rtl/>
        </w:rPr>
      </w:pPr>
      <w:r>
        <w:rPr>
          <w:rFonts w:ascii="David" w:hAnsi="David" w:hint="cs"/>
          <w:color w:val="000000"/>
          <w:rtl/>
        </w:rPr>
        <w:t xml:space="preserve">הקשר השלילי בין </w:t>
      </w:r>
      <w:r w:rsidR="00BF5191" w:rsidRPr="00F45668">
        <w:rPr>
          <w:rFonts w:ascii="David" w:hAnsi="David" w:hint="eastAsia"/>
          <w:color w:val="000000"/>
          <w:rtl/>
        </w:rPr>
        <w:t>רמת</w:t>
      </w:r>
      <w:r w:rsidR="00BF5191" w:rsidRPr="00584CC7">
        <w:rPr>
          <w:rFonts w:ascii="David" w:hAnsi="David" w:hint="cs"/>
          <w:color w:val="000000"/>
          <w:rtl/>
        </w:rPr>
        <w:t xml:space="preserve"> </w:t>
      </w:r>
      <w:r w:rsidR="00BF5191">
        <w:rPr>
          <w:rFonts w:ascii="David" w:hAnsi="David" w:hint="cs"/>
          <w:color w:val="000000"/>
          <w:rtl/>
        </w:rPr>
        <w:t xml:space="preserve">הריבית </w:t>
      </w:r>
      <w:r w:rsidR="00BF5191" w:rsidRPr="00F45668">
        <w:rPr>
          <w:rFonts w:ascii="David" w:hAnsi="David" w:hint="eastAsia"/>
          <w:color w:val="000000"/>
          <w:rtl/>
        </w:rPr>
        <w:t>ל</w:t>
      </w:r>
      <w:r w:rsidRPr="00F45668">
        <w:rPr>
          <w:rFonts w:ascii="David" w:hAnsi="David" w:hint="eastAsia"/>
          <w:color w:val="000000"/>
          <w:rtl/>
        </w:rPr>
        <w:t>מרווח</w:t>
      </w:r>
      <w:r w:rsidRPr="00584CC7">
        <w:rPr>
          <w:rFonts w:ascii="David" w:hAnsi="David" w:hint="cs"/>
          <w:color w:val="000000"/>
          <w:rtl/>
        </w:rPr>
        <w:t xml:space="preserve"> </w:t>
      </w:r>
      <w:r>
        <w:rPr>
          <w:rFonts w:ascii="David" w:hAnsi="David" w:hint="cs"/>
          <w:color w:val="000000"/>
          <w:rtl/>
        </w:rPr>
        <w:t>בין ריבית הפיקדונות לריב</w:t>
      </w:r>
      <w:r w:rsidR="00BF5191">
        <w:rPr>
          <w:rFonts w:ascii="David" w:hAnsi="David" w:hint="cs"/>
          <w:color w:val="000000"/>
          <w:rtl/>
        </w:rPr>
        <w:t>ית בנק ישראל מוצג</w:t>
      </w:r>
      <w:r w:rsidR="00983004">
        <w:rPr>
          <w:rFonts w:ascii="David" w:hAnsi="David" w:hint="cs"/>
          <w:color w:val="000000"/>
          <w:rtl/>
        </w:rPr>
        <w:t xml:space="preserve"> גם</w:t>
      </w:r>
      <w:r w:rsidR="00BF5191">
        <w:rPr>
          <w:rFonts w:ascii="David" w:hAnsi="David" w:hint="cs"/>
          <w:color w:val="000000"/>
          <w:rtl/>
        </w:rPr>
        <w:t xml:space="preserve"> באיור 4.</w:t>
      </w:r>
      <w:r w:rsidR="007E6B67">
        <w:rPr>
          <w:rFonts w:ascii="David" w:hAnsi="David" w:hint="cs"/>
          <w:color w:val="000000"/>
          <w:rtl/>
        </w:rPr>
        <w:t xml:space="preserve"> </w:t>
      </w:r>
      <w:r w:rsidR="00BF5191">
        <w:rPr>
          <w:rFonts w:ascii="David" w:hAnsi="David" w:hint="cs"/>
          <w:color w:val="000000"/>
          <w:rtl/>
        </w:rPr>
        <w:t>במיוחד בולט הקשר השלילי ה</w:t>
      </w:r>
      <w:r w:rsidR="009C029E">
        <w:rPr>
          <w:rFonts w:ascii="David" w:hAnsi="David" w:hint="cs"/>
          <w:color w:val="000000"/>
          <w:rtl/>
        </w:rPr>
        <w:t xml:space="preserve">ליניארי </w:t>
      </w:r>
      <w:r w:rsidR="00BF5191">
        <w:rPr>
          <w:rFonts w:ascii="David" w:hAnsi="David" w:hint="cs"/>
          <w:color w:val="000000"/>
          <w:rtl/>
        </w:rPr>
        <w:t xml:space="preserve">בסביבת ריבית </w:t>
      </w:r>
      <w:r w:rsidR="008F0FDD">
        <w:rPr>
          <w:rFonts w:ascii="David" w:hAnsi="David" w:hint="cs"/>
          <w:color w:val="000000"/>
          <w:rtl/>
        </w:rPr>
        <w:t>ה</w:t>
      </w:r>
      <w:r w:rsidR="00BF5191">
        <w:rPr>
          <w:rFonts w:ascii="David" w:hAnsi="David" w:hint="cs"/>
          <w:color w:val="000000"/>
          <w:rtl/>
        </w:rPr>
        <w:t>נמוכה מ-2%</w:t>
      </w:r>
      <w:r w:rsidR="009C029E">
        <w:rPr>
          <w:rFonts w:ascii="David" w:hAnsi="David" w:hint="cs"/>
          <w:color w:val="000000"/>
          <w:rtl/>
        </w:rPr>
        <w:t xml:space="preserve">. </w:t>
      </w:r>
      <w:r w:rsidR="00BF5191">
        <w:rPr>
          <w:rFonts w:ascii="David" w:hAnsi="David" w:hint="cs"/>
          <w:color w:val="000000"/>
          <w:rtl/>
        </w:rPr>
        <w:t>הקשר</w:t>
      </w:r>
      <w:r w:rsidR="009C029E">
        <w:rPr>
          <w:rFonts w:ascii="David" w:hAnsi="David" w:hint="cs"/>
          <w:color w:val="000000"/>
          <w:rtl/>
        </w:rPr>
        <w:t xml:space="preserve"> </w:t>
      </w:r>
      <w:r w:rsidR="007E6B67">
        <w:rPr>
          <w:rFonts w:ascii="David" w:hAnsi="David" w:hint="cs"/>
          <w:color w:val="000000"/>
          <w:rtl/>
        </w:rPr>
        <w:t xml:space="preserve">אמנם </w:t>
      </w:r>
      <w:r w:rsidR="009C029E">
        <w:rPr>
          <w:rFonts w:ascii="David" w:hAnsi="David" w:hint="cs"/>
          <w:color w:val="000000"/>
          <w:rtl/>
        </w:rPr>
        <w:t xml:space="preserve">נותר שלילי </w:t>
      </w:r>
      <w:r w:rsidR="00BF5191">
        <w:rPr>
          <w:rFonts w:ascii="David" w:hAnsi="David" w:hint="cs"/>
          <w:color w:val="000000"/>
          <w:rtl/>
        </w:rPr>
        <w:t>כאשר רמת הריבית עולה מעבר ל2%</w:t>
      </w:r>
      <w:r w:rsidR="00977029">
        <w:rPr>
          <w:rFonts w:ascii="David" w:hAnsi="David" w:hint="cs"/>
          <w:color w:val="000000"/>
          <w:rtl/>
        </w:rPr>
        <w:t>,</w:t>
      </w:r>
      <w:r w:rsidR="00BF5191">
        <w:rPr>
          <w:rFonts w:ascii="David" w:hAnsi="David" w:hint="cs"/>
          <w:color w:val="000000"/>
          <w:rtl/>
        </w:rPr>
        <w:t xml:space="preserve"> </w:t>
      </w:r>
      <w:r w:rsidR="00977029" w:rsidRPr="00977029">
        <w:rPr>
          <w:rFonts w:ascii="David" w:hAnsi="David" w:hint="cs"/>
          <w:color w:val="000000"/>
          <w:rtl/>
        </w:rPr>
        <w:t xml:space="preserve">אך </w:t>
      </w:r>
      <w:r w:rsidR="00977029">
        <w:rPr>
          <w:rFonts w:ascii="David" w:hAnsi="David" w:hint="cs"/>
          <w:color w:val="000000"/>
          <w:rtl/>
        </w:rPr>
        <w:t xml:space="preserve">הוא </w:t>
      </w:r>
      <w:r w:rsidR="00977029" w:rsidRPr="00977029">
        <w:rPr>
          <w:rFonts w:ascii="David" w:hAnsi="David" w:hint="cs"/>
          <w:color w:val="000000"/>
          <w:rtl/>
        </w:rPr>
        <w:t>נחלש</w:t>
      </w:r>
      <w:r w:rsidR="00584CC7">
        <w:rPr>
          <w:rFonts w:ascii="David" w:hAnsi="David" w:hint="cs"/>
          <w:color w:val="000000"/>
          <w:rtl/>
        </w:rPr>
        <w:t>,</w:t>
      </w:r>
      <w:r w:rsidR="00977029" w:rsidRPr="00977029">
        <w:rPr>
          <w:rFonts w:ascii="David" w:hAnsi="David" w:hint="cs"/>
          <w:color w:val="000000"/>
          <w:rtl/>
        </w:rPr>
        <w:t xml:space="preserve"> והפיזור גדל </w:t>
      </w:r>
      <w:r w:rsidR="00584CC7">
        <w:rPr>
          <w:rFonts w:ascii="David" w:hAnsi="David" w:hint="eastAsia"/>
          <w:color w:val="000000"/>
          <w:rtl/>
        </w:rPr>
        <w:t>–</w:t>
      </w:r>
      <w:r w:rsidR="00584CC7">
        <w:rPr>
          <w:rFonts w:ascii="David" w:hAnsi="David" w:hint="cs"/>
          <w:color w:val="000000"/>
          <w:rtl/>
        </w:rPr>
        <w:t xml:space="preserve"> ביטוי</w:t>
      </w:r>
      <w:r w:rsidR="009C029E">
        <w:rPr>
          <w:rFonts w:ascii="David" w:hAnsi="David" w:hint="cs"/>
          <w:color w:val="000000"/>
          <w:rtl/>
        </w:rPr>
        <w:t xml:space="preserve"> </w:t>
      </w:r>
      <w:r w:rsidR="00584CC7">
        <w:rPr>
          <w:rFonts w:ascii="David" w:hAnsi="David" w:hint="cs"/>
          <w:color w:val="000000"/>
          <w:rtl/>
        </w:rPr>
        <w:t>ל</w:t>
      </w:r>
      <w:r w:rsidR="009C029E" w:rsidRPr="00F45668">
        <w:rPr>
          <w:rFonts w:ascii="David" w:hAnsi="David" w:hint="eastAsia"/>
          <w:color w:val="000000"/>
          <w:rtl/>
        </w:rPr>
        <w:t>התחזקות</w:t>
      </w:r>
      <w:r w:rsidR="007C07E6">
        <w:rPr>
          <w:rFonts w:ascii="David" w:hAnsi="David" w:hint="cs"/>
          <w:color w:val="000000"/>
          <w:rtl/>
        </w:rPr>
        <w:t xml:space="preserve"> התמסורת בסביבת ריבית גבוהה.</w:t>
      </w:r>
      <w:r w:rsidR="001827F3">
        <w:rPr>
          <w:rStyle w:val="a8"/>
          <w:rFonts w:ascii="David" w:hAnsi="David"/>
          <w:color w:val="000000"/>
          <w:rtl/>
        </w:rPr>
        <w:footnoteReference w:id="5"/>
      </w:r>
    </w:p>
    <w:tbl>
      <w:tblPr>
        <w:tblStyle w:val="2"/>
        <w:bidiVisual/>
        <w:tblW w:w="4567" w:type="pct"/>
        <w:jc w:val="center"/>
        <w:tblLook w:val="04A0" w:firstRow="1" w:lastRow="0" w:firstColumn="1" w:lastColumn="0" w:noHBand="0" w:noVBand="1"/>
      </w:tblPr>
      <w:tblGrid>
        <w:gridCol w:w="7776"/>
      </w:tblGrid>
      <w:tr w:rsidR="002016BD" w:rsidRPr="00926945" w:rsidTr="002016BD">
        <w:trPr>
          <w:jc w:val="center"/>
        </w:trPr>
        <w:tc>
          <w:tcPr>
            <w:tcW w:w="7578" w:type="dxa"/>
          </w:tcPr>
          <w:p w:rsidR="006E5AFC" w:rsidRDefault="002016BD" w:rsidP="006E5AFC">
            <w:pPr>
              <w:spacing w:line="360" w:lineRule="auto"/>
              <w:jc w:val="center"/>
              <w:rPr>
                <w:rFonts w:ascii="David" w:hAnsi="David" w:cs="David"/>
                <w:b/>
                <w:bCs/>
                <w:color w:val="000000" w:themeColor="text1"/>
                <w:sz w:val="24"/>
                <w:szCs w:val="24"/>
                <w:rtl/>
              </w:rPr>
            </w:pPr>
            <w:r w:rsidRPr="00926945">
              <w:rPr>
                <w:rFonts w:ascii="David" w:hAnsi="David" w:cs="David" w:hint="eastAsia"/>
                <w:b/>
                <w:bCs/>
                <w:color w:val="000000" w:themeColor="text1"/>
                <w:sz w:val="24"/>
                <w:szCs w:val="24"/>
                <w:rtl/>
              </w:rPr>
              <w:t>איור</w:t>
            </w:r>
            <w:r>
              <w:rPr>
                <w:rFonts w:ascii="David" w:hAnsi="David" w:cs="David" w:hint="cs"/>
                <w:b/>
                <w:bCs/>
                <w:color w:val="000000" w:themeColor="text1"/>
                <w:sz w:val="24"/>
                <w:szCs w:val="24"/>
                <w:rtl/>
              </w:rPr>
              <w:t xml:space="preserve"> 4</w:t>
            </w:r>
            <w:r w:rsidRPr="00926945">
              <w:rPr>
                <w:rFonts w:ascii="David" w:hAnsi="David" w:cs="David"/>
                <w:b/>
                <w:bCs/>
                <w:color w:val="000000" w:themeColor="text1"/>
                <w:sz w:val="24"/>
                <w:szCs w:val="24"/>
                <w:rtl/>
              </w:rPr>
              <w:t xml:space="preserve">: </w:t>
            </w:r>
            <w:r>
              <w:rPr>
                <w:rFonts w:ascii="David" w:hAnsi="David" w:cs="David" w:hint="cs"/>
                <w:b/>
                <w:bCs/>
                <w:color w:val="000000" w:themeColor="text1"/>
                <w:sz w:val="24"/>
                <w:szCs w:val="24"/>
                <w:rtl/>
              </w:rPr>
              <w:t>היחס בין גובה ריבית בנק ישראל לבין מרווח הריביות</w:t>
            </w:r>
            <w:r w:rsidRPr="00926945">
              <w:rPr>
                <w:rFonts w:ascii="David" w:hAnsi="David" w:cs="David" w:hint="cs"/>
                <w:b/>
                <w:bCs/>
                <w:color w:val="000000" w:themeColor="text1"/>
                <w:sz w:val="24"/>
                <w:szCs w:val="24"/>
                <w:rtl/>
              </w:rPr>
              <w:t>,</w:t>
            </w:r>
            <w:r w:rsidRPr="00926945">
              <w:rPr>
                <w:rFonts w:ascii="David" w:hAnsi="David" w:cs="David"/>
                <w:b/>
                <w:bCs/>
                <w:color w:val="000000" w:themeColor="text1"/>
                <w:sz w:val="24"/>
                <w:szCs w:val="24"/>
                <w:rtl/>
              </w:rPr>
              <w:t xml:space="preserve"> </w:t>
            </w:r>
          </w:p>
          <w:p w:rsidR="002016BD" w:rsidRPr="00926945" w:rsidRDefault="002016BD" w:rsidP="006E5AFC">
            <w:pPr>
              <w:spacing w:line="360" w:lineRule="auto"/>
              <w:jc w:val="center"/>
              <w:rPr>
                <w:rFonts w:ascii="David" w:hAnsi="David" w:cs="David"/>
                <w:b/>
                <w:bCs/>
                <w:color w:val="000000" w:themeColor="text1"/>
                <w:sz w:val="24"/>
                <w:szCs w:val="24"/>
                <w:rtl/>
              </w:rPr>
            </w:pPr>
            <w:r w:rsidRPr="00926945">
              <w:rPr>
                <w:rFonts w:ascii="David" w:hAnsi="David" w:cs="David"/>
                <w:b/>
                <w:bCs/>
                <w:color w:val="000000" w:themeColor="text1"/>
                <w:sz w:val="24"/>
                <w:szCs w:val="24"/>
                <w:rtl/>
              </w:rPr>
              <w:t xml:space="preserve">ינואר </w:t>
            </w:r>
            <w:r w:rsidRPr="00926945">
              <w:rPr>
                <w:rFonts w:ascii="David" w:hAnsi="David" w:cs="David" w:hint="cs"/>
                <w:b/>
                <w:bCs/>
                <w:color w:val="000000" w:themeColor="text1"/>
                <w:sz w:val="24"/>
                <w:szCs w:val="24"/>
                <w:rtl/>
              </w:rPr>
              <w:t>2004</w:t>
            </w:r>
            <w:r w:rsidRPr="00926945">
              <w:rPr>
                <w:rFonts w:ascii="David" w:hAnsi="David" w:cs="David"/>
                <w:b/>
                <w:bCs/>
                <w:color w:val="000000" w:themeColor="text1"/>
                <w:sz w:val="24"/>
                <w:szCs w:val="24"/>
                <w:rtl/>
              </w:rPr>
              <w:t xml:space="preserve"> - </w:t>
            </w:r>
            <w:r w:rsidRPr="00926945">
              <w:rPr>
                <w:rFonts w:ascii="David" w:hAnsi="David" w:cs="David" w:hint="cs"/>
                <w:b/>
                <w:bCs/>
                <w:color w:val="000000" w:themeColor="text1"/>
                <w:sz w:val="24"/>
                <w:szCs w:val="24"/>
                <w:rtl/>
              </w:rPr>
              <w:t>דצמבר</w:t>
            </w:r>
            <w:r w:rsidRPr="00926945">
              <w:rPr>
                <w:rFonts w:ascii="David" w:hAnsi="David" w:cs="David"/>
                <w:b/>
                <w:bCs/>
                <w:color w:val="000000" w:themeColor="text1"/>
                <w:sz w:val="24"/>
                <w:szCs w:val="24"/>
                <w:rtl/>
              </w:rPr>
              <w:t xml:space="preserve"> </w:t>
            </w:r>
            <w:r w:rsidR="006E5AFC">
              <w:rPr>
                <w:rFonts w:ascii="David" w:hAnsi="David" w:cs="David" w:hint="cs"/>
                <w:b/>
                <w:bCs/>
                <w:color w:val="000000" w:themeColor="text1"/>
                <w:sz w:val="24"/>
                <w:szCs w:val="24"/>
                <w:rtl/>
              </w:rPr>
              <w:t>2015</w:t>
            </w:r>
            <w:r w:rsidRPr="00926945">
              <w:rPr>
                <w:rFonts w:ascii="David" w:hAnsi="David" w:cs="David"/>
                <w:b/>
                <w:bCs/>
                <w:color w:val="000000" w:themeColor="text1"/>
                <w:sz w:val="24"/>
                <w:szCs w:val="24"/>
                <w:rtl/>
              </w:rPr>
              <w:t>.</w:t>
            </w:r>
          </w:p>
        </w:tc>
      </w:tr>
      <w:tr w:rsidR="002016BD" w:rsidRPr="009327E8" w:rsidTr="00FD4906">
        <w:trPr>
          <w:jc w:val="center"/>
        </w:trPr>
        <w:tc>
          <w:tcPr>
            <w:tcW w:w="7578" w:type="dxa"/>
          </w:tcPr>
          <w:p w:rsidR="002016BD" w:rsidRPr="00B40744" w:rsidRDefault="00FD4906" w:rsidP="00965070">
            <w:pPr>
              <w:spacing w:after="120" w:line="360" w:lineRule="auto"/>
              <w:jc w:val="center"/>
              <w:rPr>
                <w:rFonts w:ascii="David" w:hAnsi="David" w:cs="David"/>
                <w:color w:val="000000" w:themeColor="text1"/>
                <w:sz w:val="24"/>
                <w:szCs w:val="24"/>
                <w:rtl/>
              </w:rPr>
            </w:pPr>
            <w:r>
              <w:rPr>
                <w:noProof/>
              </w:rPr>
              <w:lastRenderedPageBreak/>
              <w:drawing>
                <wp:inline distT="0" distB="0" distL="0" distR="0" wp14:anchorId="671D7E80" wp14:editId="6EB1E80E">
                  <wp:extent cx="4799546" cy="3001993"/>
                  <wp:effectExtent l="0" t="0" r="1270" b="8255"/>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016BD" w:rsidRPr="009327E8" w:rsidTr="002016BD">
        <w:trPr>
          <w:jc w:val="center"/>
        </w:trPr>
        <w:tc>
          <w:tcPr>
            <w:tcW w:w="7578" w:type="dxa"/>
          </w:tcPr>
          <w:p w:rsidR="006E5AFC" w:rsidRPr="006E5AFC" w:rsidRDefault="006E5AFC" w:rsidP="007A0C77">
            <w:pPr>
              <w:jc w:val="both"/>
              <w:rPr>
                <w:rFonts w:ascii="David" w:hAnsi="David" w:cs="David"/>
                <w:noProof/>
                <w:sz w:val="20"/>
                <w:szCs w:val="20"/>
                <w:rtl/>
              </w:rPr>
            </w:pPr>
            <w:r>
              <w:rPr>
                <w:rFonts w:ascii="David" w:hAnsi="David" w:cs="David" w:hint="cs"/>
                <w:noProof/>
                <w:sz w:val="20"/>
                <w:szCs w:val="20"/>
                <w:rtl/>
              </w:rPr>
              <w:t>הערה: מרווח בין</w:t>
            </w:r>
            <w:r w:rsidR="007A0C77">
              <w:rPr>
                <w:rFonts w:ascii="David" w:hAnsi="David" w:cs="David" w:hint="cs"/>
                <w:noProof/>
                <w:sz w:val="20"/>
                <w:szCs w:val="20"/>
                <w:rtl/>
              </w:rPr>
              <w:t xml:space="preserve"> הריבית על פיקדונות קצובים בזמן</w:t>
            </w:r>
            <w:r w:rsidR="007A0C77" w:rsidRPr="006E5AFC">
              <w:rPr>
                <w:rFonts w:ascii="David" w:hAnsi="David" w:cs="David" w:hint="cs"/>
                <w:noProof/>
                <w:sz w:val="20"/>
                <w:szCs w:val="20"/>
                <w:rtl/>
              </w:rPr>
              <w:t xml:space="preserve"> </w:t>
            </w:r>
            <w:r w:rsidR="007A0C77">
              <w:rPr>
                <w:rFonts w:ascii="David" w:hAnsi="David" w:cs="David" w:hint="cs"/>
                <w:noProof/>
                <w:sz w:val="20"/>
                <w:szCs w:val="20"/>
                <w:rtl/>
              </w:rPr>
              <w:t>(</w:t>
            </w:r>
            <w:r w:rsidR="007A0C77" w:rsidRPr="006E5AFC">
              <w:rPr>
                <w:rFonts w:ascii="David" w:hAnsi="David" w:cs="David" w:hint="cs"/>
                <w:noProof/>
                <w:sz w:val="20"/>
                <w:szCs w:val="20"/>
                <w:rtl/>
              </w:rPr>
              <w:t>פז"ק</w:t>
            </w:r>
            <w:r w:rsidR="007A0C77">
              <w:rPr>
                <w:rFonts w:ascii="David" w:hAnsi="David" w:cs="David" w:hint="cs"/>
                <w:noProof/>
                <w:sz w:val="20"/>
                <w:szCs w:val="20"/>
                <w:rtl/>
              </w:rPr>
              <w:t xml:space="preserve">) </w:t>
            </w:r>
            <w:r w:rsidR="007A0C77" w:rsidRPr="006E5AFC">
              <w:rPr>
                <w:rFonts w:ascii="David" w:hAnsi="David" w:cs="David" w:hint="cs"/>
                <w:noProof/>
                <w:sz w:val="20"/>
                <w:szCs w:val="20"/>
                <w:rtl/>
              </w:rPr>
              <w:t>לכלל הציבור</w:t>
            </w:r>
            <w:r w:rsidRPr="006E5AFC">
              <w:rPr>
                <w:rFonts w:ascii="David" w:hAnsi="David" w:cs="David" w:hint="cs"/>
                <w:noProof/>
                <w:sz w:val="20"/>
                <w:szCs w:val="20"/>
                <w:rtl/>
              </w:rPr>
              <w:t xml:space="preserve"> </w:t>
            </w:r>
            <w:r w:rsidR="007A0C77">
              <w:rPr>
                <w:rFonts w:ascii="David" w:hAnsi="David" w:cs="David" w:hint="cs"/>
                <w:noProof/>
                <w:sz w:val="20"/>
                <w:szCs w:val="20"/>
                <w:rtl/>
              </w:rPr>
              <w:t>ו</w:t>
            </w:r>
            <w:r>
              <w:rPr>
                <w:rFonts w:ascii="David" w:hAnsi="David" w:cs="David" w:hint="cs"/>
                <w:noProof/>
                <w:sz w:val="20"/>
                <w:szCs w:val="20"/>
                <w:rtl/>
              </w:rPr>
              <w:t>ריבית בנק ישרא</w:t>
            </w:r>
            <w:r w:rsidR="00C9453D">
              <w:rPr>
                <w:rFonts w:ascii="David" w:hAnsi="David" w:cs="David" w:hint="cs"/>
                <w:noProof/>
                <w:sz w:val="20"/>
                <w:szCs w:val="20"/>
                <w:rtl/>
              </w:rPr>
              <w:t>ל</w:t>
            </w:r>
            <w:r>
              <w:rPr>
                <w:rFonts w:ascii="David" w:hAnsi="David" w:cs="David" w:hint="cs"/>
                <w:noProof/>
                <w:sz w:val="20"/>
                <w:szCs w:val="20"/>
                <w:rtl/>
              </w:rPr>
              <w:t xml:space="preserve"> (ממוצע חודשי)</w:t>
            </w:r>
            <w:r w:rsidRPr="006E5AFC">
              <w:rPr>
                <w:rFonts w:ascii="David" w:hAnsi="David" w:cs="David" w:hint="cs"/>
                <w:noProof/>
                <w:sz w:val="20"/>
                <w:szCs w:val="20"/>
                <w:rtl/>
              </w:rPr>
              <w:t xml:space="preserve">, </w:t>
            </w:r>
            <w:r w:rsidRPr="006E5AFC">
              <w:rPr>
                <w:rFonts w:ascii="David" w:hAnsi="David" w:cs="David"/>
                <w:noProof/>
                <w:sz w:val="20"/>
                <w:szCs w:val="20"/>
                <w:rtl/>
              </w:rPr>
              <w:t>מגזר לא צמוד-קבועה, לחודש עד שלושה חודשי</w:t>
            </w:r>
            <w:r w:rsidRPr="006E5AFC">
              <w:rPr>
                <w:rFonts w:ascii="David" w:hAnsi="David" w:cs="David" w:hint="cs"/>
                <w:noProof/>
                <w:sz w:val="20"/>
                <w:szCs w:val="20"/>
                <w:rtl/>
              </w:rPr>
              <w:t xml:space="preserve">ם, כלל המערכת הבנקאית. </w:t>
            </w:r>
          </w:p>
          <w:p w:rsidR="002016BD" w:rsidRPr="00B40744" w:rsidDel="005443E3" w:rsidRDefault="006E5AFC" w:rsidP="006E5AFC">
            <w:pPr>
              <w:jc w:val="both"/>
              <w:rPr>
                <w:rFonts w:ascii="David" w:hAnsi="David" w:cs="David"/>
                <w:noProof/>
              </w:rPr>
            </w:pPr>
            <w:r w:rsidRPr="006E5AFC">
              <w:rPr>
                <w:rFonts w:ascii="David" w:hAnsi="David" w:cs="David" w:hint="cs"/>
                <w:noProof/>
                <w:sz w:val="20"/>
                <w:szCs w:val="20"/>
                <w:rtl/>
              </w:rPr>
              <w:t>מקור:בנק ישראל</w:t>
            </w:r>
            <w:r w:rsidRPr="00573421">
              <w:rPr>
                <w:rFonts w:ascii="David" w:hAnsi="David" w:cs="David" w:hint="cs"/>
                <w:noProof/>
                <w:sz w:val="20"/>
                <w:szCs w:val="20"/>
                <w:rtl/>
              </w:rPr>
              <w:t xml:space="preserve">  </w:t>
            </w:r>
          </w:p>
        </w:tc>
      </w:tr>
    </w:tbl>
    <w:p w:rsidR="002016BD" w:rsidRPr="002016BD" w:rsidRDefault="002016BD" w:rsidP="002016BD">
      <w:pPr>
        <w:autoSpaceDE w:val="0"/>
        <w:autoSpaceDN w:val="0"/>
        <w:adjustRightInd w:val="0"/>
        <w:spacing w:after="120" w:line="360" w:lineRule="auto"/>
        <w:jc w:val="both"/>
        <w:rPr>
          <w:rFonts w:ascii="David" w:hAnsi="David"/>
          <w:b/>
          <w:bCs/>
          <w:color w:val="000000"/>
        </w:rPr>
      </w:pPr>
    </w:p>
    <w:p w:rsidR="00E514AE" w:rsidRPr="005510BF" w:rsidRDefault="00E514AE" w:rsidP="005510BF">
      <w:pPr>
        <w:pStyle w:val="a3"/>
        <w:numPr>
          <w:ilvl w:val="1"/>
          <w:numId w:val="30"/>
        </w:numPr>
        <w:autoSpaceDE w:val="0"/>
        <w:autoSpaceDN w:val="0"/>
        <w:adjustRightInd w:val="0"/>
        <w:spacing w:after="120" w:line="360" w:lineRule="auto"/>
        <w:jc w:val="both"/>
        <w:rPr>
          <w:rFonts w:ascii="David" w:hAnsi="David"/>
          <w:b/>
          <w:bCs/>
          <w:color w:val="000000"/>
        </w:rPr>
      </w:pPr>
      <w:r w:rsidRPr="005510BF">
        <w:rPr>
          <w:rFonts w:ascii="David" w:hAnsi="David" w:hint="cs"/>
          <w:b/>
          <w:bCs/>
          <w:color w:val="000000"/>
          <w:rtl/>
        </w:rPr>
        <w:t>עודפי נזילות</w:t>
      </w:r>
    </w:p>
    <w:p w:rsidR="00C814B2" w:rsidRDefault="00FD44A1" w:rsidP="00B266DB">
      <w:pPr>
        <w:autoSpaceDE w:val="0"/>
        <w:autoSpaceDN w:val="0"/>
        <w:adjustRightInd w:val="0"/>
        <w:spacing w:after="120" w:line="360" w:lineRule="auto"/>
        <w:jc w:val="both"/>
        <w:rPr>
          <w:rFonts w:ascii="David" w:hAnsi="David"/>
          <w:color w:val="000000"/>
          <w:rtl/>
        </w:rPr>
      </w:pPr>
      <w:r w:rsidRPr="00562011">
        <w:rPr>
          <w:rFonts w:ascii="David" w:hAnsi="David" w:hint="cs"/>
          <w:color w:val="000000"/>
          <w:rtl/>
        </w:rPr>
        <w:t xml:space="preserve">הגידול </w:t>
      </w:r>
      <w:r w:rsidR="00B266DB">
        <w:rPr>
          <w:rFonts w:ascii="David" w:hAnsi="David" w:hint="cs"/>
          <w:color w:val="000000"/>
          <w:rtl/>
        </w:rPr>
        <w:t>של מאזני</w:t>
      </w:r>
      <w:r w:rsidRPr="00562011">
        <w:rPr>
          <w:rFonts w:ascii="David" w:hAnsi="David" w:hint="cs"/>
          <w:color w:val="000000"/>
          <w:rtl/>
        </w:rPr>
        <w:t xml:space="preserve"> הבנקים המרכזיים מאז 2008 (וביתר שאת על רקע משבר הקורונה)</w:t>
      </w:r>
      <w:r w:rsidR="00C67383">
        <w:rPr>
          <w:rFonts w:ascii="David" w:hAnsi="David" w:hint="cs"/>
          <w:color w:val="000000"/>
          <w:rtl/>
        </w:rPr>
        <w:t>,</w:t>
      </w:r>
      <w:r w:rsidRPr="00562011">
        <w:rPr>
          <w:rFonts w:ascii="David" w:hAnsi="David" w:hint="cs"/>
          <w:color w:val="000000"/>
          <w:rtl/>
        </w:rPr>
        <w:t xml:space="preserve"> </w:t>
      </w:r>
      <w:r w:rsidR="00584CC7">
        <w:rPr>
          <w:rFonts w:ascii="David" w:hAnsi="David" w:hint="cs"/>
          <w:color w:val="000000"/>
          <w:rtl/>
        </w:rPr>
        <w:t>ב</w:t>
      </w:r>
      <w:r w:rsidR="00562011">
        <w:rPr>
          <w:rFonts w:ascii="David" w:hAnsi="David" w:hint="cs"/>
          <w:color w:val="000000"/>
          <w:rtl/>
        </w:rPr>
        <w:t>תקופה ארוכה של ריביות אפסיות</w:t>
      </w:r>
      <w:r w:rsidR="00C67383">
        <w:rPr>
          <w:rFonts w:ascii="David" w:hAnsi="David" w:hint="cs"/>
          <w:color w:val="000000"/>
          <w:rtl/>
        </w:rPr>
        <w:t>,</w:t>
      </w:r>
      <w:r w:rsidR="00562011">
        <w:rPr>
          <w:rFonts w:ascii="David" w:hAnsi="David" w:hint="cs"/>
          <w:color w:val="000000"/>
          <w:rtl/>
        </w:rPr>
        <w:t xml:space="preserve"> </w:t>
      </w:r>
      <w:r w:rsidRPr="00562011">
        <w:rPr>
          <w:rFonts w:ascii="David" w:hAnsi="David" w:hint="cs"/>
          <w:color w:val="000000"/>
          <w:rtl/>
        </w:rPr>
        <w:t xml:space="preserve">הביא לגידול משמעותי </w:t>
      </w:r>
      <w:r w:rsidR="00B266DB">
        <w:rPr>
          <w:rFonts w:ascii="David" w:hAnsi="David" w:hint="cs"/>
          <w:color w:val="000000"/>
          <w:rtl/>
        </w:rPr>
        <w:t>של כמות הרזרבות המוחזקות ב</w:t>
      </w:r>
      <w:r w:rsidRPr="00562011">
        <w:rPr>
          <w:rFonts w:ascii="David" w:hAnsi="David" w:hint="cs"/>
          <w:color w:val="000000"/>
          <w:rtl/>
        </w:rPr>
        <w:t>ידי הבנקים המסחריים</w:t>
      </w:r>
      <w:r w:rsidR="00F62D10">
        <w:rPr>
          <w:rFonts w:ascii="David" w:hAnsi="David" w:hint="cs"/>
          <w:color w:val="000000"/>
          <w:rtl/>
        </w:rPr>
        <w:t>. לדוגמה</w:t>
      </w:r>
      <w:r w:rsidR="0001618E">
        <w:rPr>
          <w:rFonts w:ascii="David" w:hAnsi="David" w:hint="cs"/>
          <w:color w:val="000000"/>
          <w:rtl/>
        </w:rPr>
        <w:t>,</w:t>
      </w:r>
      <w:r w:rsidR="00F62D10">
        <w:rPr>
          <w:rFonts w:ascii="David" w:hAnsi="David" w:hint="cs"/>
          <w:color w:val="000000"/>
          <w:rtl/>
        </w:rPr>
        <w:t xml:space="preserve"> איור </w:t>
      </w:r>
      <w:r w:rsidR="00BE313C">
        <w:rPr>
          <w:rFonts w:ascii="David" w:hAnsi="David" w:hint="cs"/>
          <w:color w:val="000000"/>
          <w:rtl/>
        </w:rPr>
        <w:t xml:space="preserve">5 </w:t>
      </w:r>
      <w:r w:rsidR="00F62D10">
        <w:rPr>
          <w:rFonts w:ascii="David" w:hAnsi="David" w:hint="cs"/>
          <w:color w:val="000000"/>
          <w:rtl/>
        </w:rPr>
        <w:t>מציג את היחס בין כמות המזומן ופיקדונות הבנקים בבנק ישראל לבין סך ה</w:t>
      </w:r>
      <w:r w:rsidR="00B266DB">
        <w:rPr>
          <w:rFonts w:ascii="David" w:hAnsi="David" w:hint="cs"/>
          <w:color w:val="000000"/>
          <w:rtl/>
        </w:rPr>
        <w:t>נכסים של כלל המערכת הבנקאית מ</w:t>
      </w:r>
      <w:r w:rsidR="00F62D10">
        <w:rPr>
          <w:rFonts w:ascii="David" w:hAnsi="David" w:hint="cs"/>
          <w:color w:val="000000"/>
          <w:rtl/>
        </w:rPr>
        <w:t>הרבעון הראשון של 200</w:t>
      </w:r>
      <w:r w:rsidR="005E468F">
        <w:rPr>
          <w:rFonts w:ascii="David" w:hAnsi="David" w:hint="cs"/>
          <w:color w:val="000000"/>
          <w:rtl/>
        </w:rPr>
        <w:t>2</w:t>
      </w:r>
      <w:r w:rsidR="00F62D10">
        <w:rPr>
          <w:rFonts w:ascii="David" w:hAnsi="David" w:hint="cs"/>
          <w:color w:val="000000"/>
          <w:rtl/>
        </w:rPr>
        <w:t xml:space="preserve"> ועד הרבעון </w:t>
      </w:r>
      <w:r w:rsidR="005E468F">
        <w:rPr>
          <w:rFonts w:ascii="David" w:hAnsi="David" w:hint="cs"/>
          <w:color w:val="000000"/>
          <w:rtl/>
        </w:rPr>
        <w:t>השלישי</w:t>
      </w:r>
      <w:r w:rsidR="00F62D10">
        <w:rPr>
          <w:rFonts w:ascii="David" w:hAnsi="David" w:hint="cs"/>
          <w:color w:val="000000"/>
          <w:rtl/>
        </w:rPr>
        <w:t xml:space="preserve"> של 2022.</w:t>
      </w:r>
      <w:r w:rsidR="005E468F">
        <w:rPr>
          <w:rFonts w:ascii="David" w:hAnsi="David" w:hint="cs"/>
          <w:color w:val="000000"/>
          <w:rtl/>
        </w:rPr>
        <w:t xml:space="preserve"> </w:t>
      </w:r>
    </w:p>
    <w:p w:rsidR="007B0B46" w:rsidRDefault="005E468F" w:rsidP="00AC31B9">
      <w:pPr>
        <w:autoSpaceDE w:val="0"/>
        <w:autoSpaceDN w:val="0"/>
        <w:adjustRightInd w:val="0"/>
        <w:spacing w:after="120" w:line="360" w:lineRule="auto"/>
        <w:jc w:val="both"/>
        <w:rPr>
          <w:rFonts w:ascii="David" w:hAnsi="David"/>
          <w:color w:val="000000"/>
          <w:rtl/>
        </w:rPr>
      </w:pPr>
      <w:r>
        <w:rPr>
          <w:rFonts w:ascii="David" w:hAnsi="David" w:hint="cs"/>
          <w:color w:val="000000"/>
          <w:rtl/>
        </w:rPr>
        <w:t>עודפי הנזילות הגדולים יכולים לפעול להקטנת</w:t>
      </w:r>
      <w:r>
        <w:rPr>
          <w:rFonts w:ascii="David" w:hAnsi="David"/>
          <w:color w:val="000000"/>
          <w:rtl/>
        </w:rPr>
        <w:t xml:space="preserve"> </w:t>
      </w:r>
      <w:r w:rsidR="00C814B2" w:rsidRPr="0001618E">
        <w:rPr>
          <w:rFonts w:ascii="David" w:hAnsi="David"/>
          <w:color w:val="000000"/>
          <w:rtl/>
        </w:rPr>
        <w:t xml:space="preserve">הביקוש של </w:t>
      </w:r>
      <w:r w:rsidR="00584CC7" w:rsidRPr="00744FC4">
        <w:rPr>
          <w:rFonts w:ascii="David" w:hAnsi="David" w:hint="cs"/>
          <w:color w:val="000000"/>
          <w:rtl/>
        </w:rPr>
        <w:t>ה</w:t>
      </w:r>
      <w:r w:rsidR="00C814B2" w:rsidRPr="00744FC4">
        <w:rPr>
          <w:rFonts w:ascii="David" w:hAnsi="David"/>
          <w:color w:val="000000"/>
          <w:rtl/>
        </w:rPr>
        <w:t xml:space="preserve">תאגידים </w:t>
      </w:r>
      <w:r w:rsidR="00584CC7" w:rsidRPr="00744FC4">
        <w:rPr>
          <w:rFonts w:ascii="David" w:hAnsi="David" w:hint="cs"/>
          <w:color w:val="000000"/>
          <w:rtl/>
        </w:rPr>
        <w:t>ה</w:t>
      </w:r>
      <w:r w:rsidR="00C814B2" w:rsidRPr="00744FC4">
        <w:rPr>
          <w:rFonts w:ascii="David" w:hAnsi="David"/>
          <w:color w:val="000000"/>
          <w:rtl/>
        </w:rPr>
        <w:t>בנקאיים לפיקדונות</w:t>
      </w:r>
      <w:r w:rsidR="00584CC7" w:rsidRPr="00744FC4">
        <w:rPr>
          <w:rFonts w:ascii="David" w:hAnsi="David" w:hint="cs"/>
          <w:color w:val="000000"/>
          <w:rtl/>
        </w:rPr>
        <w:t>,</w:t>
      </w:r>
      <w:r w:rsidR="00C814B2" w:rsidRPr="00744FC4">
        <w:rPr>
          <w:rFonts w:ascii="David" w:hAnsi="David"/>
          <w:color w:val="000000"/>
          <w:rtl/>
        </w:rPr>
        <w:t xml:space="preserve"> ובכך </w:t>
      </w:r>
      <w:r w:rsidRPr="00744FC4">
        <w:rPr>
          <w:rFonts w:ascii="David" w:hAnsi="David" w:hint="cs"/>
          <w:color w:val="000000"/>
          <w:rtl/>
        </w:rPr>
        <w:t>להחליש</w:t>
      </w:r>
      <w:r w:rsidR="00C814B2" w:rsidRPr="00744FC4">
        <w:rPr>
          <w:rFonts w:ascii="David" w:hAnsi="David"/>
          <w:color w:val="000000"/>
          <w:rtl/>
        </w:rPr>
        <w:t xml:space="preserve"> את התמסורת </w:t>
      </w:r>
      <w:r w:rsidR="00584CC7" w:rsidRPr="00744FC4">
        <w:rPr>
          <w:rFonts w:ascii="David" w:hAnsi="David" w:hint="cs"/>
          <w:color w:val="000000"/>
          <w:rtl/>
        </w:rPr>
        <w:t>מ</w:t>
      </w:r>
      <w:r w:rsidR="00C814B2" w:rsidRPr="00744FC4">
        <w:rPr>
          <w:rFonts w:ascii="David" w:hAnsi="David"/>
          <w:color w:val="000000"/>
          <w:rtl/>
        </w:rPr>
        <w:t>רי</w:t>
      </w:r>
      <w:r w:rsidR="00BB6C3D" w:rsidRPr="00744FC4">
        <w:rPr>
          <w:rFonts w:ascii="David" w:hAnsi="David"/>
          <w:color w:val="000000"/>
          <w:rtl/>
        </w:rPr>
        <w:t xml:space="preserve">בית הבנק המרכזי </w:t>
      </w:r>
      <w:r w:rsidR="00584CC7" w:rsidRPr="00744FC4">
        <w:rPr>
          <w:rFonts w:ascii="David" w:hAnsi="David" w:hint="cs"/>
          <w:color w:val="000000"/>
          <w:rtl/>
        </w:rPr>
        <w:t>ל</w:t>
      </w:r>
      <w:r w:rsidR="00584CC7" w:rsidRPr="00744FC4">
        <w:rPr>
          <w:rFonts w:ascii="David" w:hAnsi="David"/>
          <w:color w:val="000000"/>
          <w:rtl/>
        </w:rPr>
        <w:t xml:space="preserve">ריבית </w:t>
      </w:r>
      <w:r w:rsidR="00BB6C3D" w:rsidRPr="00744FC4">
        <w:rPr>
          <w:rFonts w:ascii="David" w:hAnsi="David" w:hint="cs"/>
          <w:color w:val="000000"/>
          <w:rtl/>
        </w:rPr>
        <w:t>הפיקדונו</w:t>
      </w:r>
      <w:r w:rsidR="00BB6C3D" w:rsidRPr="00744FC4">
        <w:rPr>
          <w:rFonts w:ascii="David" w:hAnsi="David" w:hint="eastAsia"/>
          <w:color w:val="000000"/>
          <w:rtl/>
        </w:rPr>
        <w:t>ת</w:t>
      </w:r>
      <w:r w:rsidR="00584CC7" w:rsidRPr="00744FC4">
        <w:rPr>
          <w:rFonts w:ascii="David" w:hAnsi="David" w:hint="cs"/>
          <w:color w:val="000000"/>
          <w:rtl/>
        </w:rPr>
        <w:t xml:space="preserve">. </w:t>
      </w:r>
      <w:r w:rsidR="00584CC7" w:rsidRPr="00744FC4">
        <w:rPr>
          <w:rFonts w:ascii="David" w:hAnsi="David" w:hint="eastAsia"/>
          <w:color w:val="000000"/>
          <w:rtl/>
        </w:rPr>
        <w:t>הדבר</w:t>
      </w:r>
      <w:r w:rsidR="00584CC7" w:rsidRPr="00744FC4">
        <w:rPr>
          <w:rFonts w:ascii="David" w:hAnsi="David"/>
          <w:color w:val="000000"/>
          <w:rtl/>
        </w:rPr>
        <w:t xml:space="preserve"> </w:t>
      </w:r>
      <w:r w:rsidR="00584CC7" w:rsidRPr="00744FC4">
        <w:rPr>
          <w:rFonts w:ascii="David" w:hAnsi="David" w:hint="eastAsia"/>
          <w:color w:val="000000"/>
          <w:rtl/>
        </w:rPr>
        <w:t>בלט</w:t>
      </w:r>
      <w:r w:rsidRPr="00744FC4">
        <w:rPr>
          <w:rFonts w:ascii="David" w:hAnsi="David" w:hint="cs"/>
          <w:color w:val="000000"/>
          <w:rtl/>
        </w:rPr>
        <w:t xml:space="preserve"> בתחילת סבב עליות הריבית</w:t>
      </w:r>
      <w:r w:rsidR="00BB6C3D" w:rsidRPr="00744FC4">
        <w:rPr>
          <w:rFonts w:ascii="David" w:hAnsi="David" w:hint="cs"/>
          <w:color w:val="000000"/>
          <w:rtl/>
        </w:rPr>
        <w:t xml:space="preserve"> הנוכחי</w:t>
      </w:r>
      <w:r w:rsidR="00584CC7" w:rsidRPr="00744FC4">
        <w:rPr>
          <w:rFonts w:ascii="David" w:hAnsi="David" w:hint="cs"/>
          <w:color w:val="000000"/>
          <w:rtl/>
        </w:rPr>
        <w:t>,</w:t>
      </w:r>
      <w:r w:rsidRPr="00744FC4">
        <w:rPr>
          <w:rFonts w:ascii="David" w:hAnsi="David" w:hint="cs"/>
          <w:color w:val="000000"/>
          <w:rtl/>
        </w:rPr>
        <w:t xml:space="preserve"> </w:t>
      </w:r>
      <w:r w:rsidR="00584CC7" w:rsidRPr="00744FC4">
        <w:rPr>
          <w:rFonts w:ascii="David" w:hAnsi="David" w:hint="cs"/>
          <w:color w:val="000000"/>
          <w:rtl/>
        </w:rPr>
        <w:t>כש</w:t>
      </w:r>
      <w:r w:rsidRPr="00744FC4">
        <w:rPr>
          <w:rFonts w:ascii="David" w:hAnsi="David" w:hint="cs"/>
          <w:color w:val="000000"/>
          <w:rtl/>
        </w:rPr>
        <w:t>הנזילות הייתה בשיא</w:t>
      </w:r>
      <w:r w:rsidR="00C814B2" w:rsidRPr="00744FC4">
        <w:rPr>
          <w:rFonts w:ascii="David" w:hAnsi="David"/>
          <w:color w:val="000000"/>
          <w:rtl/>
        </w:rPr>
        <w:t>.</w:t>
      </w:r>
      <w:r w:rsidRPr="00744FC4">
        <w:rPr>
          <w:rFonts w:ascii="David" w:hAnsi="David" w:hint="cs"/>
          <w:color w:val="000000"/>
          <w:rtl/>
        </w:rPr>
        <w:t xml:space="preserve"> ניתן לראות</w:t>
      </w:r>
      <w:r w:rsidR="00BB6C3D" w:rsidRPr="00744FC4">
        <w:rPr>
          <w:rFonts w:ascii="David" w:hAnsi="David" w:hint="cs"/>
          <w:color w:val="000000"/>
          <w:rtl/>
        </w:rPr>
        <w:t xml:space="preserve"> באיור</w:t>
      </w:r>
      <w:r w:rsidRPr="00744FC4">
        <w:rPr>
          <w:rFonts w:ascii="David" w:hAnsi="David" w:hint="cs"/>
          <w:color w:val="000000"/>
          <w:rtl/>
        </w:rPr>
        <w:t xml:space="preserve"> </w:t>
      </w:r>
      <w:r w:rsidR="00584CC7" w:rsidRPr="00744FC4">
        <w:rPr>
          <w:rFonts w:ascii="David" w:hAnsi="David" w:hint="cs"/>
          <w:color w:val="000000"/>
          <w:rtl/>
        </w:rPr>
        <w:t xml:space="preserve">גם </w:t>
      </w:r>
      <w:r w:rsidRPr="00744FC4">
        <w:rPr>
          <w:rFonts w:ascii="David" w:hAnsi="David" w:hint="cs"/>
          <w:color w:val="000000"/>
          <w:rtl/>
        </w:rPr>
        <w:t xml:space="preserve">את הירידה </w:t>
      </w:r>
      <w:r w:rsidR="00584CC7" w:rsidRPr="00744FC4">
        <w:rPr>
          <w:rFonts w:ascii="David" w:hAnsi="David" w:hint="cs"/>
          <w:color w:val="000000"/>
          <w:rtl/>
        </w:rPr>
        <w:t xml:space="preserve">של שיעור </w:t>
      </w:r>
      <w:r w:rsidR="00B36885" w:rsidRPr="00744FC4">
        <w:rPr>
          <w:rFonts w:ascii="David" w:hAnsi="David" w:hint="cs"/>
          <w:color w:val="000000"/>
          <w:rtl/>
        </w:rPr>
        <w:t xml:space="preserve">הנזילות </w:t>
      </w:r>
      <w:r w:rsidRPr="00744FC4">
        <w:rPr>
          <w:rFonts w:ascii="David" w:hAnsi="David" w:hint="cs"/>
          <w:color w:val="000000"/>
          <w:rtl/>
        </w:rPr>
        <w:t>במהלך 2022 על רקע עליית הריבית והצמצום המוניטרי</w:t>
      </w:r>
      <w:r w:rsidR="00410C04" w:rsidRPr="00744FC4">
        <w:rPr>
          <w:rFonts w:ascii="David" w:hAnsi="David" w:hint="cs"/>
          <w:color w:val="000000"/>
          <w:rtl/>
        </w:rPr>
        <w:t>.</w:t>
      </w:r>
      <w:r w:rsidR="00410C04" w:rsidRPr="00744FC4">
        <w:rPr>
          <w:rFonts w:ascii="David" w:hAnsi="David"/>
          <w:color w:val="000000"/>
          <w:vertAlign w:val="superscript"/>
          <w:rtl/>
        </w:rPr>
        <w:footnoteReference w:id="6"/>
      </w:r>
      <w:r w:rsidR="000C5A58" w:rsidRPr="00744FC4">
        <w:rPr>
          <w:rFonts w:ascii="David" w:hAnsi="David" w:hint="cs"/>
          <w:color w:val="000000"/>
          <w:rtl/>
        </w:rPr>
        <w:t xml:space="preserve"> הירידה בעודפי הנזילות במהלך 2022 באה לידי ביטוי גם בשחיקה של </w:t>
      </w:r>
      <w:r w:rsidR="000C5A58" w:rsidRPr="00744FC4">
        <w:rPr>
          <w:rFonts w:ascii="David" w:hAnsi="David"/>
          <w:color w:val="000000"/>
          <w:rtl/>
        </w:rPr>
        <w:t>יחס כיסוי הנזילות של מערכת הבנקאות</w:t>
      </w:r>
      <w:r w:rsidR="000C5A58" w:rsidRPr="00744FC4">
        <w:rPr>
          <w:rFonts w:ascii="David" w:hAnsi="David" w:hint="cs"/>
          <w:color w:val="000000"/>
          <w:rtl/>
        </w:rPr>
        <w:t xml:space="preserve"> אשר </w:t>
      </w:r>
      <w:r w:rsidR="000C5A58" w:rsidRPr="00744FC4">
        <w:rPr>
          <w:rFonts w:ascii="David" w:hAnsi="David"/>
          <w:color w:val="000000"/>
          <w:rtl/>
        </w:rPr>
        <w:t>חזר</w:t>
      </w:r>
      <w:r w:rsidR="000C5A58" w:rsidRPr="00744FC4">
        <w:rPr>
          <w:rFonts w:ascii="David" w:hAnsi="David" w:hint="cs"/>
          <w:color w:val="000000"/>
          <w:rtl/>
        </w:rPr>
        <w:t xml:space="preserve"> במחצית השניי</w:t>
      </w:r>
      <w:r w:rsidR="000C5A58" w:rsidRPr="00744FC4">
        <w:rPr>
          <w:rFonts w:ascii="David" w:hAnsi="David" w:hint="eastAsia"/>
          <w:color w:val="000000"/>
          <w:rtl/>
        </w:rPr>
        <w:t>ה</w:t>
      </w:r>
      <w:r w:rsidR="000C5A58" w:rsidRPr="00744FC4">
        <w:rPr>
          <w:rFonts w:ascii="David" w:hAnsi="David" w:hint="cs"/>
          <w:color w:val="000000"/>
          <w:rtl/>
        </w:rPr>
        <w:t xml:space="preserve"> של 2022</w:t>
      </w:r>
      <w:r w:rsidR="000C5A58" w:rsidRPr="00744FC4">
        <w:rPr>
          <w:rFonts w:ascii="David" w:hAnsi="David"/>
          <w:color w:val="000000"/>
          <w:rtl/>
        </w:rPr>
        <w:t xml:space="preserve"> לרמה דומה לזו שנרשמה טרום משבר הקורונה</w:t>
      </w:r>
      <w:r w:rsidR="000C5A58" w:rsidRPr="00744FC4">
        <w:rPr>
          <w:rFonts w:ascii="David" w:hAnsi="David" w:hint="cs"/>
          <w:color w:val="000000"/>
          <w:rtl/>
        </w:rPr>
        <w:t>.</w:t>
      </w:r>
      <w:r w:rsidR="000C5A58" w:rsidRPr="00744FC4">
        <w:rPr>
          <w:rStyle w:val="a8"/>
          <w:rFonts w:ascii="David" w:hAnsi="David"/>
          <w:color w:val="000000"/>
          <w:rtl/>
        </w:rPr>
        <w:footnoteReference w:id="7"/>
      </w:r>
      <w:r w:rsidR="000C5A58" w:rsidRPr="00744FC4">
        <w:rPr>
          <w:rFonts w:ascii="David" w:hAnsi="David" w:hint="cs"/>
          <w:color w:val="000000"/>
          <w:rtl/>
        </w:rPr>
        <w:t xml:space="preserve"> אמנם שיעור הרזרבות עדיין גבוה בפרספקטיבה היסטורית אך ייתכן כי תהליך צמצום הנזילות המהיר</w:t>
      </w:r>
      <w:r w:rsidR="000C5A58">
        <w:rPr>
          <w:rFonts w:ascii="David" w:hAnsi="David" w:hint="cs"/>
          <w:color w:val="000000"/>
          <w:rtl/>
        </w:rPr>
        <w:t xml:space="preserve"> והחזרה של חלק מיחסי הנזילות הרגולטורים לרמות של טרום המשבר היו בין הגורמים להתחזקות התמסורת במהלך השנה.</w:t>
      </w:r>
      <w:r>
        <w:rPr>
          <w:rFonts w:ascii="David" w:hAnsi="David" w:hint="cs"/>
          <w:color w:val="000000"/>
          <w:rtl/>
        </w:rPr>
        <w:t xml:space="preserve"> </w:t>
      </w:r>
    </w:p>
    <w:tbl>
      <w:tblPr>
        <w:tblStyle w:val="2"/>
        <w:bidiVisual/>
        <w:tblW w:w="4567" w:type="pct"/>
        <w:tblLook w:val="04A0" w:firstRow="1" w:lastRow="0" w:firstColumn="1" w:lastColumn="0" w:noHBand="0" w:noVBand="1"/>
      </w:tblPr>
      <w:tblGrid>
        <w:gridCol w:w="7959"/>
      </w:tblGrid>
      <w:tr w:rsidR="0018252B" w:rsidRPr="009327E8" w:rsidTr="00507B8D">
        <w:tc>
          <w:tcPr>
            <w:tcW w:w="7578" w:type="dxa"/>
            <w:tcBorders>
              <w:bottom w:val="single" w:sz="4" w:space="0" w:color="auto"/>
            </w:tcBorders>
          </w:tcPr>
          <w:p w:rsidR="0018252B" w:rsidRPr="009327E8" w:rsidRDefault="0018252B" w:rsidP="00B40744">
            <w:pPr>
              <w:spacing w:line="360" w:lineRule="auto"/>
              <w:jc w:val="center"/>
              <w:rPr>
                <w:rFonts w:ascii="David" w:hAnsi="David" w:cs="David"/>
                <w:b/>
                <w:bCs/>
                <w:color w:val="000000" w:themeColor="text1"/>
                <w:sz w:val="24"/>
                <w:szCs w:val="24"/>
                <w:rtl/>
              </w:rPr>
            </w:pPr>
            <w:r w:rsidRPr="00B40744">
              <w:rPr>
                <w:rFonts w:ascii="David" w:hAnsi="David" w:cs="David" w:hint="eastAsia"/>
                <w:b/>
                <w:bCs/>
                <w:color w:val="000000" w:themeColor="text1"/>
                <w:sz w:val="24"/>
                <w:szCs w:val="24"/>
                <w:rtl/>
              </w:rPr>
              <w:t>איור</w:t>
            </w:r>
            <w:r w:rsidR="003B5E5E">
              <w:rPr>
                <w:rFonts w:ascii="David" w:hAnsi="David" w:cs="David" w:hint="cs"/>
                <w:b/>
                <w:bCs/>
                <w:color w:val="000000" w:themeColor="text1"/>
                <w:sz w:val="24"/>
                <w:szCs w:val="24"/>
                <w:rtl/>
              </w:rPr>
              <w:t xml:space="preserve"> 5</w:t>
            </w:r>
            <w:r w:rsidRPr="00B40744">
              <w:rPr>
                <w:rFonts w:ascii="David" w:hAnsi="David" w:cs="David"/>
                <w:b/>
                <w:bCs/>
                <w:color w:val="000000" w:themeColor="text1"/>
                <w:sz w:val="24"/>
                <w:szCs w:val="24"/>
                <w:rtl/>
              </w:rPr>
              <w:t>: שיעור מזו</w:t>
            </w:r>
            <w:r w:rsidR="0019483D" w:rsidRPr="00B40744">
              <w:rPr>
                <w:rFonts w:ascii="David" w:hAnsi="David" w:cs="David"/>
                <w:b/>
                <w:bCs/>
                <w:color w:val="000000" w:themeColor="text1"/>
                <w:sz w:val="24"/>
                <w:szCs w:val="24"/>
                <w:rtl/>
              </w:rPr>
              <w:t>מן ופיקדונות הבנקים מסך הנכסים</w:t>
            </w:r>
            <w:r w:rsidRPr="00B40744">
              <w:rPr>
                <w:rFonts w:ascii="David" w:hAnsi="David" w:cs="David" w:hint="cs"/>
                <w:b/>
                <w:bCs/>
                <w:color w:val="000000" w:themeColor="text1"/>
                <w:sz w:val="24"/>
                <w:szCs w:val="24"/>
                <w:rtl/>
              </w:rPr>
              <w:t>,</w:t>
            </w:r>
            <w:r w:rsidR="0019483D" w:rsidRPr="00B40744">
              <w:rPr>
                <w:rFonts w:ascii="David" w:hAnsi="David" w:cs="David" w:hint="cs"/>
                <w:b/>
                <w:bCs/>
                <w:color w:val="000000" w:themeColor="text1"/>
                <w:sz w:val="24"/>
                <w:szCs w:val="24"/>
                <w:rtl/>
              </w:rPr>
              <w:t xml:space="preserve"> כלל המערכת הבנקאית,</w:t>
            </w:r>
            <w:r w:rsidRPr="00B40744">
              <w:rPr>
                <w:rFonts w:ascii="David" w:hAnsi="David" w:cs="David"/>
                <w:b/>
                <w:bCs/>
                <w:color w:val="000000" w:themeColor="text1"/>
                <w:sz w:val="24"/>
                <w:szCs w:val="24"/>
                <w:rtl/>
              </w:rPr>
              <w:t xml:space="preserve"> </w:t>
            </w:r>
            <w:r w:rsidRPr="00B40744">
              <w:rPr>
                <w:rFonts w:ascii="David" w:hAnsi="David" w:cs="David" w:hint="cs"/>
                <w:b/>
                <w:bCs/>
                <w:color w:val="000000" w:themeColor="text1"/>
                <w:sz w:val="24"/>
                <w:szCs w:val="24"/>
                <w:rtl/>
              </w:rPr>
              <w:t xml:space="preserve">רבעון </w:t>
            </w:r>
            <w:r w:rsidRPr="00B40744">
              <w:rPr>
                <w:rFonts w:ascii="David" w:hAnsi="David" w:cs="David" w:hint="cs"/>
                <w:b/>
                <w:bCs/>
                <w:color w:val="000000" w:themeColor="text1"/>
                <w:sz w:val="24"/>
                <w:szCs w:val="24"/>
              </w:rPr>
              <w:t>I</w:t>
            </w:r>
            <w:r w:rsidRPr="00B40744">
              <w:rPr>
                <w:rFonts w:ascii="David" w:hAnsi="David" w:cs="David"/>
                <w:b/>
                <w:bCs/>
                <w:color w:val="000000" w:themeColor="text1"/>
                <w:sz w:val="24"/>
                <w:szCs w:val="24"/>
                <w:rtl/>
              </w:rPr>
              <w:t xml:space="preserve"> </w:t>
            </w:r>
            <w:r w:rsidR="00B40744">
              <w:rPr>
                <w:rFonts w:ascii="David" w:hAnsi="David" w:cs="David" w:hint="cs"/>
                <w:b/>
                <w:bCs/>
                <w:color w:val="000000" w:themeColor="text1"/>
                <w:sz w:val="24"/>
                <w:szCs w:val="24"/>
                <w:rtl/>
              </w:rPr>
              <w:t>2002</w:t>
            </w:r>
            <w:r w:rsidRPr="00B40744">
              <w:rPr>
                <w:rFonts w:ascii="David" w:hAnsi="David" w:cs="David"/>
                <w:b/>
                <w:bCs/>
                <w:color w:val="000000" w:themeColor="text1"/>
                <w:sz w:val="24"/>
                <w:szCs w:val="24"/>
                <w:rtl/>
              </w:rPr>
              <w:t xml:space="preserve"> –</w:t>
            </w:r>
            <w:r w:rsidRPr="00B40744">
              <w:rPr>
                <w:rFonts w:ascii="David" w:hAnsi="David" w:cs="David" w:hint="cs"/>
                <w:b/>
                <w:bCs/>
                <w:color w:val="000000" w:themeColor="text1"/>
                <w:sz w:val="24"/>
                <w:szCs w:val="24"/>
                <w:rtl/>
              </w:rPr>
              <w:t xml:space="preserve">רבעון </w:t>
            </w:r>
            <w:r w:rsidR="00B40744">
              <w:rPr>
                <w:rFonts w:ascii="David" w:hAnsi="David" w:cs="David"/>
                <w:b/>
                <w:bCs/>
                <w:color w:val="000000" w:themeColor="text1"/>
                <w:sz w:val="24"/>
                <w:szCs w:val="24"/>
              </w:rPr>
              <w:t>III</w:t>
            </w:r>
            <w:r w:rsidRPr="00B40744">
              <w:rPr>
                <w:rFonts w:ascii="David" w:hAnsi="David" w:cs="David" w:hint="cs"/>
                <w:b/>
                <w:bCs/>
                <w:color w:val="000000" w:themeColor="text1"/>
                <w:sz w:val="24"/>
                <w:szCs w:val="24"/>
                <w:rtl/>
              </w:rPr>
              <w:t xml:space="preserve"> 2022</w:t>
            </w:r>
            <w:r w:rsidRPr="00B40744">
              <w:rPr>
                <w:rFonts w:ascii="David" w:hAnsi="David" w:cs="David"/>
                <w:b/>
                <w:bCs/>
                <w:color w:val="000000" w:themeColor="text1"/>
                <w:sz w:val="24"/>
                <w:szCs w:val="24"/>
                <w:rtl/>
              </w:rPr>
              <w:t>.</w:t>
            </w:r>
          </w:p>
        </w:tc>
      </w:tr>
      <w:tr w:rsidR="00DD3767" w:rsidRPr="009327E8" w:rsidTr="00507B8D">
        <w:tc>
          <w:tcPr>
            <w:tcW w:w="7578" w:type="dxa"/>
            <w:tcBorders>
              <w:top w:val="nil"/>
            </w:tcBorders>
          </w:tcPr>
          <w:p w:rsidR="00DD3767" w:rsidRPr="00B40744" w:rsidRDefault="005E468F" w:rsidP="00B40744">
            <w:pPr>
              <w:spacing w:after="120" w:line="360" w:lineRule="auto"/>
              <w:jc w:val="center"/>
              <w:rPr>
                <w:rFonts w:ascii="David" w:hAnsi="David" w:cs="David"/>
                <w:color w:val="000000" w:themeColor="text1"/>
                <w:sz w:val="24"/>
                <w:szCs w:val="24"/>
                <w:rtl/>
              </w:rPr>
            </w:pPr>
            <w:r>
              <w:rPr>
                <w:rFonts w:ascii="David" w:hAnsi="David"/>
                <w:noProof/>
                <w:color w:val="000000" w:themeColor="text1"/>
              </w:rPr>
              <w:lastRenderedPageBreak/>
              <w:drawing>
                <wp:inline distT="0" distB="0" distL="0" distR="0" wp14:anchorId="40029F17" wp14:editId="0FCA2F90">
                  <wp:extent cx="4917057" cy="2963590"/>
                  <wp:effectExtent l="0" t="0" r="0" b="825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5457" cy="2974680"/>
                          </a:xfrm>
                          <a:prstGeom prst="rect">
                            <a:avLst/>
                          </a:prstGeom>
                          <a:noFill/>
                        </pic:spPr>
                      </pic:pic>
                    </a:graphicData>
                  </a:graphic>
                </wp:inline>
              </w:drawing>
            </w:r>
          </w:p>
        </w:tc>
      </w:tr>
      <w:tr w:rsidR="00DD3767" w:rsidRPr="009327E8" w:rsidTr="00507B8D">
        <w:tc>
          <w:tcPr>
            <w:tcW w:w="7578" w:type="dxa"/>
          </w:tcPr>
          <w:p w:rsidR="0018252B" w:rsidRDefault="0018252B" w:rsidP="0018252B">
            <w:pPr>
              <w:jc w:val="both"/>
              <w:rPr>
                <w:rFonts w:ascii="David" w:hAnsi="David" w:cs="David"/>
                <w:noProof/>
                <w:rtl/>
              </w:rPr>
            </w:pPr>
            <w:r w:rsidRPr="00B40744">
              <w:rPr>
                <w:rFonts w:ascii="David" w:hAnsi="David" w:cs="David" w:hint="cs"/>
                <w:noProof/>
                <w:rtl/>
              </w:rPr>
              <w:t xml:space="preserve">הערה: </w:t>
            </w:r>
            <w:r w:rsidRPr="00B40744">
              <w:rPr>
                <w:rFonts w:ascii="David" w:hAnsi="David" w:cs="David"/>
                <w:noProof/>
                <w:rtl/>
              </w:rPr>
              <w:t xml:space="preserve">נתונים </w:t>
            </w:r>
            <w:r w:rsidRPr="00B40744">
              <w:rPr>
                <w:rFonts w:ascii="David" w:hAnsi="David" w:cs="David" w:hint="cs"/>
                <w:noProof/>
                <w:rtl/>
              </w:rPr>
              <w:t>רבע</w:t>
            </w:r>
            <w:r w:rsidR="00A44DFA">
              <w:rPr>
                <w:rFonts w:ascii="David" w:hAnsi="David" w:cs="David" w:hint="cs"/>
                <w:noProof/>
                <w:rtl/>
              </w:rPr>
              <w:t>ו</w:t>
            </w:r>
            <w:r w:rsidRPr="00B40744">
              <w:rPr>
                <w:rFonts w:ascii="David" w:hAnsi="David" w:cs="David" w:hint="cs"/>
                <w:noProof/>
                <w:rtl/>
              </w:rPr>
              <w:t>ניים</w:t>
            </w:r>
            <w:r w:rsidRPr="00B40744">
              <w:rPr>
                <w:rFonts w:ascii="David" w:hAnsi="David" w:cs="David"/>
                <w:noProof/>
                <w:rtl/>
              </w:rPr>
              <w:t>, דיווחי</w:t>
            </w:r>
            <w:r w:rsidR="00A44DFA">
              <w:rPr>
                <w:rFonts w:ascii="David" w:hAnsi="David" w:cs="David" w:hint="cs"/>
                <w:noProof/>
                <w:rtl/>
              </w:rPr>
              <w:t>ם</w:t>
            </w:r>
            <w:r w:rsidRPr="00B40744">
              <w:rPr>
                <w:rFonts w:ascii="David" w:hAnsi="David" w:cs="David"/>
                <w:noProof/>
                <w:rtl/>
              </w:rPr>
              <w:t xml:space="preserve"> </w:t>
            </w:r>
            <w:r w:rsidRPr="00B40744">
              <w:rPr>
                <w:rFonts w:ascii="David" w:hAnsi="David" w:cs="David" w:hint="cs"/>
                <w:noProof/>
                <w:rtl/>
              </w:rPr>
              <w:t>תקופתיים כלל המערכת הבנקאית</w:t>
            </w:r>
            <w:r w:rsidRPr="00B40744">
              <w:rPr>
                <w:rFonts w:ascii="David" w:hAnsi="David" w:cs="David"/>
                <w:noProof/>
                <w:rtl/>
              </w:rPr>
              <w:t>.</w:t>
            </w:r>
          </w:p>
          <w:p w:rsidR="00B36885" w:rsidRPr="00B40744" w:rsidDel="005443E3" w:rsidRDefault="00B36885" w:rsidP="0018252B">
            <w:pPr>
              <w:jc w:val="both"/>
              <w:rPr>
                <w:rFonts w:ascii="David" w:hAnsi="David" w:cs="David"/>
                <w:noProof/>
              </w:rPr>
            </w:pPr>
            <w:r>
              <w:rPr>
                <w:rFonts w:ascii="David" w:hAnsi="David" w:cs="David" w:hint="cs"/>
                <w:noProof/>
                <w:rtl/>
              </w:rPr>
              <w:t>מקור: בנק ישראל</w:t>
            </w:r>
          </w:p>
        </w:tc>
      </w:tr>
    </w:tbl>
    <w:p w:rsidR="001C1DB3" w:rsidRDefault="001C1DB3" w:rsidP="007E0240">
      <w:pPr>
        <w:autoSpaceDE w:val="0"/>
        <w:autoSpaceDN w:val="0"/>
        <w:adjustRightInd w:val="0"/>
        <w:spacing w:after="120" w:line="360" w:lineRule="auto"/>
        <w:jc w:val="both"/>
        <w:rPr>
          <w:rFonts w:ascii="David" w:hAnsi="David"/>
          <w:color w:val="000000"/>
          <w:rtl/>
        </w:rPr>
      </w:pPr>
    </w:p>
    <w:p w:rsidR="00E514AE" w:rsidRPr="003852F0" w:rsidRDefault="00E514AE" w:rsidP="005510BF">
      <w:pPr>
        <w:pStyle w:val="a3"/>
        <w:numPr>
          <w:ilvl w:val="1"/>
          <w:numId w:val="30"/>
        </w:numPr>
        <w:autoSpaceDE w:val="0"/>
        <w:autoSpaceDN w:val="0"/>
        <w:adjustRightInd w:val="0"/>
        <w:spacing w:after="120" w:line="360" w:lineRule="auto"/>
        <w:jc w:val="both"/>
        <w:rPr>
          <w:rFonts w:ascii="David" w:hAnsi="David"/>
          <w:b/>
          <w:bCs/>
          <w:color w:val="000000"/>
        </w:rPr>
      </w:pPr>
      <w:r>
        <w:rPr>
          <w:rFonts w:ascii="David" w:hAnsi="David" w:hint="cs"/>
          <w:b/>
          <w:bCs/>
          <w:color w:val="000000"/>
          <w:rtl/>
        </w:rPr>
        <w:t>כוח שוק</w:t>
      </w:r>
    </w:p>
    <w:p w:rsidR="00CB380C" w:rsidRDefault="00CB380C" w:rsidP="00A44DFA">
      <w:pPr>
        <w:autoSpaceDE w:val="0"/>
        <w:autoSpaceDN w:val="0"/>
        <w:adjustRightInd w:val="0"/>
        <w:spacing w:after="120" w:line="360" w:lineRule="auto"/>
        <w:jc w:val="both"/>
        <w:rPr>
          <w:rFonts w:ascii="David" w:hAnsi="David"/>
          <w:color w:val="000000"/>
          <w:rtl/>
        </w:rPr>
      </w:pPr>
      <w:r w:rsidRPr="00CB380C">
        <w:rPr>
          <w:rFonts w:ascii="David" w:hAnsi="David"/>
          <w:color w:val="000000"/>
          <w:rtl/>
        </w:rPr>
        <w:t>בנקים עשויים להפיק ערך ממכירת סל</w:t>
      </w:r>
      <w:r w:rsidR="009F55E4">
        <w:rPr>
          <w:rFonts w:ascii="David" w:hAnsi="David"/>
          <w:color w:val="000000"/>
          <w:rtl/>
        </w:rPr>
        <w:t xml:space="preserve"> מוצרים כגון אשראי צרכני ומשכנת</w:t>
      </w:r>
      <w:r w:rsidR="009F55E4">
        <w:rPr>
          <w:rFonts w:ascii="David" w:hAnsi="David" w:hint="cs"/>
          <w:color w:val="000000"/>
          <w:rtl/>
        </w:rPr>
        <w:t>ה</w:t>
      </w:r>
      <w:r w:rsidRPr="00CB380C">
        <w:rPr>
          <w:rFonts w:ascii="David" w:hAnsi="David"/>
          <w:color w:val="000000"/>
          <w:rtl/>
        </w:rPr>
        <w:t xml:space="preserve"> למפק</w:t>
      </w:r>
      <w:r w:rsidR="009F55E4">
        <w:rPr>
          <w:rFonts w:ascii="David" w:hAnsi="David" w:hint="cs"/>
          <w:color w:val="000000"/>
          <w:rtl/>
        </w:rPr>
        <w:t>י</w:t>
      </w:r>
      <w:r w:rsidR="009F55E4">
        <w:rPr>
          <w:rFonts w:ascii="David" w:hAnsi="David"/>
          <w:color w:val="000000"/>
          <w:rtl/>
        </w:rPr>
        <w:t>ד</w:t>
      </w:r>
      <w:r w:rsidR="009F55E4">
        <w:rPr>
          <w:rFonts w:ascii="David" w:hAnsi="David" w:hint="cs"/>
          <w:color w:val="000000"/>
          <w:rtl/>
        </w:rPr>
        <w:t>י</w:t>
      </w:r>
      <w:r w:rsidRPr="00CB380C">
        <w:rPr>
          <w:rFonts w:ascii="David" w:hAnsi="David"/>
          <w:color w:val="000000"/>
          <w:rtl/>
        </w:rPr>
        <w:t>ם</w:t>
      </w:r>
      <w:r w:rsidR="009F55E4">
        <w:rPr>
          <w:rFonts w:ascii="David" w:hAnsi="David" w:hint="cs"/>
          <w:color w:val="000000"/>
          <w:rtl/>
        </w:rPr>
        <w:t xml:space="preserve"> אצלם</w:t>
      </w:r>
      <w:r w:rsidR="009F55E4">
        <w:rPr>
          <w:rFonts w:ascii="David" w:hAnsi="David"/>
          <w:color w:val="000000"/>
          <w:rtl/>
        </w:rPr>
        <w:t xml:space="preserve">. לכן, גם בנקים </w:t>
      </w:r>
      <w:r w:rsidR="009F55E4">
        <w:rPr>
          <w:rFonts w:ascii="David" w:hAnsi="David" w:hint="cs"/>
          <w:color w:val="000000"/>
          <w:rtl/>
        </w:rPr>
        <w:t>הנהנים מ</w:t>
      </w:r>
      <w:r w:rsidR="009F55E4">
        <w:rPr>
          <w:rFonts w:ascii="David" w:hAnsi="David"/>
          <w:color w:val="000000"/>
          <w:rtl/>
        </w:rPr>
        <w:t>כמות מספקת של נכסים נזילים ו</w:t>
      </w:r>
      <w:r w:rsidR="009F55E4">
        <w:rPr>
          <w:rFonts w:ascii="David" w:hAnsi="David" w:hint="cs"/>
          <w:color w:val="000000"/>
          <w:rtl/>
        </w:rPr>
        <w:t>/</w:t>
      </w:r>
      <w:r w:rsidRPr="00CB380C">
        <w:rPr>
          <w:rFonts w:ascii="David" w:hAnsi="David"/>
          <w:color w:val="000000"/>
          <w:rtl/>
        </w:rPr>
        <w:t xml:space="preserve">או </w:t>
      </w:r>
      <w:r w:rsidR="009F55E4">
        <w:rPr>
          <w:rFonts w:ascii="David" w:hAnsi="David" w:hint="cs"/>
          <w:color w:val="000000"/>
          <w:rtl/>
        </w:rPr>
        <w:t>מ</w:t>
      </w:r>
      <w:r w:rsidR="009F55E4">
        <w:rPr>
          <w:rFonts w:ascii="David" w:hAnsi="David"/>
          <w:color w:val="000000"/>
          <w:rtl/>
        </w:rPr>
        <w:t>התחייבויות יציבות</w:t>
      </w:r>
      <w:r w:rsidRPr="00CB380C">
        <w:rPr>
          <w:rFonts w:ascii="David" w:hAnsi="David"/>
          <w:color w:val="000000"/>
          <w:rtl/>
        </w:rPr>
        <w:t xml:space="preserve"> </w:t>
      </w:r>
      <w:r w:rsidR="00A44DFA" w:rsidRPr="00CB380C">
        <w:rPr>
          <w:rFonts w:ascii="David" w:hAnsi="David"/>
          <w:color w:val="000000"/>
          <w:rtl/>
        </w:rPr>
        <w:t>ע</w:t>
      </w:r>
      <w:r w:rsidR="00A44DFA">
        <w:rPr>
          <w:rFonts w:ascii="David" w:hAnsi="David" w:hint="cs"/>
          <w:color w:val="000000"/>
          <w:rtl/>
        </w:rPr>
        <w:t>שויים</w:t>
      </w:r>
      <w:r w:rsidR="00A44DFA" w:rsidRPr="00CB380C">
        <w:rPr>
          <w:rFonts w:ascii="David" w:hAnsi="David"/>
          <w:color w:val="000000"/>
          <w:rtl/>
        </w:rPr>
        <w:t xml:space="preserve"> </w:t>
      </w:r>
      <w:r w:rsidR="009F55E4">
        <w:rPr>
          <w:rFonts w:ascii="David" w:hAnsi="David"/>
          <w:color w:val="000000"/>
          <w:rtl/>
        </w:rPr>
        <w:t>לחשוש ל</w:t>
      </w:r>
      <w:r w:rsidR="009F55E4">
        <w:rPr>
          <w:rFonts w:ascii="David" w:hAnsi="David" w:hint="cs"/>
          <w:color w:val="000000"/>
          <w:rtl/>
        </w:rPr>
        <w:t>מעבר</w:t>
      </w:r>
      <w:r w:rsidR="009F55E4">
        <w:rPr>
          <w:rFonts w:ascii="David" w:hAnsi="David"/>
          <w:color w:val="000000"/>
          <w:rtl/>
        </w:rPr>
        <w:t xml:space="preserve"> לקוחות </w:t>
      </w:r>
      <w:r w:rsidR="009F55E4">
        <w:rPr>
          <w:rFonts w:ascii="David" w:hAnsi="David" w:hint="cs"/>
          <w:color w:val="000000"/>
          <w:rtl/>
        </w:rPr>
        <w:t xml:space="preserve">אל </w:t>
      </w:r>
      <w:r w:rsidR="009F55E4">
        <w:rPr>
          <w:rFonts w:ascii="David" w:hAnsi="David"/>
          <w:color w:val="000000"/>
          <w:rtl/>
        </w:rPr>
        <w:t>בנקים אחרים</w:t>
      </w:r>
      <w:r w:rsidR="009F55E4">
        <w:rPr>
          <w:rFonts w:ascii="David" w:hAnsi="David" w:hint="cs"/>
          <w:color w:val="000000"/>
          <w:rtl/>
        </w:rPr>
        <w:t xml:space="preserve">, </w:t>
      </w:r>
      <w:r w:rsidRPr="00CB380C">
        <w:rPr>
          <w:rFonts w:ascii="David" w:hAnsi="David"/>
          <w:color w:val="000000"/>
          <w:rtl/>
        </w:rPr>
        <w:t>אם ריבית הפיקדונות שלהם נמוכה מדי.</w:t>
      </w:r>
      <w:r>
        <w:rPr>
          <w:rFonts w:ascii="David" w:hAnsi="David" w:hint="cs"/>
          <w:color w:val="000000"/>
          <w:rtl/>
        </w:rPr>
        <w:t xml:space="preserve"> </w:t>
      </w:r>
      <w:r w:rsidR="000409DF">
        <w:rPr>
          <w:rFonts w:ascii="David" w:hAnsi="David" w:hint="cs"/>
          <w:color w:val="000000"/>
          <w:rtl/>
        </w:rPr>
        <w:t>הרצון לשמר את בסיס הלקוח</w:t>
      </w:r>
      <w:r w:rsidR="009F55E4">
        <w:rPr>
          <w:rFonts w:ascii="David" w:hAnsi="David" w:hint="cs"/>
          <w:color w:val="000000"/>
          <w:rtl/>
        </w:rPr>
        <w:t>ות שלהם ו/</w:t>
      </w:r>
      <w:r w:rsidR="000409DF">
        <w:rPr>
          <w:rFonts w:ascii="David" w:hAnsi="David" w:hint="cs"/>
          <w:color w:val="000000"/>
          <w:rtl/>
        </w:rPr>
        <w:t xml:space="preserve">או </w:t>
      </w:r>
      <w:r w:rsidR="00A44DFA">
        <w:rPr>
          <w:rFonts w:ascii="David" w:hAnsi="David" w:hint="cs"/>
          <w:color w:val="000000"/>
          <w:rtl/>
        </w:rPr>
        <w:t xml:space="preserve">למשוך </w:t>
      </w:r>
      <w:r w:rsidR="000409DF">
        <w:rPr>
          <w:rFonts w:ascii="David" w:hAnsi="David" w:hint="cs"/>
          <w:color w:val="000000"/>
          <w:rtl/>
        </w:rPr>
        <w:t>לקוחות חדשים</w:t>
      </w:r>
      <w:r w:rsidR="000E61CE">
        <w:rPr>
          <w:rFonts w:ascii="David" w:hAnsi="David" w:hint="cs"/>
          <w:color w:val="000000"/>
          <w:rtl/>
        </w:rPr>
        <w:t xml:space="preserve"> יכול</w:t>
      </w:r>
      <w:r w:rsidR="009F55E4">
        <w:rPr>
          <w:rFonts w:ascii="David" w:hAnsi="David" w:hint="cs"/>
          <w:color w:val="000000"/>
          <w:rtl/>
        </w:rPr>
        <w:t xml:space="preserve"> אפוא</w:t>
      </w:r>
      <w:r w:rsidR="000E61CE">
        <w:rPr>
          <w:rFonts w:ascii="David" w:hAnsi="David" w:hint="cs"/>
          <w:color w:val="000000"/>
          <w:rtl/>
        </w:rPr>
        <w:t xml:space="preserve"> לתמרץ </w:t>
      </w:r>
      <w:r w:rsidR="00A26DE9">
        <w:rPr>
          <w:rFonts w:ascii="David" w:hAnsi="David" w:hint="cs"/>
          <w:color w:val="000000"/>
          <w:rtl/>
        </w:rPr>
        <w:t>בנקים להציע תנאים משופרים</w:t>
      </w:r>
      <w:r w:rsidR="0080335B">
        <w:rPr>
          <w:rFonts w:ascii="David" w:hAnsi="David" w:hint="cs"/>
          <w:color w:val="000000"/>
          <w:rtl/>
        </w:rPr>
        <w:t>,</w:t>
      </w:r>
      <w:r w:rsidR="00A26DE9">
        <w:rPr>
          <w:rFonts w:ascii="David" w:hAnsi="David" w:hint="cs"/>
          <w:color w:val="000000"/>
          <w:rtl/>
        </w:rPr>
        <w:t xml:space="preserve"> לרבות ריבית פיקדונות אטרקטיבית יותר</w:t>
      </w:r>
      <w:r w:rsidR="000409DF">
        <w:rPr>
          <w:rFonts w:ascii="David" w:hAnsi="David" w:hint="cs"/>
          <w:color w:val="000000"/>
          <w:rtl/>
        </w:rPr>
        <w:t>.</w:t>
      </w:r>
      <w:r w:rsidR="00690AF4">
        <w:rPr>
          <w:rFonts w:ascii="David" w:hAnsi="David" w:hint="cs"/>
          <w:color w:val="000000"/>
          <w:rtl/>
        </w:rPr>
        <w:t xml:space="preserve"> יחד עם זאת,</w:t>
      </w:r>
      <w:r w:rsidR="000409DF">
        <w:rPr>
          <w:rFonts w:ascii="David" w:hAnsi="David" w:hint="cs"/>
          <w:color w:val="000000"/>
          <w:rtl/>
        </w:rPr>
        <w:t xml:space="preserve"> </w:t>
      </w:r>
      <w:r w:rsidR="009F55E4">
        <w:rPr>
          <w:rFonts w:ascii="David" w:hAnsi="David" w:hint="cs"/>
          <w:color w:val="000000"/>
          <w:rtl/>
        </w:rPr>
        <w:t xml:space="preserve">אם </w:t>
      </w:r>
      <w:r w:rsidR="00A26DE9" w:rsidRPr="00A26DE9">
        <w:rPr>
          <w:rFonts w:ascii="David" w:hAnsi="David"/>
          <w:color w:val="000000"/>
          <w:rtl/>
        </w:rPr>
        <w:t xml:space="preserve">עליית </w:t>
      </w:r>
      <w:r w:rsidR="00A26DE9">
        <w:rPr>
          <w:rFonts w:ascii="David" w:hAnsi="David" w:hint="cs"/>
          <w:color w:val="000000"/>
          <w:rtl/>
        </w:rPr>
        <w:t>ריבית הפיקדונות</w:t>
      </w:r>
      <w:r w:rsidR="00A26DE9" w:rsidRPr="00A26DE9">
        <w:rPr>
          <w:rFonts w:ascii="David" w:hAnsi="David"/>
          <w:color w:val="000000"/>
          <w:rtl/>
        </w:rPr>
        <w:t xml:space="preserve"> לא גורמת לשיעורי מעבר גבוהים ערוץ זה ייחלש ובהתאם </w:t>
      </w:r>
      <w:r w:rsidR="009F55E4">
        <w:rPr>
          <w:rFonts w:ascii="David" w:hAnsi="David" w:hint="cs"/>
          <w:color w:val="000000"/>
          <w:rtl/>
        </w:rPr>
        <w:t xml:space="preserve">לכך תיחלש </w:t>
      </w:r>
      <w:r w:rsidR="00A26DE9" w:rsidRPr="00A26DE9">
        <w:rPr>
          <w:rFonts w:ascii="David" w:hAnsi="David"/>
          <w:color w:val="000000"/>
          <w:rtl/>
        </w:rPr>
        <w:t xml:space="preserve">גם התמסורת מריבית הבנק המרכזי לריבית הפיקדונות. </w:t>
      </w:r>
    </w:p>
    <w:p w:rsidR="00BA14C7" w:rsidRDefault="000906B0" w:rsidP="007704F8">
      <w:pPr>
        <w:autoSpaceDE w:val="0"/>
        <w:autoSpaceDN w:val="0"/>
        <w:adjustRightInd w:val="0"/>
        <w:spacing w:after="120" w:line="360" w:lineRule="auto"/>
        <w:jc w:val="both"/>
        <w:rPr>
          <w:rFonts w:ascii="David" w:hAnsi="David"/>
          <w:color w:val="000000"/>
          <w:rtl/>
        </w:rPr>
      </w:pPr>
      <w:r w:rsidRPr="00744FC4">
        <w:rPr>
          <w:rFonts w:ascii="David" w:hAnsi="David" w:hint="cs"/>
          <w:color w:val="000000"/>
          <w:rtl/>
        </w:rPr>
        <w:t xml:space="preserve">החשיבות של מנגנון זה </w:t>
      </w:r>
      <w:r w:rsidR="000E61CE" w:rsidRPr="00744FC4">
        <w:rPr>
          <w:rFonts w:ascii="David" w:hAnsi="David" w:hint="cs"/>
          <w:color w:val="000000"/>
          <w:rtl/>
        </w:rPr>
        <w:t>מודגמת בהבדלי התמסורת בין מגזרי הפעילות השונים</w:t>
      </w:r>
      <w:r w:rsidRPr="00744FC4">
        <w:rPr>
          <w:rFonts w:ascii="David" w:hAnsi="David" w:hint="cs"/>
          <w:color w:val="000000"/>
          <w:rtl/>
        </w:rPr>
        <w:t xml:space="preserve"> </w:t>
      </w:r>
      <w:r w:rsidR="0080335B" w:rsidRPr="00744FC4">
        <w:rPr>
          <w:rFonts w:ascii="David" w:hAnsi="David" w:hint="cs"/>
          <w:color w:val="000000"/>
          <w:rtl/>
        </w:rPr>
        <w:t>ב</w:t>
      </w:r>
      <w:r w:rsidR="008062F0" w:rsidRPr="00744FC4">
        <w:rPr>
          <w:rFonts w:ascii="David" w:hAnsi="David" w:hint="cs"/>
          <w:color w:val="000000"/>
          <w:rtl/>
        </w:rPr>
        <w:t xml:space="preserve">איור </w:t>
      </w:r>
      <w:r w:rsidR="003562FA" w:rsidRPr="00744FC4">
        <w:rPr>
          <w:rFonts w:ascii="David" w:hAnsi="David" w:hint="cs"/>
          <w:color w:val="000000"/>
          <w:rtl/>
        </w:rPr>
        <w:t>6</w:t>
      </w:r>
      <w:r w:rsidR="008062F0" w:rsidRPr="00744FC4">
        <w:rPr>
          <w:rFonts w:ascii="David" w:hAnsi="David"/>
          <w:color w:val="000000"/>
          <w:rtl/>
        </w:rPr>
        <w:t xml:space="preserve">. </w:t>
      </w:r>
      <w:r w:rsidR="008062F0" w:rsidRPr="00744FC4">
        <w:rPr>
          <w:rFonts w:ascii="David" w:hAnsi="David" w:hint="eastAsia"/>
          <w:color w:val="000000"/>
          <w:rtl/>
        </w:rPr>
        <w:t>כפי</w:t>
      </w:r>
      <w:r w:rsidR="008062F0" w:rsidRPr="00744FC4">
        <w:rPr>
          <w:rFonts w:ascii="David" w:hAnsi="David"/>
          <w:color w:val="000000"/>
          <w:rtl/>
        </w:rPr>
        <w:t xml:space="preserve"> </w:t>
      </w:r>
      <w:r w:rsidR="00B71C71" w:rsidRPr="00744FC4">
        <w:rPr>
          <w:rFonts w:ascii="David" w:hAnsi="David" w:hint="eastAsia"/>
          <w:color w:val="000000"/>
          <w:rtl/>
        </w:rPr>
        <w:t>שמראה</w:t>
      </w:r>
      <w:r w:rsidR="00B71C71" w:rsidRPr="00744FC4">
        <w:rPr>
          <w:rFonts w:ascii="David" w:hAnsi="David"/>
          <w:color w:val="000000"/>
          <w:rtl/>
        </w:rPr>
        <w:t xml:space="preserve"> </w:t>
      </w:r>
      <w:r w:rsidR="008062F0" w:rsidRPr="00744FC4">
        <w:rPr>
          <w:rFonts w:ascii="David" w:hAnsi="David" w:hint="eastAsia"/>
          <w:color w:val="000000"/>
          <w:rtl/>
        </w:rPr>
        <w:t>האיור</w:t>
      </w:r>
      <w:r w:rsidR="008062F0" w:rsidRPr="00744FC4">
        <w:rPr>
          <w:rFonts w:ascii="David" w:hAnsi="David"/>
          <w:color w:val="000000"/>
          <w:rtl/>
        </w:rPr>
        <w:t xml:space="preserve">, </w:t>
      </w:r>
      <w:r w:rsidR="00B71C71" w:rsidRPr="00744FC4">
        <w:rPr>
          <w:rFonts w:ascii="David" w:hAnsi="David" w:hint="eastAsia"/>
          <w:color w:val="000000"/>
          <w:rtl/>
        </w:rPr>
        <w:t>למגזר</w:t>
      </w:r>
      <w:r w:rsidR="008062F0" w:rsidRPr="00744FC4">
        <w:rPr>
          <w:rFonts w:ascii="David" w:hAnsi="David"/>
          <w:color w:val="000000"/>
          <w:rtl/>
        </w:rPr>
        <w:t xml:space="preserve"> </w:t>
      </w:r>
      <w:r w:rsidR="00B71C71" w:rsidRPr="00744FC4">
        <w:rPr>
          <w:rFonts w:ascii="David" w:hAnsi="David"/>
          <w:color w:val="000000"/>
          <w:rtl/>
        </w:rPr>
        <w:t xml:space="preserve">העסקי </w:t>
      </w:r>
      <w:r w:rsidR="00B71C71" w:rsidRPr="00744FC4">
        <w:rPr>
          <w:rFonts w:ascii="David" w:hAnsi="David" w:hint="eastAsia"/>
          <w:color w:val="000000"/>
          <w:rtl/>
        </w:rPr>
        <w:t>עלתה</w:t>
      </w:r>
      <w:r w:rsidR="00B71C71" w:rsidRPr="00744FC4">
        <w:rPr>
          <w:rFonts w:ascii="David" w:hAnsi="David"/>
          <w:color w:val="000000"/>
          <w:rtl/>
        </w:rPr>
        <w:t xml:space="preserve"> </w:t>
      </w:r>
      <w:r w:rsidR="008062F0" w:rsidRPr="00744FC4">
        <w:rPr>
          <w:rFonts w:ascii="David" w:hAnsi="David"/>
          <w:color w:val="000000"/>
          <w:rtl/>
        </w:rPr>
        <w:t xml:space="preserve">ריבית הפיקדונות </w:t>
      </w:r>
      <w:r w:rsidR="00B71C71" w:rsidRPr="00744FC4">
        <w:rPr>
          <w:rFonts w:ascii="David" w:hAnsi="David" w:hint="eastAsia"/>
          <w:color w:val="000000"/>
          <w:rtl/>
        </w:rPr>
        <w:t>יותר</w:t>
      </w:r>
      <w:r w:rsidR="00B71C71" w:rsidRPr="00744FC4">
        <w:rPr>
          <w:rFonts w:ascii="David" w:hAnsi="David"/>
          <w:color w:val="000000"/>
          <w:rtl/>
        </w:rPr>
        <w:t xml:space="preserve"> </w:t>
      </w:r>
      <w:r w:rsidR="00B71C71" w:rsidRPr="00744FC4">
        <w:rPr>
          <w:rFonts w:ascii="David" w:hAnsi="David" w:hint="eastAsia"/>
          <w:color w:val="000000"/>
          <w:rtl/>
        </w:rPr>
        <w:t>מאשר</w:t>
      </w:r>
      <w:r w:rsidR="009B405E" w:rsidRPr="00744FC4">
        <w:rPr>
          <w:rFonts w:ascii="David" w:hAnsi="David"/>
          <w:color w:val="000000"/>
          <w:rtl/>
        </w:rPr>
        <w:t xml:space="preserve"> </w:t>
      </w:r>
      <w:r w:rsidR="00B71C71" w:rsidRPr="00744FC4">
        <w:rPr>
          <w:rFonts w:ascii="David" w:hAnsi="David" w:hint="eastAsia"/>
          <w:color w:val="000000"/>
          <w:rtl/>
        </w:rPr>
        <w:t>למשקי</w:t>
      </w:r>
      <w:r w:rsidR="00B71C71" w:rsidRPr="00744FC4">
        <w:rPr>
          <w:rFonts w:ascii="David" w:hAnsi="David"/>
          <w:color w:val="000000"/>
          <w:rtl/>
        </w:rPr>
        <w:t xml:space="preserve"> </w:t>
      </w:r>
      <w:r w:rsidR="00B71C71" w:rsidRPr="00744FC4">
        <w:rPr>
          <w:rFonts w:ascii="David" w:hAnsi="David" w:hint="eastAsia"/>
          <w:color w:val="000000"/>
          <w:rtl/>
        </w:rPr>
        <w:t>הבית</w:t>
      </w:r>
      <w:r w:rsidR="00B71C71" w:rsidRPr="00744FC4">
        <w:rPr>
          <w:rFonts w:ascii="David" w:hAnsi="David"/>
          <w:color w:val="000000"/>
          <w:rtl/>
        </w:rPr>
        <w:t>.</w:t>
      </w:r>
      <w:r w:rsidR="00B71C71" w:rsidRPr="00744FC4">
        <w:rPr>
          <w:rFonts w:ascii="David" w:hAnsi="David" w:hint="cs"/>
          <w:color w:val="000000"/>
          <w:rtl/>
        </w:rPr>
        <w:t xml:space="preserve"> </w:t>
      </w:r>
      <w:r w:rsidR="000E61CE" w:rsidRPr="00744FC4">
        <w:rPr>
          <w:rFonts w:ascii="David" w:hAnsi="David" w:hint="cs"/>
          <w:color w:val="000000"/>
          <w:rtl/>
        </w:rPr>
        <w:t>ריבית הפיקדונות מושפעת</w:t>
      </w:r>
      <w:r w:rsidR="00B71C71" w:rsidRPr="00744FC4">
        <w:rPr>
          <w:rFonts w:ascii="David" w:hAnsi="David" w:hint="cs"/>
          <w:color w:val="000000"/>
          <w:rtl/>
        </w:rPr>
        <w:t>, כאמור,</w:t>
      </w:r>
      <w:r w:rsidR="000E61CE" w:rsidRPr="00744FC4">
        <w:rPr>
          <w:rFonts w:ascii="David" w:hAnsi="David" w:hint="cs"/>
          <w:color w:val="000000"/>
          <w:rtl/>
        </w:rPr>
        <w:t xml:space="preserve"> מגורמים רבים</w:t>
      </w:r>
      <w:r w:rsidR="00B71C71" w:rsidRPr="00744FC4">
        <w:rPr>
          <w:rFonts w:ascii="David" w:hAnsi="David" w:hint="cs"/>
          <w:color w:val="000000"/>
          <w:rtl/>
        </w:rPr>
        <w:t>, כגון התקופה-</w:t>
      </w:r>
      <w:r w:rsidR="000E61CE" w:rsidRPr="00744FC4">
        <w:rPr>
          <w:rFonts w:ascii="David" w:hAnsi="David" w:hint="cs"/>
          <w:color w:val="000000"/>
          <w:rtl/>
        </w:rPr>
        <w:t xml:space="preserve">לפירעון, </w:t>
      </w:r>
      <w:r w:rsidR="000E61CE" w:rsidRPr="00744FC4">
        <w:rPr>
          <w:rFonts w:ascii="David" w:hAnsi="David"/>
          <w:color w:val="000000"/>
          <w:rtl/>
        </w:rPr>
        <w:t>מסלול הריבית</w:t>
      </w:r>
      <w:r w:rsidR="00E470A5" w:rsidRPr="00744FC4">
        <w:rPr>
          <w:rFonts w:ascii="David" w:hAnsi="David" w:hint="cs"/>
          <w:color w:val="000000"/>
          <w:rtl/>
        </w:rPr>
        <w:t xml:space="preserve"> </w:t>
      </w:r>
      <w:r w:rsidR="000E61CE" w:rsidRPr="00744FC4">
        <w:rPr>
          <w:rFonts w:ascii="David" w:hAnsi="David" w:hint="cs"/>
          <w:color w:val="000000"/>
          <w:rtl/>
        </w:rPr>
        <w:t>ו</w:t>
      </w:r>
      <w:r w:rsidR="000E61CE" w:rsidRPr="00744FC4">
        <w:rPr>
          <w:rFonts w:ascii="David" w:hAnsi="David"/>
          <w:color w:val="000000"/>
          <w:rtl/>
        </w:rPr>
        <w:t>היקף הפיקדון</w:t>
      </w:r>
      <w:r w:rsidR="00B71C71" w:rsidRPr="00744FC4">
        <w:rPr>
          <w:rFonts w:ascii="David" w:hAnsi="David" w:hint="cs"/>
          <w:color w:val="000000"/>
          <w:rtl/>
        </w:rPr>
        <w:t>,</w:t>
      </w:r>
      <w:r w:rsidR="000E61CE" w:rsidRPr="00744FC4">
        <w:rPr>
          <w:rFonts w:ascii="David" w:hAnsi="David" w:hint="cs"/>
          <w:color w:val="000000"/>
          <w:rtl/>
        </w:rPr>
        <w:t xml:space="preserve"> ולכן ההבדלים בין המגזרים יכולים לשקף גם מאפייני</w:t>
      </w:r>
      <w:r w:rsidR="00B71C71" w:rsidRPr="00744FC4">
        <w:rPr>
          <w:rFonts w:ascii="David" w:hAnsi="David" w:hint="cs"/>
          <w:color w:val="000000"/>
          <w:rtl/>
        </w:rPr>
        <w:t>ם</w:t>
      </w:r>
      <w:r w:rsidR="000E61CE" w:rsidRPr="00744FC4">
        <w:rPr>
          <w:rFonts w:ascii="David" w:hAnsi="David" w:hint="cs"/>
          <w:color w:val="000000"/>
          <w:rtl/>
        </w:rPr>
        <w:t xml:space="preserve"> </w:t>
      </w:r>
      <w:r w:rsidR="00B71C71" w:rsidRPr="00744FC4">
        <w:rPr>
          <w:rFonts w:ascii="David" w:hAnsi="David" w:hint="cs"/>
          <w:color w:val="000000"/>
          <w:rtl/>
        </w:rPr>
        <w:t>שונים של הפיקדונות</w:t>
      </w:r>
      <w:r w:rsidR="000E61CE" w:rsidRPr="00744FC4">
        <w:rPr>
          <w:rFonts w:ascii="David" w:hAnsi="David" w:hint="cs"/>
          <w:color w:val="000000"/>
          <w:rtl/>
        </w:rPr>
        <w:t>.</w:t>
      </w:r>
      <w:r w:rsidR="003562FA" w:rsidRPr="00744FC4">
        <w:rPr>
          <w:rStyle w:val="a8"/>
          <w:rFonts w:ascii="David" w:hAnsi="David"/>
          <w:color w:val="000000"/>
          <w:rtl/>
        </w:rPr>
        <w:footnoteReference w:id="8"/>
      </w:r>
      <w:r w:rsidR="00B71C71" w:rsidRPr="00744FC4">
        <w:rPr>
          <w:rFonts w:ascii="David" w:hAnsi="David" w:hint="cs"/>
          <w:color w:val="000000"/>
          <w:rtl/>
        </w:rPr>
        <w:t xml:space="preserve"> </w:t>
      </w:r>
      <w:r w:rsidR="003562FA" w:rsidRPr="00744FC4">
        <w:rPr>
          <w:rFonts w:ascii="David" w:hAnsi="David" w:hint="eastAsia"/>
          <w:color w:val="000000"/>
          <w:rtl/>
        </w:rPr>
        <w:t>עם</w:t>
      </w:r>
      <w:r w:rsidR="003562FA" w:rsidRPr="00744FC4">
        <w:rPr>
          <w:rFonts w:ascii="David" w:hAnsi="David"/>
          <w:color w:val="000000"/>
          <w:rtl/>
        </w:rPr>
        <w:t xml:space="preserve"> </w:t>
      </w:r>
      <w:r w:rsidR="003562FA" w:rsidRPr="00744FC4">
        <w:rPr>
          <w:rFonts w:ascii="David" w:hAnsi="David" w:hint="eastAsia"/>
          <w:color w:val="000000"/>
          <w:rtl/>
        </w:rPr>
        <w:t>זאת</w:t>
      </w:r>
      <w:r w:rsidR="003562FA" w:rsidRPr="00744FC4">
        <w:rPr>
          <w:rFonts w:ascii="David" w:hAnsi="David"/>
          <w:color w:val="000000"/>
          <w:rtl/>
        </w:rPr>
        <w:t xml:space="preserve"> </w:t>
      </w:r>
      <w:r w:rsidR="003562FA" w:rsidRPr="00744FC4">
        <w:rPr>
          <w:rFonts w:ascii="David" w:hAnsi="David" w:hint="eastAsia"/>
          <w:color w:val="000000"/>
          <w:rtl/>
        </w:rPr>
        <w:t>סביר</w:t>
      </w:r>
      <w:r w:rsidR="00E470A5" w:rsidRPr="00744FC4">
        <w:rPr>
          <w:rFonts w:ascii="David" w:hAnsi="David"/>
          <w:color w:val="000000"/>
          <w:rtl/>
        </w:rPr>
        <w:t xml:space="preserve"> שההבדלים בין המגזרים נובעים גם מכוח </w:t>
      </w:r>
      <w:r w:rsidR="00B71C71" w:rsidRPr="00744FC4">
        <w:rPr>
          <w:rFonts w:ascii="David" w:hAnsi="David" w:hint="eastAsia"/>
          <w:color w:val="000000"/>
          <w:rtl/>
        </w:rPr>
        <w:t>ה</w:t>
      </w:r>
      <w:r w:rsidR="00E470A5" w:rsidRPr="00744FC4">
        <w:rPr>
          <w:rFonts w:ascii="David" w:hAnsi="David" w:hint="eastAsia"/>
          <w:color w:val="000000"/>
          <w:rtl/>
        </w:rPr>
        <w:t>מיקוח</w:t>
      </w:r>
      <w:r w:rsidR="00E470A5" w:rsidRPr="00744FC4">
        <w:rPr>
          <w:rFonts w:ascii="David" w:hAnsi="David"/>
          <w:color w:val="000000"/>
          <w:rtl/>
        </w:rPr>
        <w:t xml:space="preserve"> </w:t>
      </w:r>
      <w:r w:rsidR="00B71C71" w:rsidRPr="00744FC4">
        <w:rPr>
          <w:rFonts w:ascii="David" w:hAnsi="David"/>
          <w:color w:val="000000"/>
          <w:rtl/>
        </w:rPr>
        <w:t>של הלקוחות העסקיים וממודעותם</w:t>
      </w:r>
      <w:r w:rsidR="00735B45" w:rsidRPr="00744FC4">
        <w:rPr>
          <w:rFonts w:ascii="David" w:hAnsi="David" w:hint="cs"/>
          <w:color w:val="000000"/>
          <w:rtl/>
        </w:rPr>
        <w:t>,</w:t>
      </w:r>
      <w:r w:rsidR="00B71C71" w:rsidRPr="00744FC4">
        <w:rPr>
          <w:rFonts w:ascii="David" w:hAnsi="David"/>
          <w:color w:val="000000"/>
          <w:rtl/>
        </w:rPr>
        <w:t xml:space="preserve"> העולים על אלה של משקי הבית. ייתכן, לדוגמה, </w:t>
      </w:r>
      <w:r w:rsidR="00E470A5" w:rsidRPr="00744FC4">
        <w:rPr>
          <w:rFonts w:ascii="David" w:hAnsi="David" w:hint="eastAsia"/>
          <w:color w:val="000000"/>
          <w:rtl/>
        </w:rPr>
        <w:t>ש</w:t>
      </w:r>
      <w:r w:rsidR="009B405E" w:rsidRPr="00744FC4">
        <w:rPr>
          <w:rFonts w:ascii="David" w:hAnsi="David" w:hint="eastAsia"/>
          <w:color w:val="000000"/>
          <w:rtl/>
        </w:rPr>
        <w:t>לקוחות</w:t>
      </w:r>
      <w:r w:rsidR="009B405E" w:rsidRPr="00744FC4">
        <w:rPr>
          <w:rFonts w:ascii="David" w:hAnsi="David"/>
          <w:color w:val="000000"/>
          <w:rtl/>
        </w:rPr>
        <w:t xml:space="preserve"> עסקיים מורגלים יותר </w:t>
      </w:r>
      <w:r w:rsidR="000C5363" w:rsidRPr="00744FC4">
        <w:rPr>
          <w:rFonts w:ascii="David" w:hAnsi="David" w:hint="eastAsia"/>
          <w:color w:val="000000"/>
          <w:rtl/>
        </w:rPr>
        <w:t>ל</w:t>
      </w:r>
      <w:r w:rsidR="009B405E" w:rsidRPr="00744FC4">
        <w:rPr>
          <w:rFonts w:ascii="David" w:hAnsi="David" w:hint="eastAsia"/>
          <w:color w:val="000000"/>
          <w:rtl/>
        </w:rPr>
        <w:t>השוות</w:t>
      </w:r>
      <w:r w:rsidR="009B405E" w:rsidRPr="00744FC4">
        <w:rPr>
          <w:rFonts w:ascii="David" w:hAnsi="David"/>
          <w:color w:val="000000"/>
          <w:rtl/>
        </w:rPr>
        <w:t xml:space="preserve"> </w:t>
      </w:r>
      <w:r w:rsidR="009B405E" w:rsidRPr="00744FC4">
        <w:rPr>
          <w:rFonts w:ascii="David" w:hAnsi="David" w:hint="eastAsia"/>
          <w:color w:val="000000"/>
          <w:rtl/>
        </w:rPr>
        <w:t>מחיר</w:t>
      </w:r>
      <w:r w:rsidR="0080335B" w:rsidRPr="00744FC4">
        <w:rPr>
          <w:rFonts w:ascii="David" w:hAnsi="David" w:hint="eastAsia"/>
          <w:color w:val="000000"/>
          <w:rtl/>
        </w:rPr>
        <w:t>ים</w:t>
      </w:r>
      <w:r w:rsidR="009B405E" w:rsidRPr="00744FC4">
        <w:rPr>
          <w:rFonts w:ascii="David" w:hAnsi="David"/>
          <w:color w:val="000000"/>
          <w:rtl/>
        </w:rPr>
        <w:t xml:space="preserve"> ורג</w:t>
      </w:r>
      <w:r w:rsidR="00B71C71" w:rsidRPr="00744FC4">
        <w:rPr>
          <w:rFonts w:ascii="David" w:hAnsi="David" w:hint="eastAsia"/>
          <w:color w:val="000000"/>
          <w:rtl/>
        </w:rPr>
        <w:t>ישים</w:t>
      </w:r>
      <w:r w:rsidR="00B71C71" w:rsidRPr="00744FC4">
        <w:rPr>
          <w:rFonts w:ascii="David" w:hAnsi="David"/>
          <w:color w:val="000000"/>
          <w:rtl/>
        </w:rPr>
        <w:t xml:space="preserve"> </w:t>
      </w:r>
      <w:r w:rsidR="00B71C71" w:rsidRPr="00744FC4">
        <w:rPr>
          <w:rFonts w:ascii="David" w:hAnsi="David" w:hint="eastAsia"/>
          <w:color w:val="000000"/>
          <w:rtl/>
        </w:rPr>
        <w:t>יותר</w:t>
      </w:r>
      <w:r w:rsidR="00B71C71" w:rsidRPr="00744FC4">
        <w:rPr>
          <w:rFonts w:ascii="David" w:hAnsi="David"/>
          <w:color w:val="000000"/>
          <w:rtl/>
        </w:rPr>
        <w:t xml:space="preserve"> </w:t>
      </w:r>
      <w:r w:rsidR="00B71C71" w:rsidRPr="00744FC4">
        <w:rPr>
          <w:rFonts w:ascii="David" w:hAnsi="David" w:hint="eastAsia"/>
          <w:color w:val="000000"/>
          <w:rtl/>
        </w:rPr>
        <w:t>להבדלים</w:t>
      </w:r>
      <w:r w:rsidR="00B71C71" w:rsidRPr="00744FC4">
        <w:rPr>
          <w:rFonts w:ascii="David" w:hAnsi="David"/>
          <w:color w:val="000000"/>
          <w:rtl/>
        </w:rPr>
        <w:t xml:space="preserve"> </w:t>
      </w:r>
      <w:r w:rsidR="00B71C71" w:rsidRPr="00744FC4">
        <w:rPr>
          <w:rFonts w:ascii="David" w:hAnsi="David" w:hint="eastAsia"/>
          <w:color w:val="000000"/>
          <w:rtl/>
        </w:rPr>
        <w:t>בתנאים</w:t>
      </w:r>
      <w:r w:rsidR="00B71C71" w:rsidRPr="00744FC4">
        <w:rPr>
          <w:rFonts w:ascii="David" w:hAnsi="David"/>
          <w:color w:val="000000"/>
          <w:rtl/>
        </w:rPr>
        <w:t xml:space="preserve"> </w:t>
      </w:r>
      <w:r w:rsidR="00B71C71" w:rsidRPr="00744FC4">
        <w:rPr>
          <w:rFonts w:ascii="David" w:hAnsi="David" w:hint="eastAsia"/>
          <w:color w:val="000000"/>
          <w:rtl/>
        </w:rPr>
        <w:t>המוצעים</w:t>
      </w:r>
      <w:r w:rsidR="00B71C71" w:rsidRPr="00744FC4">
        <w:rPr>
          <w:rFonts w:ascii="David" w:hAnsi="David"/>
          <w:color w:val="000000"/>
          <w:rtl/>
        </w:rPr>
        <w:t xml:space="preserve"> </w:t>
      </w:r>
      <w:r w:rsidR="00B71C71" w:rsidRPr="00744FC4">
        <w:rPr>
          <w:rFonts w:ascii="David" w:hAnsi="David" w:hint="eastAsia"/>
          <w:color w:val="000000"/>
          <w:rtl/>
        </w:rPr>
        <w:t>להם</w:t>
      </w:r>
      <w:r w:rsidR="009B405E" w:rsidRPr="00744FC4">
        <w:rPr>
          <w:rFonts w:ascii="David" w:hAnsi="David"/>
          <w:color w:val="000000"/>
          <w:rtl/>
        </w:rPr>
        <w:t xml:space="preserve">, </w:t>
      </w:r>
      <w:r w:rsidR="009B405E" w:rsidRPr="00744FC4">
        <w:rPr>
          <w:rFonts w:ascii="David" w:hAnsi="David" w:hint="eastAsia"/>
          <w:color w:val="000000"/>
          <w:rtl/>
        </w:rPr>
        <w:t>לרבות</w:t>
      </w:r>
      <w:r w:rsidR="009B405E" w:rsidRPr="00744FC4">
        <w:rPr>
          <w:rFonts w:ascii="David" w:hAnsi="David"/>
          <w:color w:val="000000"/>
          <w:rtl/>
        </w:rPr>
        <w:t xml:space="preserve"> </w:t>
      </w:r>
      <w:r w:rsidR="009B405E" w:rsidRPr="00744FC4">
        <w:rPr>
          <w:rFonts w:ascii="David" w:hAnsi="David" w:hint="eastAsia"/>
          <w:color w:val="000000"/>
          <w:rtl/>
        </w:rPr>
        <w:t>הבדלים</w:t>
      </w:r>
      <w:r w:rsidR="009B405E" w:rsidRPr="00744FC4">
        <w:rPr>
          <w:rFonts w:ascii="David" w:hAnsi="David"/>
          <w:color w:val="000000"/>
          <w:rtl/>
        </w:rPr>
        <w:t xml:space="preserve"> </w:t>
      </w:r>
      <w:r w:rsidR="009B405E" w:rsidRPr="00744FC4">
        <w:rPr>
          <w:rFonts w:ascii="David" w:hAnsi="David" w:hint="eastAsia"/>
          <w:color w:val="000000"/>
          <w:rtl/>
        </w:rPr>
        <w:t>ב</w:t>
      </w:r>
      <w:r w:rsidR="00B71C71" w:rsidRPr="00744FC4">
        <w:rPr>
          <w:rFonts w:ascii="David" w:hAnsi="David" w:hint="eastAsia"/>
          <w:color w:val="000000"/>
          <w:rtl/>
        </w:rPr>
        <w:t>ין</w:t>
      </w:r>
      <w:r w:rsidR="00B71C71" w:rsidRPr="00744FC4">
        <w:rPr>
          <w:rFonts w:ascii="David" w:hAnsi="David"/>
          <w:color w:val="000000"/>
          <w:rtl/>
        </w:rPr>
        <w:t xml:space="preserve"> </w:t>
      </w:r>
      <w:r w:rsidR="00B71C71" w:rsidRPr="00744FC4">
        <w:rPr>
          <w:rFonts w:ascii="David" w:hAnsi="David" w:hint="eastAsia"/>
          <w:color w:val="000000"/>
          <w:rtl/>
        </w:rPr>
        <w:t>בנקים</w:t>
      </w:r>
      <w:r w:rsidR="00B71C71" w:rsidRPr="00744FC4">
        <w:rPr>
          <w:rFonts w:ascii="David" w:hAnsi="David"/>
          <w:color w:val="000000"/>
          <w:rtl/>
        </w:rPr>
        <w:t xml:space="preserve"> </w:t>
      </w:r>
      <w:r w:rsidR="00B71C71" w:rsidRPr="00744FC4">
        <w:rPr>
          <w:rFonts w:ascii="David" w:hAnsi="David" w:hint="eastAsia"/>
          <w:color w:val="000000"/>
          <w:rtl/>
        </w:rPr>
        <w:t>בריבית</w:t>
      </w:r>
      <w:r w:rsidR="00B71C71" w:rsidRPr="00744FC4">
        <w:rPr>
          <w:rFonts w:ascii="David" w:hAnsi="David"/>
          <w:color w:val="000000"/>
          <w:rtl/>
        </w:rPr>
        <w:t xml:space="preserve"> </w:t>
      </w:r>
      <w:r w:rsidR="00B71C71" w:rsidRPr="00744FC4">
        <w:rPr>
          <w:rFonts w:ascii="David" w:hAnsi="David" w:hint="eastAsia"/>
          <w:color w:val="000000"/>
          <w:rtl/>
        </w:rPr>
        <w:t>הפיקדונות</w:t>
      </w:r>
      <w:r w:rsidR="00B71C71" w:rsidRPr="00744FC4">
        <w:rPr>
          <w:rFonts w:ascii="David" w:hAnsi="David" w:hint="cs"/>
          <w:color w:val="000000"/>
          <w:rtl/>
        </w:rPr>
        <w:t>.</w:t>
      </w:r>
      <w:r w:rsidR="00B71C71">
        <w:rPr>
          <w:rFonts w:ascii="David" w:hAnsi="David" w:hint="cs"/>
          <w:color w:val="000000"/>
          <w:rtl/>
        </w:rPr>
        <w:t xml:space="preserve"> נוסף על כך אפשר ש</w:t>
      </w:r>
      <w:r w:rsidR="009B405E">
        <w:rPr>
          <w:rFonts w:ascii="David" w:hAnsi="David" w:hint="cs"/>
          <w:color w:val="000000"/>
          <w:rtl/>
        </w:rPr>
        <w:t xml:space="preserve">ההכנסה הרבה </w:t>
      </w:r>
      <w:r w:rsidR="00B71C71">
        <w:rPr>
          <w:rFonts w:ascii="David" w:hAnsi="David" w:hint="cs"/>
          <w:color w:val="000000"/>
          <w:rtl/>
        </w:rPr>
        <w:t>שה</w:t>
      </w:r>
      <w:r w:rsidR="009B405E">
        <w:rPr>
          <w:rFonts w:ascii="David" w:hAnsi="David" w:hint="cs"/>
          <w:color w:val="000000"/>
          <w:rtl/>
        </w:rPr>
        <w:t xml:space="preserve">עסקים </w:t>
      </w:r>
      <w:r w:rsidR="00B71C71">
        <w:rPr>
          <w:rFonts w:ascii="David" w:hAnsi="David" w:hint="cs"/>
          <w:color w:val="000000"/>
          <w:rtl/>
        </w:rPr>
        <w:t xml:space="preserve">מספקים </w:t>
      </w:r>
      <w:r w:rsidR="006D4D6F">
        <w:rPr>
          <w:rFonts w:ascii="David" w:hAnsi="David" w:hint="cs"/>
          <w:color w:val="000000"/>
          <w:rtl/>
        </w:rPr>
        <w:t xml:space="preserve">לבנקים דרך </w:t>
      </w:r>
      <w:r w:rsidR="009B405E">
        <w:rPr>
          <w:rFonts w:ascii="David" w:hAnsi="David" w:hint="cs"/>
          <w:color w:val="000000"/>
          <w:rtl/>
        </w:rPr>
        <w:t>פעילות</w:t>
      </w:r>
      <w:r w:rsidR="006D4D6F">
        <w:rPr>
          <w:rFonts w:ascii="David" w:hAnsi="David" w:hint="cs"/>
          <w:color w:val="000000"/>
          <w:rtl/>
        </w:rPr>
        <w:t>ם השוטפת</w:t>
      </w:r>
      <w:r w:rsidR="009B405E">
        <w:rPr>
          <w:rFonts w:ascii="David" w:hAnsi="David" w:hint="cs"/>
          <w:color w:val="000000"/>
          <w:rtl/>
        </w:rPr>
        <w:t xml:space="preserve"> הופכת אותם ללקוחות </w:t>
      </w:r>
      <w:r w:rsidR="00BA14C7">
        <w:rPr>
          <w:rFonts w:ascii="David" w:hAnsi="David" w:hint="cs"/>
          <w:color w:val="000000"/>
          <w:rtl/>
        </w:rPr>
        <w:t>אטרקטיביי</w:t>
      </w:r>
      <w:r w:rsidR="00BA14C7">
        <w:rPr>
          <w:rFonts w:ascii="David" w:hAnsi="David" w:hint="eastAsia"/>
          <w:color w:val="000000"/>
          <w:rtl/>
        </w:rPr>
        <w:t>ם</w:t>
      </w:r>
      <w:r w:rsidR="006D4D6F">
        <w:rPr>
          <w:rFonts w:ascii="David" w:hAnsi="David" w:hint="cs"/>
          <w:color w:val="000000"/>
          <w:rtl/>
        </w:rPr>
        <w:t>,</w:t>
      </w:r>
      <w:r w:rsidR="009B405E">
        <w:rPr>
          <w:rFonts w:ascii="David" w:hAnsi="David" w:hint="cs"/>
          <w:color w:val="000000"/>
          <w:rtl/>
        </w:rPr>
        <w:t xml:space="preserve"> מה שמגדיל את כוח המיקוח שלהם.  </w:t>
      </w:r>
    </w:p>
    <w:tbl>
      <w:tblPr>
        <w:tblStyle w:val="2"/>
        <w:bidiVisual/>
        <w:tblW w:w="7439" w:type="dxa"/>
        <w:jc w:val="center"/>
        <w:tblLook w:val="04A0" w:firstRow="1" w:lastRow="0" w:firstColumn="1" w:lastColumn="0" w:noHBand="0" w:noVBand="1"/>
      </w:tblPr>
      <w:tblGrid>
        <w:gridCol w:w="7836"/>
      </w:tblGrid>
      <w:tr w:rsidR="008062F0" w:rsidRPr="009327E8" w:rsidTr="00507B8D">
        <w:trPr>
          <w:trHeight w:val="572"/>
          <w:jc w:val="center"/>
        </w:trPr>
        <w:tc>
          <w:tcPr>
            <w:tcW w:w="7439" w:type="dxa"/>
          </w:tcPr>
          <w:p w:rsidR="008062F0" w:rsidRPr="008062F0" w:rsidRDefault="008062F0" w:rsidP="005B09A4">
            <w:pPr>
              <w:spacing w:line="360" w:lineRule="auto"/>
              <w:jc w:val="center"/>
              <w:rPr>
                <w:rFonts w:ascii="David" w:hAnsi="David" w:cs="David"/>
                <w:b/>
                <w:bCs/>
                <w:color w:val="000000" w:themeColor="text1"/>
                <w:rtl/>
              </w:rPr>
            </w:pPr>
            <w:r w:rsidRPr="00970874">
              <w:rPr>
                <w:rFonts w:ascii="David" w:hAnsi="David" w:cs="David" w:hint="eastAsia"/>
                <w:b/>
                <w:bCs/>
                <w:color w:val="000000" w:themeColor="text1"/>
                <w:sz w:val="24"/>
                <w:szCs w:val="24"/>
                <w:rtl/>
              </w:rPr>
              <w:t>איור</w:t>
            </w:r>
            <w:r w:rsidRPr="00970874">
              <w:rPr>
                <w:rFonts w:ascii="David" w:hAnsi="David" w:cs="David" w:hint="cs"/>
                <w:b/>
                <w:bCs/>
                <w:color w:val="000000" w:themeColor="text1"/>
                <w:sz w:val="24"/>
                <w:szCs w:val="24"/>
                <w:rtl/>
              </w:rPr>
              <w:t xml:space="preserve"> </w:t>
            </w:r>
            <w:r w:rsidR="005B09A4">
              <w:rPr>
                <w:rFonts w:ascii="David" w:hAnsi="David" w:cs="David" w:hint="cs"/>
                <w:b/>
                <w:bCs/>
                <w:color w:val="000000" w:themeColor="text1"/>
                <w:sz w:val="24"/>
                <w:szCs w:val="24"/>
                <w:rtl/>
              </w:rPr>
              <w:t>6</w:t>
            </w:r>
            <w:r w:rsidRPr="00970874">
              <w:rPr>
                <w:rFonts w:ascii="David" w:hAnsi="David" w:cs="David"/>
                <w:b/>
                <w:bCs/>
                <w:color w:val="000000" w:themeColor="text1"/>
                <w:sz w:val="24"/>
                <w:szCs w:val="24"/>
                <w:rtl/>
              </w:rPr>
              <w:t>: ריבית ממוצעת, פיקדונות לזמן קצוב</w:t>
            </w:r>
            <w:r w:rsidR="003562FA">
              <w:rPr>
                <w:rFonts w:ascii="David" w:hAnsi="David" w:cs="David" w:hint="cs"/>
                <w:b/>
                <w:bCs/>
                <w:color w:val="000000" w:themeColor="text1"/>
                <w:sz w:val="24"/>
                <w:szCs w:val="24"/>
                <w:rtl/>
              </w:rPr>
              <w:t xml:space="preserve"> של עד שלושה חודשים</w:t>
            </w:r>
            <w:r w:rsidRPr="00970874">
              <w:rPr>
                <w:rFonts w:ascii="David" w:hAnsi="David" w:cs="David" w:hint="cs"/>
                <w:b/>
                <w:bCs/>
                <w:color w:val="000000" w:themeColor="text1"/>
                <w:sz w:val="24"/>
                <w:szCs w:val="24"/>
                <w:rtl/>
              </w:rPr>
              <w:t>,</w:t>
            </w:r>
            <w:r w:rsidRPr="00970874">
              <w:rPr>
                <w:rFonts w:ascii="David" w:hAnsi="David" w:cs="David"/>
                <w:b/>
                <w:bCs/>
                <w:color w:val="000000" w:themeColor="text1"/>
                <w:sz w:val="24"/>
                <w:szCs w:val="24"/>
                <w:rtl/>
              </w:rPr>
              <w:t xml:space="preserve"> </w:t>
            </w:r>
            <w:r w:rsidR="003562FA">
              <w:rPr>
                <w:rFonts w:ascii="David" w:hAnsi="David" w:cs="David" w:hint="cs"/>
                <w:b/>
                <w:bCs/>
                <w:color w:val="000000" w:themeColor="text1"/>
                <w:sz w:val="24"/>
                <w:szCs w:val="24"/>
                <w:rtl/>
              </w:rPr>
              <w:t>ינואר</w:t>
            </w:r>
            <w:r w:rsidR="003562FA">
              <w:rPr>
                <w:rFonts w:ascii="David" w:hAnsi="David" w:cs="David"/>
                <w:b/>
                <w:bCs/>
                <w:color w:val="000000" w:themeColor="text1"/>
                <w:sz w:val="24"/>
                <w:szCs w:val="24"/>
                <w:rtl/>
              </w:rPr>
              <w:t xml:space="preserve"> 2021-</w:t>
            </w:r>
            <w:r w:rsidR="003562FA">
              <w:rPr>
                <w:rFonts w:ascii="David" w:hAnsi="David" w:cs="David" w:hint="cs"/>
                <w:b/>
                <w:bCs/>
                <w:color w:val="000000" w:themeColor="text1"/>
                <w:sz w:val="24"/>
                <w:szCs w:val="24"/>
                <w:rtl/>
              </w:rPr>
              <w:t xml:space="preserve">דצמבר 2022, </w:t>
            </w:r>
            <w:r w:rsidRPr="00970874">
              <w:rPr>
                <w:rFonts w:ascii="David" w:hAnsi="David" w:cs="David"/>
                <w:b/>
                <w:bCs/>
                <w:color w:val="000000" w:themeColor="text1"/>
                <w:sz w:val="24"/>
                <w:szCs w:val="24"/>
                <w:rtl/>
              </w:rPr>
              <w:t>חלוקה לפי מגזרים</w:t>
            </w:r>
          </w:p>
        </w:tc>
      </w:tr>
      <w:tr w:rsidR="008062F0" w:rsidRPr="009327E8" w:rsidTr="00507B8D">
        <w:trPr>
          <w:trHeight w:val="3766"/>
          <w:jc w:val="center"/>
        </w:trPr>
        <w:tc>
          <w:tcPr>
            <w:tcW w:w="7439" w:type="dxa"/>
          </w:tcPr>
          <w:p w:rsidR="008062F0" w:rsidRPr="009327E8" w:rsidRDefault="003562FA" w:rsidP="00F563F5">
            <w:pPr>
              <w:spacing w:after="120" w:line="360" w:lineRule="auto"/>
              <w:jc w:val="center"/>
              <w:rPr>
                <w:rFonts w:ascii="David" w:hAnsi="David" w:cs="David"/>
                <w:color w:val="000000" w:themeColor="text1"/>
                <w:sz w:val="24"/>
                <w:szCs w:val="24"/>
                <w:rtl/>
              </w:rPr>
            </w:pPr>
            <w:r>
              <w:rPr>
                <w:rFonts w:ascii="David" w:hAnsi="David"/>
                <w:noProof/>
                <w:color w:val="000000" w:themeColor="text1"/>
              </w:rPr>
              <w:lastRenderedPageBreak/>
              <w:drawing>
                <wp:inline distT="0" distB="0" distL="0" distR="0" wp14:anchorId="359D5CF1" wp14:editId="5C130D9B">
                  <wp:extent cx="4835347" cy="3162581"/>
                  <wp:effectExtent l="0" t="0" r="381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7541" cy="3170557"/>
                          </a:xfrm>
                          <a:prstGeom prst="rect">
                            <a:avLst/>
                          </a:prstGeom>
                          <a:noFill/>
                        </pic:spPr>
                      </pic:pic>
                    </a:graphicData>
                  </a:graphic>
                </wp:inline>
              </w:drawing>
            </w:r>
          </w:p>
        </w:tc>
      </w:tr>
      <w:tr w:rsidR="008062F0" w:rsidRPr="009327E8" w:rsidTr="00507B8D">
        <w:trPr>
          <w:trHeight w:val="197"/>
          <w:jc w:val="center"/>
        </w:trPr>
        <w:tc>
          <w:tcPr>
            <w:tcW w:w="7439" w:type="dxa"/>
          </w:tcPr>
          <w:p w:rsidR="008062F0" w:rsidRPr="00AC31B9" w:rsidRDefault="008062F0" w:rsidP="006556C5">
            <w:pPr>
              <w:spacing w:line="360" w:lineRule="auto"/>
              <w:contextualSpacing/>
              <w:jc w:val="both"/>
              <w:rPr>
                <w:rFonts w:ascii="David" w:hAnsi="David" w:cs="David"/>
                <w:noProof/>
                <w:rtl/>
              </w:rPr>
            </w:pPr>
            <w:r w:rsidRPr="003562FA">
              <w:rPr>
                <w:rFonts w:ascii="David" w:hAnsi="David" w:cs="David" w:hint="cs"/>
                <w:noProof/>
                <w:rtl/>
              </w:rPr>
              <w:t xml:space="preserve">הערה: </w:t>
            </w:r>
            <w:r w:rsidRPr="003562FA">
              <w:rPr>
                <w:rFonts w:ascii="David" w:hAnsi="David" w:cs="David"/>
                <w:noProof/>
                <w:rtl/>
              </w:rPr>
              <w:t xml:space="preserve">נתונים </w:t>
            </w:r>
            <w:r w:rsidRPr="003562FA">
              <w:rPr>
                <w:rFonts w:ascii="David" w:hAnsi="David" w:cs="David" w:hint="cs"/>
                <w:noProof/>
                <w:rtl/>
              </w:rPr>
              <w:t>חודשיים</w:t>
            </w:r>
            <w:r w:rsidR="006556C5">
              <w:rPr>
                <w:rFonts w:ascii="David" w:hAnsi="David" w:cs="David" w:hint="cs"/>
                <w:noProof/>
                <w:rtl/>
              </w:rPr>
              <w:t xml:space="preserve">. </w:t>
            </w:r>
            <w:r w:rsidR="006556C5" w:rsidRPr="006556C5">
              <w:rPr>
                <w:rFonts w:ascii="David" w:hAnsi="David" w:cs="David"/>
                <w:noProof/>
                <w:rtl/>
              </w:rPr>
              <w:t>ריבית ממוצעת עבור פיקדונות חדשים לזמן קצוב של עד שלושה חודשים, ריבית קבועה לא צמודה, סך המערכת הבנקאית</w:t>
            </w:r>
            <w:r w:rsidR="006556C5" w:rsidRPr="00AC31B9">
              <w:rPr>
                <w:rFonts w:ascii="David" w:hAnsi="David" w:cs="David" w:hint="cs"/>
                <w:noProof/>
                <w:rtl/>
              </w:rPr>
              <w:t>.</w:t>
            </w:r>
          </w:p>
          <w:p w:rsidR="00AC31B9" w:rsidRPr="00AC31B9" w:rsidDel="005443E3" w:rsidRDefault="00AC31B9" w:rsidP="006556C5">
            <w:pPr>
              <w:spacing w:line="360" w:lineRule="auto"/>
              <w:contextualSpacing/>
              <w:jc w:val="both"/>
              <w:rPr>
                <w:rFonts w:ascii="David" w:hAnsi="David" w:cs="David"/>
                <w:noProof/>
              </w:rPr>
            </w:pPr>
            <w:r w:rsidRPr="00AC31B9">
              <w:rPr>
                <w:rFonts w:ascii="David" w:hAnsi="David" w:cs="David" w:hint="cs"/>
                <w:noProof/>
                <w:rtl/>
              </w:rPr>
              <w:t>מקור: בנק ישראל</w:t>
            </w:r>
          </w:p>
        </w:tc>
      </w:tr>
    </w:tbl>
    <w:p w:rsidR="00C420B4" w:rsidRPr="000409DF" w:rsidRDefault="00C420B4" w:rsidP="008D68C2">
      <w:pPr>
        <w:autoSpaceDE w:val="0"/>
        <w:autoSpaceDN w:val="0"/>
        <w:adjustRightInd w:val="0"/>
        <w:spacing w:after="120" w:line="360" w:lineRule="auto"/>
        <w:jc w:val="both"/>
        <w:rPr>
          <w:rFonts w:ascii="David" w:hAnsi="David"/>
          <w:color w:val="000000"/>
        </w:rPr>
      </w:pPr>
    </w:p>
    <w:p w:rsidR="00A814B2" w:rsidRPr="00032698" w:rsidRDefault="00A814B2" w:rsidP="00043895">
      <w:pPr>
        <w:pStyle w:val="a3"/>
        <w:numPr>
          <w:ilvl w:val="0"/>
          <w:numId w:val="20"/>
        </w:numPr>
        <w:autoSpaceDE w:val="0"/>
        <w:autoSpaceDN w:val="0"/>
        <w:adjustRightInd w:val="0"/>
        <w:spacing w:after="120" w:line="360" w:lineRule="auto"/>
        <w:jc w:val="both"/>
        <w:rPr>
          <w:rFonts w:ascii="David" w:hAnsi="David"/>
          <w:b/>
          <w:bCs/>
          <w:color w:val="000000"/>
        </w:rPr>
      </w:pPr>
      <w:r w:rsidRPr="00032698">
        <w:rPr>
          <w:rFonts w:ascii="David" w:hAnsi="David" w:hint="eastAsia"/>
          <w:b/>
          <w:bCs/>
          <w:color w:val="000000"/>
          <w:rtl/>
        </w:rPr>
        <w:t>מודל</w:t>
      </w:r>
      <w:r w:rsidRPr="00032698">
        <w:rPr>
          <w:rFonts w:ascii="David" w:hAnsi="David"/>
          <w:b/>
          <w:bCs/>
          <w:color w:val="000000"/>
          <w:rtl/>
        </w:rPr>
        <w:t xml:space="preserve"> אמפירי – השינוי בתמסורת </w:t>
      </w:r>
      <w:r w:rsidR="00595296">
        <w:rPr>
          <w:rFonts w:ascii="David" w:hAnsi="David" w:hint="cs"/>
          <w:b/>
          <w:bCs/>
          <w:color w:val="000000"/>
          <w:rtl/>
        </w:rPr>
        <w:t>לאורך</w:t>
      </w:r>
      <w:r w:rsidR="0058173E" w:rsidRPr="00032698">
        <w:rPr>
          <w:rFonts w:ascii="David" w:hAnsi="David"/>
          <w:b/>
          <w:bCs/>
          <w:color w:val="000000"/>
          <w:rtl/>
        </w:rPr>
        <w:t xml:space="preserve"> </w:t>
      </w:r>
      <w:r w:rsidR="0058173E" w:rsidRPr="00032698">
        <w:rPr>
          <w:rFonts w:ascii="David" w:hAnsi="David" w:hint="eastAsia"/>
          <w:b/>
          <w:bCs/>
          <w:color w:val="000000"/>
          <w:rtl/>
        </w:rPr>
        <w:t>זמן</w:t>
      </w:r>
      <w:r w:rsidR="0058173E" w:rsidRPr="00032698">
        <w:rPr>
          <w:rFonts w:ascii="David" w:hAnsi="David"/>
          <w:b/>
          <w:bCs/>
          <w:color w:val="000000"/>
          <w:rtl/>
        </w:rPr>
        <w:t xml:space="preserve"> </w:t>
      </w:r>
      <w:r w:rsidR="0058173E" w:rsidRPr="00032698">
        <w:rPr>
          <w:rFonts w:ascii="David" w:hAnsi="David" w:hint="eastAsia"/>
          <w:b/>
          <w:bCs/>
          <w:color w:val="000000"/>
          <w:rtl/>
        </w:rPr>
        <w:t>במדינות</w:t>
      </w:r>
      <w:r w:rsidR="0058173E" w:rsidRPr="00032698">
        <w:rPr>
          <w:rFonts w:ascii="David" w:hAnsi="David"/>
          <w:b/>
          <w:bCs/>
          <w:color w:val="000000"/>
          <w:rtl/>
        </w:rPr>
        <w:t xml:space="preserve"> </w:t>
      </w:r>
      <w:r w:rsidR="0058173E" w:rsidRPr="00032698">
        <w:rPr>
          <w:rFonts w:ascii="David" w:hAnsi="David" w:hint="eastAsia"/>
          <w:b/>
          <w:bCs/>
          <w:color w:val="000000"/>
          <w:rtl/>
        </w:rPr>
        <w:t>ה</w:t>
      </w:r>
      <w:r w:rsidR="006660C7" w:rsidRPr="00032698">
        <w:rPr>
          <w:rFonts w:ascii="David" w:hAnsi="David"/>
          <w:b/>
          <w:bCs/>
          <w:color w:val="000000"/>
          <w:rtl/>
        </w:rPr>
        <w:t>-</w:t>
      </w:r>
      <w:r w:rsidR="0058173E" w:rsidRPr="00032698">
        <w:rPr>
          <w:rFonts w:ascii="David" w:hAnsi="David"/>
          <w:b/>
          <w:bCs/>
          <w:color w:val="000000"/>
        </w:rPr>
        <w:t>OECD</w:t>
      </w:r>
    </w:p>
    <w:p w:rsidR="003607E9" w:rsidRDefault="00595296" w:rsidP="008B1C31">
      <w:pPr>
        <w:autoSpaceDE w:val="0"/>
        <w:autoSpaceDN w:val="0"/>
        <w:adjustRightInd w:val="0"/>
        <w:spacing w:after="120" w:line="360" w:lineRule="auto"/>
        <w:jc w:val="both"/>
        <w:rPr>
          <w:rFonts w:ascii="David" w:hAnsi="David"/>
          <w:color w:val="000000"/>
          <w:rtl/>
        </w:rPr>
      </w:pPr>
      <w:r>
        <w:rPr>
          <w:rFonts w:ascii="David" w:hAnsi="David" w:hint="cs"/>
          <w:color w:val="000000"/>
          <w:rtl/>
        </w:rPr>
        <w:t>הניתוח בסעיף</w:t>
      </w:r>
      <w:r w:rsidR="003607E9">
        <w:rPr>
          <w:rFonts w:ascii="David" w:hAnsi="David" w:hint="cs"/>
          <w:color w:val="000000"/>
          <w:rtl/>
        </w:rPr>
        <w:t xml:space="preserve"> הקודם </w:t>
      </w:r>
      <w:r w:rsidR="00032698">
        <w:rPr>
          <w:rFonts w:ascii="David" w:hAnsi="David" w:hint="cs"/>
          <w:color w:val="000000"/>
          <w:rtl/>
        </w:rPr>
        <w:t>מצביע על</w:t>
      </w:r>
      <w:r>
        <w:rPr>
          <w:rFonts w:ascii="David" w:hAnsi="David" w:hint="cs"/>
          <w:color w:val="000000"/>
          <w:rtl/>
        </w:rPr>
        <w:t xml:space="preserve"> לפחות שלושה מנגנונים אשר יכולים</w:t>
      </w:r>
      <w:r w:rsidR="003607E9">
        <w:rPr>
          <w:rFonts w:ascii="David" w:hAnsi="David" w:hint="cs"/>
          <w:color w:val="000000"/>
          <w:rtl/>
        </w:rPr>
        <w:t xml:space="preserve"> להסביר </w:t>
      </w:r>
      <w:r w:rsidR="008B1C31">
        <w:rPr>
          <w:rFonts w:ascii="David" w:hAnsi="David" w:hint="cs"/>
          <w:color w:val="000000"/>
          <w:rtl/>
        </w:rPr>
        <w:t>חולשה ב</w:t>
      </w:r>
      <w:r w:rsidR="003607E9">
        <w:rPr>
          <w:rFonts w:ascii="David" w:hAnsi="David" w:hint="cs"/>
          <w:color w:val="000000"/>
          <w:rtl/>
        </w:rPr>
        <w:t>תמסורת בין ריבית הבנק המרכזי לריבית הפיקדונות</w:t>
      </w:r>
      <w:r w:rsidR="003F2DCA">
        <w:rPr>
          <w:rFonts w:ascii="David" w:hAnsi="David" w:hint="cs"/>
          <w:color w:val="000000"/>
          <w:rtl/>
        </w:rPr>
        <w:t xml:space="preserve"> שנרשמה בעולם וגם בישראל</w:t>
      </w:r>
      <w:r w:rsidR="003607E9">
        <w:rPr>
          <w:rFonts w:ascii="David" w:hAnsi="David" w:hint="cs"/>
          <w:color w:val="000000"/>
          <w:rtl/>
        </w:rPr>
        <w:t>: סביבת ריבית נמוכה, עודף נזילות וכוח שוק</w:t>
      </w:r>
      <w:r>
        <w:rPr>
          <w:rFonts w:ascii="David" w:hAnsi="David" w:hint="cs"/>
          <w:color w:val="000000"/>
          <w:rtl/>
        </w:rPr>
        <w:t>. בסעיף זה אנו מציגים</w:t>
      </w:r>
      <w:r w:rsidR="003607E9">
        <w:rPr>
          <w:rFonts w:ascii="David" w:hAnsi="David" w:hint="cs"/>
          <w:color w:val="000000"/>
          <w:rtl/>
        </w:rPr>
        <w:t xml:space="preserve"> ניתוח אמפירי פשוט</w:t>
      </w:r>
      <w:r>
        <w:rPr>
          <w:rFonts w:ascii="David" w:hAnsi="David" w:hint="cs"/>
          <w:color w:val="000000"/>
          <w:rtl/>
        </w:rPr>
        <w:t xml:space="preserve">, הבודק </w:t>
      </w:r>
      <w:r w:rsidR="003607E9">
        <w:rPr>
          <w:rFonts w:ascii="David" w:hAnsi="David" w:hint="cs"/>
          <w:color w:val="000000"/>
          <w:rtl/>
        </w:rPr>
        <w:t>אם גורמים אלה אכן קשורים לעוצמת התמסורת</w:t>
      </w:r>
      <w:r w:rsidR="00735B45">
        <w:rPr>
          <w:rFonts w:ascii="David" w:hAnsi="David" w:hint="cs"/>
          <w:color w:val="000000"/>
          <w:rtl/>
        </w:rPr>
        <w:t>, וזאת</w:t>
      </w:r>
      <w:r w:rsidR="003607E9">
        <w:rPr>
          <w:rFonts w:ascii="David" w:hAnsi="David" w:hint="cs"/>
          <w:color w:val="000000"/>
          <w:rtl/>
        </w:rPr>
        <w:t xml:space="preserve"> </w:t>
      </w:r>
      <w:r>
        <w:rPr>
          <w:rFonts w:ascii="David" w:hAnsi="David" w:hint="cs"/>
          <w:color w:val="000000"/>
          <w:rtl/>
        </w:rPr>
        <w:t xml:space="preserve">באמצעות </w:t>
      </w:r>
      <w:r w:rsidR="003607E9" w:rsidRPr="00136752">
        <w:rPr>
          <w:rFonts w:ascii="David" w:hAnsi="David" w:hint="cs"/>
          <w:color w:val="000000"/>
          <w:rtl/>
        </w:rPr>
        <w:t>נתונים בנקאיים ממדינות ה</w:t>
      </w:r>
      <w:r w:rsidR="003607E9" w:rsidRPr="00136752">
        <w:rPr>
          <w:rFonts w:ascii="David" w:hAnsi="David" w:hint="cs"/>
          <w:color w:val="000000"/>
        </w:rPr>
        <w:t>OECD</w:t>
      </w:r>
      <w:r w:rsidR="002F5844">
        <w:rPr>
          <w:rFonts w:ascii="David" w:hAnsi="David"/>
          <w:color w:val="000000"/>
        </w:rPr>
        <w:t>-</w:t>
      </w:r>
      <w:r w:rsidR="003607E9" w:rsidRPr="00136752">
        <w:rPr>
          <w:rFonts w:ascii="David" w:hAnsi="David" w:hint="cs"/>
          <w:color w:val="000000"/>
          <w:rtl/>
        </w:rPr>
        <w:t xml:space="preserve"> לאורך שני עשורים</w:t>
      </w:r>
      <w:r w:rsidR="003607E9">
        <w:rPr>
          <w:rFonts w:ascii="David" w:hAnsi="David" w:hint="cs"/>
          <w:color w:val="000000"/>
          <w:rtl/>
        </w:rPr>
        <w:t xml:space="preserve">.  </w:t>
      </w:r>
    </w:p>
    <w:p w:rsidR="003607E9" w:rsidRDefault="00595296" w:rsidP="00595296">
      <w:pPr>
        <w:autoSpaceDE w:val="0"/>
        <w:autoSpaceDN w:val="0"/>
        <w:adjustRightInd w:val="0"/>
        <w:spacing w:after="120" w:line="360" w:lineRule="auto"/>
        <w:jc w:val="both"/>
        <w:rPr>
          <w:rFonts w:ascii="David" w:hAnsi="David"/>
          <w:color w:val="000000"/>
          <w:rtl/>
        </w:rPr>
      </w:pPr>
      <w:r>
        <w:rPr>
          <w:rFonts w:ascii="David" w:hAnsi="David" w:hint="cs"/>
          <w:color w:val="000000"/>
          <w:rtl/>
        </w:rPr>
        <w:t xml:space="preserve">לשם </w:t>
      </w:r>
      <w:r w:rsidR="003607E9">
        <w:rPr>
          <w:rFonts w:ascii="David" w:hAnsi="David" w:hint="cs"/>
          <w:color w:val="000000"/>
          <w:rtl/>
        </w:rPr>
        <w:t xml:space="preserve">הבדיקה נשתמש בנתונים ממאגר </w:t>
      </w:r>
      <w:r w:rsidR="003607E9">
        <w:rPr>
          <w:rFonts w:ascii="David" w:hAnsi="David"/>
          <w:color w:val="000000"/>
        </w:rPr>
        <w:t>Fitch Connect</w:t>
      </w:r>
      <w:r>
        <w:rPr>
          <w:rFonts w:ascii="David" w:hAnsi="David" w:hint="cs"/>
          <w:color w:val="000000"/>
          <w:rtl/>
        </w:rPr>
        <w:t>, ה</w:t>
      </w:r>
      <w:r w:rsidR="003607E9">
        <w:rPr>
          <w:rFonts w:ascii="David" w:hAnsi="David" w:hint="cs"/>
          <w:color w:val="000000"/>
          <w:rtl/>
        </w:rPr>
        <w:t>מספק נתוני מאזנים של בנקים בכל העולם</w:t>
      </w:r>
      <w:r>
        <w:rPr>
          <w:rFonts w:ascii="David" w:hAnsi="David" w:hint="cs"/>
          <w:color w:val="000000"/>
          <w:rtl/>
        </w:rPr>
        <w:t>,</w:t>
      </w:r>
      <w:r w:rsidR="003607E9">
        <w:rPr>
          <w:rFonts w:ascii="David" w:hAnsi="David" w:hint="cs"/>
          <w:color w:val="000000"/>
          <w:rtl/>
        </w:rPr>
        <w:t xml:space="preserve"> ובפרט של מדינות ה</w:t>
      </w:r>
      <w:r w:rsidR="00032698">
        <w:rPr>
          <w:rFonts w:ascii="David" w:hAnsi="David" w:hint="cs"/>
          <w:color w:val="000000"/>
          <w:rtl/>
        </w:rPr>
        <w:t>-</w:t>
      </w:r>
      <w:r w:rsidR="003607E9">
        <w:rPr>
          <w:rFonts w:ascii="David" w:hAnsi="David" w:hint="cs"/>
          <w:color w:val="000000"/>
        </w:rPr>
        <w:t>OECD</w:t>
      </w:r>
      <w:r w:rsidR="003607E9">
        <w:rPr>
          <w:rFonts w:ascii="David" w:hAnsi="David" w:hint="cs"/>
          <w:color w:val="000000"/>
          <w:rtl/>
        </w:rPr>
        <w:t xml:space="preserve">. הנתונים כוללים </w:t>
      </w:r>
      <w:r w:rsidR="0061399E">
        <w:rPr>
          <w:rFonts w:ascii="David" w:hAnsi="David" w:hint="cs"/>
          <w:color w:val="000000"/>
          <w:rtl/>
        </w:rPr>
        <w:t>144,216</w:t>
      </w:r>
      <w:r w:rsidR="003607E9">
        <w:rPr>
          <w:rFonts w:ascii="David" w:hAnsi="David" w:hint="cs"/>
          <w:color w:val="000000"/>
          <w:rtl/>
        </w:rPr>
        <w:t xml:space="preserve"> תצפיות עבור </w:t>
      </w:r>
      <w:r w:rsidR="0061399E">
        <w:rPr>
          <w:rFonts w:ascii="David" w:hAnsi="David" w:hint="cs"/>
          <w:color w:val="000000"/>
          <w:rtl/>
        </w:rPr>
        <w:t xml:space="preserve">9,828 </w:t>
      </w:r>
      <w:r w:rsidR="003607E9">
        <w:rPr>
          <w:rFonts w:ascii="David" w:hAnsi="David" w:hint="cs"/>
          <w:color w:val="000000"/>
          <w:rtl/>
        </w:rPr>
        <w:t>בנקים ב</w:t>
      </w:r>
      <w:r w:rsidR="002F5844">
        <w:rPr>
          <w:rFonts w:ascii="David" w:hAnsi="David" w:hint="cs"/>
          <w:color w:val="000000"/>
          <w:rtl/>
        </w:rPr>
        <w:t>-</w:t>
      </w:r>
      <w:r w:rsidR="003607E9">
        <w:rPr>
          <w:rFonts w:ascii="David" w:hAnsi="David" w:hint="cs"/>
          <w:color w:val="000000"/>
          <w:rtl/>
        </w:rPr>
        <w:t>30 מדינות בין 2004 ל</w:t>
      </w:r>
      <w:r w:rsidR="002F5844">
        <w:rPr>
          <w:rFonts w:ascii="David" w:hAnsi="David" w:hint="cs"/>
          <w:color w:val="000000"/>
          <w:rtl/>
        </w:rPr>
        <w:t>-</w:t>
      </w:r>
      <w:r w:rsidR="003607E9">
        <w:rPr>
          <w:rFonts w:ascii="David" w:hAnsi="David" w:hint="cs"/>
          <w:color w:val="000000"/>
          <w:rtl/>
        </w:rPr>
        <w:t>2019.</w:t>
      </w:r>
      <w:r w:rsidR="003607E9">
        <w:rPr>
          <w:rStyle w:val="a8"/>
          <w:rFonts w:ascii="David" w:hAnsi="David"/>
          <w:color w:val="000000"/>
          <w:rtl/>
        </w:rPr>
        <w:footnoteReference w:id="9"/>
      </w:r>
      <w:r w:rsidR="003607E9">
        <w:rPr>
          <w:rFonts w:ascii="David" w:hAnsi="David" w:hint="cs"/>
          <w:color w:val="000000"/>
          <w:rtl/>
        </w:rPr>
        <w:t xml:space="preserve"> </w:t>
      </w:r>
      <w:r>
        <w:rPr>
          <w:rFonts w:ascii="David" w:hAnsi="David" w:hint="cs"/>
          <w:color w:val="000000"/>
          <w:rtl/>
        </w:rPr>
        <w:t>השיטה</w:t>
      </w:r>
      <w:r w:rsidR="003607E9">
        <w:rPr>
          <w:rFonts w:ascii="David" w:hAnsi="David" w:hint="cs"/>
          <w:color w:val="000000"/>
          <w:rtl/>
        </w:rPr>
        <w:t xml:space="preserve"> האמפירית מתבססת על </w:t>
      </w:r>
      <w:r w:rsidR="00353859">
        <w:rPr>
          <w:rFonts w:ascii="David" w:hAnsi="David" w:hint="cs"/>
          <w:color w:val="000000"/>
          <w:rtl/>
        </w:rPr>
        <w:t xml:space="preserve">אמידה </w:t>
      </w:r>
      <w:r w:rsidR="003607E9">
        <w:rPr>
          <w:rFonts w:ascii="David" w:hAnsi="David" w:hint="cs"/>
          <w:color w:val="000000"/>
          <w:rtl/>
        </w:rPr>
        <w:t>של</w:t>
      </w:r>
      <w:r w:rsidR="003607E9" w:rsidRPr="007E6B3D">
        <w:rPr>
          <w:rFonts w:ascii="David" w:hAnsi="David" w:hint="cs"/>
          <w:color w:val="000000"/>
          <w:rtl/>
        </w:rPr>
        <w:t xml:space="preserve"> רגרסיית פ</w:t>
      </w:r>
      <w:r w:rsidR="003607E9">
        <w:rPr>
          <w:rFonts w:ascii="David" w:hAnsi="David" w:hint="cs"/>
          <w:color w:val="000000"/>
          <w:rtl/>
        </w:rPr>
        <w:t>א</w:t>
      </w:r>
      <w:r w:rsidR="003607E9" w:rsidRPr="007E6B3D">
        <w:rPr>
          <w:rFonts w:ascii="David" w:hAnsi="David" w:hint="cs"/>
          <w:color w:val="000000"/>
          <w:rtl/>
        </w:rPr>
        <w:t>נל פשוטה</w:t>
      </w:r>
      <w:r w:rsidR="00735B45">
        <w:rPr>
          <w:rFonts w:ascii="David" w:hAnsi="David" w:hint="cs"/>
          <w:color w:val="000000"/>
          <w:rtl/>
        </w:rPr>
        <w:t>,</w:t>
      </w:r>
      <w:r w:rsidR="003607E9">
        <w:rPr>
          <w:rFonts w:ascii="David" w:hAnsi="David" w:hint="cs"/>
          <w:color w:val="000000"/>
          <w:rtl/>
        </w:rPr>
        <w:t xml:space="preserve"> עם השפעות קבועות לזמן ולבנק</w:t>
      </w:r>
      <w:r w:rsidR="00735B45">
        <w:rPr>
          <w:rFonts w:ascii="David" w:hAnsi="David" w:hint="cs"/>
          <w:color w:val="000000"/>
          <w:rtl/>
        </w:rPr>
        <w:t>,</w:t>
      </w:r>
      <w:r w:rsidR="003607E9">
        <w:rPr>
          <w:rFonts w:ascii="David" w:hAnsi="David" w:hint="cs"/>
          <w:color w:val="000000"/>
          <w:rtl/>
        </w:rPr>
        <w:t xml:space="preserve"> אשר בודקת את הקשר בין </w:t>
      </w:r>
      <w:r w:rsidR="00744610">
        <w:rPr>
          <w:rFonts w:ascii="David" w:hAnsi="David" w:hint="cs"/>
          <w:color w:val="000000"/>
          <w:rtl/>
        </w:rPr>
        <w:t>השינוי השנתי ב</w:t>
      </w:r>
      <w:r w:rsidR="003607E9">
        <w:rPr>
          <w:rFonts w:ascii="David" w:hAnsi="David" w:hint="cs"/>
          <w:color w:val="000000"/>
          <w:rtl/>
        </w:rPr>
        <w:t xml:space="preserve">ריבית השוק הקצרה </w:t>
      </w:r>
      <w:r>
        <w:rPr>
          <w:rFonts w:ascii="David" w:hAnsi="David" w:hint="cs"/>
          <w:color w:val="000000"/>
          <w:rtl/>
        </w:rPr>
        <w:t xml:space="preserve">לשינוי </w:t>
      </w:r>
      <w:r w:rsidR="00744610" w:rsidRPr="00A26DE9">
        <w:rPr>
          <w:rFonts w:ascii="David" w:hAnsi="David" w:hint="eastAsia"/>
          <w:color w:val="000000"/>
          <w:rtl/>
        </w:rPr>
        <w:t>ב</w:t>
      </w:r>
      <w:r w:rsidR="003607E9" w:rsidRPr="00A26DE9">
        <w:rPr>
          <w:rFonts w:ascii="David" w:hAnsi="David" w:hint="eastAsia"/>
          <w:color w:val="000000"/>
          <w:rtl/>
        </w:rPr>
        <w:t>ריבית</w:t>
      </w:r>
      <w:r w:rsidR="003607E9" w:rsidRPr="00A26DE9">
        <w:rPr>
          <w:rFonts w:ascii="David" w:hAnsi="David"/>
          <w:color w:val="000000"/>
          <w:rtl/>
        </w:rPr>
        <w:t xml:space="preserve"> </w:t>
      </w:r>
      <w:r w:rsidR="003607E9" w:rsidRPr="00A26DE9">
        <w:rPr>
          <w:rFonts w:ascii="David" w:hAnsi="David" w:hint="eastAsia"/>
          <w:color w:val="000000"/>
          <w:rtl/>
        </w:rPr>
        <w:t>האפקטיבית</w:t>
      </w:r>
      <w:r w:rsidR="003607E9" w:rsidRPr="00A26DE9">
        <w:rPr>
          <w:rFonts w:ascii="David" w:hAnsi="David"/>
          <w:color w:val="000000"/>
          <w:rtl/>
        </w:rPr>
        <w:t xml:space="preserve"> </w:t>
      </w:r>
      <w:r>
        <w:rPr>
          <w:rFonts w:ascii="David" w:hAnsi="David" w:hint="cs"/>
          <w:color w:val="000000"/>
          <w:rtl/>
        </w:rPr>
        <w:t>על</w:t>
      </w:r>
      <w:r w:rsidR="003607E9" w:rsidRPr="00A26DE9">
        <w:rPr>
          <w:rFonts w:ascii="David" w:hAnsi="David"/>
          <w:color w:val="000000"/>
          <w:rtl/>
        </w:rPr>
        <w:t xml:space="preserve"> </w:t>
      </w:r>
      <w:r w:rsidR="003607E9" w:rsidRPr="00A26DE9">
        <w:rPr>
          <w:rFonts w:ascii="David" w:hAnsi="David" w:hint="eastAsia"/>
          <w:color w:val="000000"/>
          <w:rtl/>
        </w:rPr>
        <w:t>התחייבויות</w:t>
      </w:r>
      <w:r w:rsidR="003607E9" w:rsidRPr="00A26DE9">
        <w:rPr>
          <w:rFonts w:ascii="David" w:hAnsi="David"/>
          <w:color w:val="000000"/>
          <w:rtl/>
        </w:rPr>
        <w:t xml:space="preserve"> </w:t>
      </w:r>
      <w:r w:rsidR="003607E9" w:rsidRPr="00A26DE9">
        <w:rPr>
          <w:rFonts w:ascii="David" w:hAnsi="David" w:hint="eastAsia"/>
          <w:color w:val="000000"/>
          <w:rtl/>
        </w:rPr>
        <w:t>הבנק</w:t>
      </w:r>
      <w:r w:rsidR="003607E9">
        <w:rPr>
          <w:rFonts w:ascii="David" w:hAnsi="David" w:hint="cs"/>
          <w:color w:val="000000"/>
          <w:rtl/>
        </w:rPr>
        <w:t>:</w:t>
      </w:r>
      <w:r w:rsidR="003607E9">
        <w:rPr>
          <w:rStyle w:val="a8"/>
          <w:rFonts w:ascii="David" w:hAnsi="David"/>
          <w:color w:val="000000"/>
          <w:rtl/>
        </w:rPr>
        <w:footnoteReference w:id="10"/>
      </w: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7643"/>
      </w:tblGrid>
      <w:tr w:rsidR="003607E9" w:rsidTr="00F563F5">
        <w:tc>
          <w:tcPr>
            <w:tcW w:w="653" w:type="dxa"/>
            <w:vAlign w:val="center"/>
          </w:tcPr>
          <w:p w:rsidR="003607E9" w:rsidRDefault="003607E9" w:rsidP="00F563F5">
            <w:pPr>
              <w:autoSpaceDE w:val="0"/>
              <w:autoSpaceDN w:val="0"/>
              <w:adjustRightInd w:val="0"/>
              <w:spacing w:after="120" w:line="360" w:lineRule="auto"/>
              <w:jc w:val="center"/>
              <w:rPr>
                <w:rFonts w:ascii="David" w:hAnsi="David"/>
                <w:color w:val="000000"/>
                <w:rtl/>
              </w:rPr>
            </w:pPr>
            <w:r>
              <w:rPr>
                <w:rFonts w:ascii="David" w:hAnsi="David" w:hint="cs"/>
                <w:color w:val="000000"/>
                <w:rtl/>
              </w:rPr>
              <w:t>(1)</w:t>
            </w:r>
          </w:p>
        </w:tc>
        <w:tc>
          <w:tcPr>
            <w:tcW w:w="7643" w:type="dxa"/>
            <w:vAlign w:val="center"/>
          </w:tcPr>
          <w:p w:rsidR="003607E9" w:rsidRPr="00912961" w:rsidRDefault="003607E9" w:rsidP="00F563F5">
            <w:pPr>
              <w:autoSpaceDE w:val="0"/>
              <w:autoSpaceDN w:val="0"/>
              <w:adjustRightInd w:val="0"/>
              <w:spacing w:after="120" w:line="360" w:lineRule="auto"/>
              <w:jc w:val="both"/>
              <w:rPr>
                <w:rFonts w:ascii="David" w:hAnsi="David"/>
                <w:i/>
                <w:color w:val="000000"/>
                <w:rtl/>
              </w:rPr>
            </w:pPr>
            <m:oMathPara>
              <m:oMath>
                <m:r>
                  <m:rPr>
                    <m:sty m:val="p"/>
                  </m:rPr>
                  <w:rPr>
                    <w:rFonts w:ascii="Cambria Math" w:hAnsi="Cambria Math" w:cs="Arial" w:hint="cs"/>
                    <w:color w:val="000000"/>
                    <w:rtl/>
                  </w:rPr>
                  <m:t>∆</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i,t</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γ</m:t>
                    </m:r>
                  </m:e>
                  <m:sub>
                    <m:r>
                      <w:rPr>
                        <w:rFonts w:ascii="Cambria Math" w:hAnsi="Cambria Math"/>
                        <w:color w:val="000000"/>
                      </w:rPr>
                      <m:t>t</m:t>
                    </m:r>
                  </m:sub>
                </m:sSub>
                <m:r>
                  <w:rPr>
                    <w:rFonts w:ascii="Cambria Math" w:hAnsi="Cambria Math"/>
                    <w:color w:val="000000"/>
                  </w:rPr>
                  <m:t>+ ∆</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i,t</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ε</m:t>
                    </m:r>
                  </m:e>
                  <m:sub>
                    <m:r>
                      <w:rPr>
                        <w:rFonts w:ascii="Cambria Math" w:hAnsi="Cambria Math"/>
                        <w:color w:val="000000"/>
                      </w:rPr>
                      <m:t>i,t</m:t>
                    </m:r>
                  </m:sub>
                </m:sSub>
              </m:oMath>
            </m:oMathPara>
          </w:p>
        </w:tc>
      </w:tr>
    </w:tbl>
    <w:p w:rsidR="0061399E" w:rsidRDefault="003607E9" w:rsidP="003766A0">
      <w:pPr>
        <w:autoSpaceDE w:val="0"/>
        <w:autoSpaceDN w:val="0"/>
        <w:adjustRightInd w:val="0"/>
        <w:spacing w:after="120" w:line="360" w:lineRule="auto"/>
        <w:jc w:val="both"/>
        <w:rPr>
          <w:rFonts w:ascii="David" w:hAnsi="David"/>
          <w:color w:val="000000"/>
          <w:rtl/>
        </w:rPr>
      </w:pPr>
      <w:r>
        <w:rPr>
          <w:rFonts w:ascii="David" w:hAnsi="David" w:hint="cs"/>
          <w:color w:val="000000"/>
          <w:rtl/>
        </w:rPr>
        <w:lastRenderedPageBreak/>
        <w:t xml:space="preserve">כאשר </w:t>
      </w:r>
      <m:oMath>
        <m:r>
          <m:rPr>
            <m:sty m:val="p"/>
          </m:rPr>
          <w:rPr>
            <w:rFonts w:ascii="Cambria Math" w:hAnsi="Cambria Math" w:cs="Arial" w:hint="cs"/>
            <w:color w:val="000000"/>
            <w:rtl/>
          </w:rPr>
          <m:t>∆</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i,t</m:t>
            </m:r>
          </m:sub>
        </m:sSub>
      </m:oMath>
      <w:r w:rsidR="000C1150">
        <w:rPr>
          <w:rFonts w:ascii="David" w:hAnsi="David" w:hint="cs"/>
          <w:color w:val="000000"/>
          <w:rtl/>
        </w:rPr>
        <w:t xml:space="preserve"> הוא</w:t>
      </w:r>
      <w:r>
        <w:rPr>
          <w:rFonts w:ascii="David" w:hAnsi="David" w:hint="cs"/>
          <w:color w:val="000000"/>
          <w:rtl/>
        </w:rPr>
        <w:t xml:space="preserve"> השינוי </w:t>
      </w:r>
      <w:r w:rsidRPr="00A26DE9">
        <w:rPr>
          <w:rFonts w:ascii="David" w:hAnsi="David" w:hint="eastAsia"/>
          <w:color w:val="000000"/>
          <w:rtl/>
        </w:rPr>
        <w:t>בריבית</w:t>
      </w:r>
      <w:r w:rsidRPr="00A26DE9">
        <w:rPr>
          <w:rFonts w:ascii="David" w:hAnsi="David"/>
          <w:color w:val="000000"/>
          <w:rtl/>
        </w:rPr>
        <w:t xml:space="preserve"> </w:t>
      </w:r>
      <w:r w:rsidRPr="00A26DE9">
        <w:rPr>
          <w:rFonts w:ascii="David" w:hAnsi="David" w:hint="eastAsia"/>
          <w:color w:val="000000"/>
          <w:rtl/>
        </w:rPr>
        <w:t>האפקטיבית</w:t>
      </w:r>
      <w:r>
        <w:rPr>
          <w:rFonts w:ascii="David" w:hAnsi="David" w:hint="cs"/>
          <w:color w:val="000000"/>
          <w:rtl/>
        </w:rPr>
        <w:t xml:space="preserve"> של בנק</w:t>
      </w:r>
      <w:r w:rsidR="007618BA">
        <w:rPr>
          <w:rFonts w:ascii="David" w:hAnsi="David" w:hint="cs"/>
          <w:color w:val="000000"/>
          <w:rtl/>
        </w:rPr>
        <w:t xml:space="preserve"> </w:t>
      </w:r>
      <w:r>
        <w:rPr>
          <w:rFonts w:ascii="David" w:hAnsi="David" w:hint="cs"/>
          <w:color w:val="000000"/>
          <w:rtl/>
        </w:rPr>
        <w:t xml:space="preserve"> </w:t>
      </w:r>
      <w:proofErr w:type="spellStart"/>
      <w:r>
        <w:rPr>
          <w:rFonts w:ascii="David" w:hAnsi="David"/>
          <w:i/>
          <w:iCs/>
          <w:color w:val="000000"/>
        </w:rPr>
        <w:t>i</w:t>
      </w:r>
      <w:proofErr w:type="spellEnd"/>
      <w:r>
        <w:rPr>
          <w:rFonts w:ascii="David" w:hAnsi="David" w:hint="cs"/>
          <w:i/>
          <w:iCs/>
          <w:color w:val="000000"/>
          <w:rtl/>
        </w:rPr>
        <w:t xml:space="preserve"> </w:t>
      </w:r>
      <w:r>
        <w:rPr>
          <w:rFonts w:ascii="David" w:hAnsi="David" w:hint="cs"/>
          <w:color w:val="000000"/>
          <w:rtl/>
        </w:rPr>
        <w:t xml:space="preserve">בין שנה </w:t>
      </w:r>
      <w:r>
        <w:rPr>
          <w:rFonts w:ascii="David" w:hAnsi="David"/>
          <w:i/>
          <w:iCs/>
          <w:color w:val="000000"/>
        </w:rPr>
        <w:t>t-1</w:t>
      </w:r>
      <w:r>
        <w:rPr>
          <w:rFonts w:ascii="David" w:hAnsi="David" w:hint="cs"/>
          <w:color w:val="000000"/>
          <w:rtl/>
        </w:rPr>
        <w:t xml:space="preserve"> לשנה</w:t>
      </w:r>
      <w:r w:rsidR="000C1150">
        <w:rPr>
          <w:rFonts w:ascii="David" w:hAnsi="David" w:hint="cs"/>
          <w:color w:val="000000"/>
          <w:rtl/>
        </w:rPr>
        <w:t xml:space="preserve"> </w:t>
      </w:r>
      <w:r>
        <w:rPr>
          <w:rFonts w:ascii="David" w:hAnsi="David" w:hint="cs"/>
          <w:color w:val="000000"/>
          <w:rtl/>
        </w:rPr>
        <w:t xml:space="preserve"> </w:t>
      </w:r>
      <w:r>
        <w:rPr>
          <w:rFonts w:ascii="David" w:hAnsi="David"/>
          <w:i/>
          <w:iCs/>
          <w:color w:val="000000"/>
        </w:rPr>
        <w:t>t</w:t>
      </w:r>
      <w:r>
        <w:rPr>
          <w:rFonts w:ascii="David" w:hAnsi="David" w:hint="cs"/>
          <w:color w:val="000000"/>
          <w:rtl/>
        </w:rPr>
        <w:t>,</w:t>
      </w:r>
      <w:r w:rsidR="00EE0780">
        <w:rPr>
          <w:rFonts w:ascii="David" w:hAnsi="David" w:hint="cs"/>
          <w:color w:val="000000"/>
          <w:rtl/>
        </w:rPr>
        <w:t xml:space="preserve"> ו-</w:t>
      </w:r>
      <w:r>
        <w:rPr>
          <w:rFonts w:ascii="David" w:hAnsi="David" w:hint="cs"/>
          <w:color w:val="000000"/>
          <w:rtl/>
        </w:rPr>
        <w:t xml:space="preserve"> </w:t>
      </w:r>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i,t</m:t>
            </m:r>
          </m:sub>
        </m:sSub>
      </m:oMath>
      <w:r w:rsidR="000C1150">
        <w:rPr>
          <w:rFonts w:ascii="David" w:hAnsi="David" w:hint="cs"/>
          <w:color w:val="000000"/>
          <w:rtl/>
        </w:rPr>
        <w:t xml:space="preserve"> הוא</w:t>
      </w:r>
      <w:r>
        <w:rPr>
          <w:rFonts w:ascii="David" w:hAnsi="David" w:hint="cs"/>
          <w:color w:val="000000"/>
          <w:rtl/>
        </w:rPr>
        <w:t xml:space="preserve"> השינוי בריבית השוק הקצרה באותה תקופה במדינה שבה הבנק פועל.</w:t>
      </w:r>
      <w:r>
        <w:rPr>
          <w:rStyle w:val="a8"/>
          <w:rFonts w:ascii="David" w:hAnsi="David"/>
          <w:color w:val="000000"/>
          <w:rtl/>
        </w:rPr>
        <w:footnoteReference w:id="11"/>
      </w:r>
      <w:r>
        <w:rPr>
          <w:rFonts w:ascii="David" w:hAnsi="David" w:hint="cs"/>
          <w:color w:val="000000"/>
          <w:rtl/>
        </w:rPr>
        <w:t xml:space="preserve"> </w:t>
      </w:r>
      <m:oMath>
        <m:sSub>
          <m:sSubPr>
            <m:ctrlPr>
              <w:rPr>
                <w:rFonts w:ascii="Cambria Math" w:hAnsi="Cambria Math"/>
                <w:i/>
                <w:color w:val="000000"/>
              </w:rPr>
            </m:ctrlPr>
          </m:sSubPr>
          <m:e>
            <m:r>
              <w:rPr>
                <w:rFonts w:ascii="Cambria Math" w:hAnsi="Cambria Math"/>
                <w:color w:val="000000"/>
              </w:rPr>
              <m:t>α</m:t>
            </m:r>
          </m:e>
          <m:sub>
            <m:r>
              <w:rPr>
                <w:rFonts w:ascii="Cambria Math" w:hAnsi="Cambria Math"/>
                <w:color w:val="000000"/>
              </w:rPr>
              <m:t>i</m:t>
            </m:r>
          </m:sub>
        </m:sSub>
      </m:oMath>
      <w:r>
        <w:rPr>
          <w:rFonts w:ascii="David" w:hAnsi="David" w:hint="cs"/>
          <w:color w:val="000000"/>
          <w:rtl/>
        </w:rPr>
        <w:t xml:space="preserve"> ו </w:t>
      </w:r>
      <m:oMath>
        <m:sSub>
          <m:sSubPr>
            <m:ctrlPr>
              <w:rPr>
                <w:rFonts w:ascii="Cambria Math" w:hAnsi="Cambria Math"/>
                <w:i/>
                <w:color w:val="000000"/>
              </w:rPr>
            </m:ctrlPr>
          </m:sSubPr>
          <m:e>
            <m:r>
              <w:rPr>
                <w:rFonts w:ascii="Cambria Math" w:hAnsi="Cambria Math"/>
                <w:color w:val="000000"/>
              </w:rPr>
              <m:t>γ</m:t>
            </m:r>
          </m:e>
          <m:sub>
            <m:r>
              <w:rPr>
                <w:rFonts w:ascii="Cambria Math" w:hAnsi="Cambria Math"/>
                <w:color w:val="000000"/>
              </w:rPr>
              <m:t>t</m:t>
            </m:r>
          </m:sub>
        </m:sSub>
      </m:oMath>
      <w:r>
        <w:rPr>
          <w:rFonts w:ascii="David" w:hAnsi="David" w:hint="cs"/>
          <w:color w:val="000000"/>
          <w:rtl/>
        </w:rPr>
        <w:t xml:space="preserve"> הם משתנים קבועים לבנק ולזמן</w:t>
      </w:r>
      <w:r w:rsidR="000C1150">
        <w:rPr>
          <w:rFonts w:ascii="David" w:hAnsi="David" w:hint="cs"/>
          <w:color w:val="000000"/>
          <w:rtl/>
        </w:rPr>
        <w:t>,</w:t>
      </w:r>
      <w:r>
        <w:rPr>
          <w:rFonts w:ascii="David" w:hAnsi="David" w:hint="cs"/>
          <w:color w:val="000000"/>
          <w:rtl/>
        </w:rPr>
        <w:t xml:space="preserve"> בהתאמה.</w:t>
      </w:r>
      <w:r>
        <w:rPr>
          <w:rStyle w:val="a8"/>
          <w:rFonts w:ascii="David" w:hAnsi="David"/>
          <w:color w:val="000000"/>
          <w:rtl/>
        </w:rPr>
        <w:footnoteReference w:id="12"/>
      </w:r>
      <w:r w:rsidR="003766A0">
        <w:rPr>
          <w:rFonts w:ascii="David" w:hAnsi="David" w:hint="cs"/>
          <w:color w:val="000000"/>
          <w:rtl/>
        </w:rPr>
        <w:t xml:space="preserve"> </w:t>
      </w:r>
    </w:p>
    <w:p w:rsidR="003607E9" w:rsidRDefault="003607E9" w:rsidP="007618BA">
      <w:pPr>
        <w:autoSpaceDE w:val="0"/>
        <w:autoSpaceDN w:val="0"/>
        <w:adjustRightInd w:val="0"/>
        <w:spacing w:after="120" w:line="360" w:lineRule="auto"/>
        <w:jc w:val="both"/>
        <w:rPr>
          <w:rFonts w:ascii="David" w:hAnsi="David"/>
          <w:color w:val="000000"/>
          <w:rtl/>
        </w:rPr>
      </w:pPr>
      <w:r>
        <w:rPr>
          <w:rFonts w:ascii="David" w:hAnsi="David" w:hint="cs"/>
          <w:color w:val="000000"/>
          <w:rtl/>
        </w:rPr>
        <w:t xml:space="preserve">כדי לבדוק את ההשפעה של רמת הריבית, הנזילות וכוח השוק </w:t>
      </w:r>
      <w:r w:rsidR="00353859">
        <w:rPr>
          <w:rFonts w:ascii="David" w:hAnsi="David" w:hint="cs"/>
          <w:color w:val="000000"/>
          <w:rtl/>
        </w:rPr>
        <w:t xml:space="preserve">אמדנו </w:t>
      </w:r>
      <w:r>
        <w:rPr>
          <w:rFonts w:ascii="David" w:hAnsi="David" w:hint="cs"/>
          <w:color w:val="000000"/>
          <w:rtl/>
        </w:rPr>
        <w:t>את הרגרסיה</w:t>
      </w:r>
      <w:r w:rsidR="0061399E">
        <w:rPr>
          <w:rFonts w:ascii="David" w:hAnsi="David" w:hint="cs"/>
          <w:color w:val="000000"/>
          <w:rtl/>
        </w:rPr>
        <w:t xml:space="preserve"> הבסיסית בתוספת אינטראקציו</w:t>
      </w:r>
      <w:r w:rsidR="0061399E">
        <w:rPr>
          <w:rFonts w:ascii="David" w:hAnsi="David" w:hint="eastAsia"/>
          <w:color w:val="000000"/>
          <w:rtl/>
        </w:rPr>
        <w:t>ת</w:t>
      </w:r>
      <w:r w:rsidR="0061399E">
        <w:rPr>
          <w:rFonts w:ascii="David" w:hAnsi="David" w:hint="cs"/>
          <w:color w:val="000000"/>
          <w:rtl/>
        </w:rPr>
        <w:t xml:space="preserve"> עם</w:t>
      </w:r>
      <w:r w:rsidR="007618BA">
        <w:rPr>
          <w:rFonts w:ascii="David" w:hAnsi="David" w:hint="cs"/>
          <w:color w:val="000000"/>
          <w:rtl/>
        </w:rPr>
        <w:t xml:space="preserve"> מספר משתנים. </w:t>
      </w:r>
      <w:r w:rsidR="000C1150">
        <w:rPr>
          <w:rFonts w:ascii="David" w:hAnsi="David" w:hint="cs"/>
          <w:color w:val="000000"/>
          <w:rtl/>
        </w:rPr>
        <w:t xml:space="preserve">כדי </w:t>
      </w:r>
      <w:r w:rsidR="00780B7B">
        <w:rPr>
          <w:rFonts w:ascii="David" w:hAnsi="David" w:hint="cs"/>
          <w:color w:val="000000"/>
          <w:rtl/>
        </w:rPr>
        <w:t xml:space="preserve">לאמוד את ההשפעה של סביבת ריבית נמוכה הוספנו </w:t>
      </w:r>
      <w:r w:rsidR="0061399E">
        <w:rPr>
          <w:rFonts w:ascii="David" w:hAnsi="David" w:hint="cs"/>
          <w:color w:val="000000"/>
          <w:rtl/>
        </w:rPr>
        <w:t>משתנה דמי</w:t>
      </w:r>
      <w:r w:rsidR="000C1150">
        <w:rPr>
          <w:rFonts w:ascii="David" w:hAnsi="David" w:hint="cs"/>
          <w:color w:val="000000"/>
          <w:rtl/>
        </w:rPr>
        <w:t>, השווה ל-1</w:t>
      </w:r>
      <w:r w:rsidR="00780B7B">
        <w:rPr>
          <w:rFonts w:ascii="David" w:hAnsi="David" w:hint="cs"/>
          <w:color w:val="000000"/>
          <w:rtl/>
        </w:rPr>
        <w:t xml:space="preserve"> כאשר</w:t>
      </w:r>
      <w:r>
        <w:rPr>
          <w:rFonts w:ascii="David" w:hAnsi="David" w:hint="cs"/>
          <w:color w:val="000000"/>
          <w:rtl/>
        </w:rPr>
        <w:t xml:space="preserve"> הריבית הייתה מתחת ל1.25%</w:t>
      </w:r>
      <w:r w:rsidR="00A51047">
        <w:rPr>
          <w:rFonts w:ascii="David" w:hAnsi="David" w:hint="cs"/>
          <w:color w:val="000000"/>
          <w:rtl/>
        </w:rPr>
        <w:t>.</w:t>
      </w:r>
      <w:r w:rsidR="00A51047">
        <w:rPr>
          <w:rStyle w:val="a8"/>
          <w:rFonts w:ascii="David" w:hAnsi="David"/>
          <w:color w:val="000000"/>
          <w:rtl/>
        </w:rPr>
        <w:footnoteReference w:id="13"/>
      </w:r>
      <w:r w:rsidR="000C1150">
        <w:rPr>
          <w:rFonts w:ascii="David" w:hAnsi="David" w:hint="cs"/>
          <w:color w:val="000000"/>
          <w:rtl/>
        </w:rPr>
        <w:t xml:space="preserve"> </w:t>
      </w:r>
      <w:r w:rsidR="00A51047">
        <w:rPr>
          <w:rFonts w:ascii="David" w:hAnsi="David" w:hint="cs"/>
          <w:color w:val="000000"/>
          <w:rtl/>
        </w:rPr>
        <w:t>נוסף</w:t>
      </w:r>
      <w:r w:rsidR="000C1150">
        <w:rPr>
          <w:rFonts w:ascii="David" w:hAnsi="David" w:hint="cs"/>
          <w:color w:val="000000"/>
          <w:rtl/>
        </w:rPr>
        <w:t xml:space="preserve"> על כך, כדי לבדוק את השפעות </w:t>
      </w:r>
      <w:r w:rsidR="00A51047">
        <w:rPr>
          <w:rFonts w:ascii="David" w:hAnsi="David" w:hint="cs"/>
          <w:color w:val="000000"/>
          <w:rtl/>
        </w:rPr>
        <w:t xml:space="preserve">הנזילות </w:t>
      </w:r>
      <w:r w:rsidR="00A51047" w:rsidRPr="003318E0">
        <w:rPr>
          <w:rFonts w:ascii="David" w:hAnsi="David" w:hint="eastAsia"/>
          <w:color w:val="000000"/>
          <w:rtl/>
        </w:rPr>
        <w:t>והריכוזיות</w:t>
      </w:r>
      <w:r w:rsidR="00A51047" w:rsidRPr="003318E0">
        <w:rPr>
          <w:rFonts w:ascii="David" w:hAnsi="David"/>
          <w:color w:val="000000"/>
          <w:rtl/>
        </w:rPr>
        <w:t xml:space="preserve"> </w:t>
      </w:r>
      <w:r w:rsidR="00A51047" w:rsidRPr="003318E0">
        <w:rPr>
          <w:rFonts w:ascii="David" w:hAnsi="David" w:hint="eastAsia"/>
          <w:color w:val="000000"/>
          <w:rtl/>
        </w:rPr>
        <w:t>של</w:t>
      </w:r>
      <w:r w:rsidR="00A51047" w:rsidRPr="003318E0">
        <w:rPr>
          <w:rFonts w:ascii="David" w:hAnsi="David"/>
          <w:color w:val="000000"/>
          <w:rtl/>
        </w:rPr>
        <w:t xml:space="preserve"> </w:t>
      </w:r>
      <w:r w:rsidR="00A51047" w:rsidRPr="003318E0">
        <w:rPr>
          <w:rFonts w:ascii="David" w:hAnsi="David" w:hint="eastAsia"/>
          <w:color w:val="000000"/>
          <w:rtl/>
        </w:rPr>
        <w:t>המערכת</w:t>
      </w:r>
      <w:r w:rsidR="00A51047" w:rsidRPr="003318E0">
        <w:rPr>
          <w:rFonts w:ascii="David" w:hAnsi="David"/>
          <w:color w:val="000000"/>
          <w:rtl/>
        </w:rPr>
        <w:t xml:space="preserve"> </w:t>
      </w:r>
      <w:r w:rsidR="00A51047" w:rsidRPr="003318E0">
        <w:rPr>
          <w:rFonts w:ascii="David" w:hAnsi="David" w:hint="eastAsia"/>
          <w:color w:val="000000"/>
          <w:rtl/>
        </w:rPr>
        <w:t>הבנקאית</w:t>
      </w:r>
      <w:r w:rsidR="00EE0780">
        <w:rPr>
          <w:rFonts w:ascii="David" w:hAnsi="David" w:hint="cs"/>
          <w:color w:val="000000"/>
          <w:rtl/>
        </w:rPr>
        <w:t>,</w:t>
      </w:r>
      <w:r w:rsidR="00A51047">
        <w:rPr>
          <w:rFonts w:ascii="David" w:hAnsi="David" w:hint="cs"/>
          <w:color w:val="000000"/>
          <w:rtl/>
        </w:rPr>
        <w:t xml:space="preserve"> </w:t>
      </w:r>
      <w:r w:rsidR="007618BA">
        <w:rPr>
          <w:rFonts w:ascii="David" w:hAnsi="David" w:hint="cs"/>
          <w:color w:val="000000"/>
          <w:rtl/>
        </w:rPr>
        <w:t>הוספנ</w:t>
      </w:r>
      <w:r w:rsidR="007618BA">
        <w:rPr>
          <w:rFonts w:ascii="David" w:hAnsi="David" w:hint="eastAsia"/>
          <w:color w:val="000000"/>
          <w:rtl/>
        </w:rPr>
        <w:t>ו</w:t>
      </w:r>
      <w:r w:rsidR="00780B7B">
        <w:rPr>
          <w:rFonts w:ascii="David" w:hAnsi="David" w:hint="cs"/>
          <w:color w:val="000000"/>
          <w:rtl/>
        </w:rPr>
        <w:t xml:space="preserve"> גם אינטראקציות</w:t>
      </w:r>
      <w:r>
        <w:rPr>
          <w:rFonts w:ascii="David" w:hAnsi="David" w:hint="cs"/>
          <w:color w:val="000000"/>
          <w:rtl/>
        </w:rPr>
        <w:t xml:space="preserve"> </w:t>
      </w:r>
      <w:r w:rsidR="00780B7B">
        <w:rPr>
          <w:rFonts w:ascii="David" w:hAnsi="David" w:hint="cs"/>
          <w:color w:val="000000"/>
          <w:rtl/>
        </w:rPr>
        <w:t>עם</w:t>
      </w:r>
      <w:r>
        <w:rPr>
          <w:rFonts w:ascii="David" w:hAnsi="David" w:hint="cs"/>
          <w:color w:val="000000"/>
          <w:rtl/>
        </w:rPr>
        <w:t xml:space="preserve"> יחס הרזרבה לנכסים </w:t>
      </w:r>
      <w:r w:rsidR="00EE0780">
        <w:rPr>
          <w:rFonts w:ascii="David" w:hAnsi="David" w:hint="cs"/>
          <w:color w:val="000000"/>
          <w:rtl/>
        </w:rPr>
        <w:t>ב</w:t>
      </w:r>
      <w:r w:rsidR="00780B7B">
        <w:rPr>
          <w:rFonts w:ascii="David" w:hAnsi="David" w:hint="cs"/>
          <w:color w:val="000000"/>
          <w:rtl/>
        </w:rPr>
        <w:t>כל בנק ו</w:t>
      </w:r>
      <w:r w:rsidR="00DB2C71">
        <w:rPr>
          <w:rFonts w:ascii="David" w:hAnsi="David" w:hint="cs"/>
          <w:color w:val="000000"/>
          <w:rtl/>
        </w:rPr>
        <w:t xml:space="preserve">מדד </w:t>
      </w:r>
      <w:proofErr w:type="spellStart"/>
      <w:r w:rsidR="00DB2C71">
        <w:rPr>
          <w:rFonts w:ascii="David" w:hAnsi="David" w:hint="cs"/>
          <w:color w:val="000000"/>
          <w:rtl/>
        </w:rPr>
        <w:t>ה</w:t>
      </w:r>
      <w:r>
        <w:rPr>
          <w:rFonts w:ascii="David" w:hAnsi="David" w:hint="cs"/>
          <w:color w:val="000000"/>
          <w:rtl/>
        </w:rPr>
        <w:t>רפינדל</w:t>
      </w:r>
      <w:proofErr w:type="spellEnd"/>
      <w:r>
        <w:rPr>
          <w:rFonts w:ascii="David" w:hAnsi="David" w:hint="cs"/>
          <w:color w:val="000000"/>
          <w:rtl/>
        </w:rPr>
        <w:t xml:space="preserve"> לריכוזיות המערכת הבנקאית.</w:t>
      </w:r>
      <w:r w:rsidR="00C420B4">
        <w:rPr>
          <w:rStyle w:val="a8"/>
          <w:rFonts w:ascii="David" w:hAnsi="David"/>
          <w:color w:val="000000"/>
          <w:rtl/>
        </w:rPr>
        <w:footnoteReference w:id="14"/>
      </w:r>
    </w:p>
    <w:p w:rsidR="007618BA" w:rsidRDefault="008014D8" w:rsidP="008014D8">
      <w:pPr>
        <w:autoSpaceDE w:val="0"/>
        <w:autoSpaceDN w:val="0"/>
        <w:adjustRightInd w:val="0"/>
        <w:spacing w:after="120" w:line="360" w:lineRule="auto"/>
        <w:jc w:val="both"/>
        <w:rPr>
          <w:rFonts w:ascii="David" w:hAnsi="David"/>
          <w:color w:val="000000"/>
          <w:rtl/>
        </w:rPr>
      </w:pPr>
      <w:r>
        <w:rPr>
          <w:rFonts w:ascii="David" w:hAnsi="David" w:hint="cs"/>
          <w:color w:val="000000"/>
          <w:rtl/>
        </w:rPr>
        <w:t>לוח</w:t>
      </w:r>
      <w:r w:rsidR="00443011">
        <w:rPr>
          <w:rFonts w:ascii="David" w:hAnsi="David" w:hint="cs"/>
          <w:color w:val="000000"/>
          <w:rtl/>
        </w:rPr>
        <w:t xml:space="preserve"> 1 מציג את </w:t>
      </w:r>
      <w:r>
        <w:rPr>
          <w:rFonts w:ascii="David" w:hAnsi="David" w:hint="cs"/>
          <w:color w:val="000000"/>
          <w:rtl/>
        </w:rPr>
        <w:t>ה</w:t>
      </w:r>
      <w:r w:rsidR="00443011">
        <w:rPr>
          <w:rFonts w:ascii="David" w:hAnsi="David" w:hint="cs"/>
          <w:color w:val="000000"/>
          <w:rtl/>
        </w:rPr>
        <w:t xml:space="preserve">תוצאות </w:t>
      </w:r>
      <w:r>
        <w:rPr>
          <w:rFonts w:ascii="David" w:hAnsi="David" w:hint="cs"/>
          <w:color w:val="000000"/>
          <w:rtl/>
        </w:rPr>
        <w:t xml:space="preserve">של </w:t>
      </w:r>
      <w:r w:rsidR="00443011">
        <w:rPr>
          <w:rFonts w:ascii="David" w:hAnsi="David" w:hint="cs"/>
          <w:color w:val="000000"/>
          <w:rtl/>
        </w:rPr>
        <w:t xml:space="preserve">אמידת הרגרסיה. </w:t>
      </w:r>
      <w:r>
        <w:rPr>
          <w:rFonts w:ascii="David" w:hAnsi="David" w:hint="cs"/>
          <w:color w:val="000000"/>
          <w:rtl/>
        </w:rPr>
        <w:t>הלוח</w:t>
      </w:r>
      <w:r w:rsidR="00443011">
        <w:rPr>
          <w:rFonts w:ascii="David" w:hAnsi="David" w:hint="cs"/>
          <w:color w:val="000000"/>
          <w:rtl/>
        </w:rPr>
        <w:t xml:space="preserve"> מציג רק את מקדם השינוי בריבית ו</w:t>
      </w:r>
      <w:r w:rsidR="00EE0780">
        <w:rPr>
          <w:rFonts w:ascii="David" w:hAnsi="David" w:hint="cs"/>
          <w:color w:val="000000"/>
          <w:rtl/>
        </w:rPr>
        <w:t xml:space="preserve">את </w:t>
      </w:r>
      <w:r w:rsidR="00443011">
        <w:rPr>
          <w:rFonts w:ascii="David" w:hAnsi="David" w:hint="cs"/>
          <w:color w:val="000000"/>
          <w:rtl/>
        </w:rPr>
        <w:t xml:space="preserve">מקדמי האינטראקציות כדי להתמקד בהשפעה של כל משתנה על הקשר הבסיסי בין הריבית הקצרה </w:t>
      </w:r>
      <w:r w:rsidR="00EE0780">
        <w:rPr>
          <w:rFonts w:ascii="David" w:hAnsi="David" w:hint="cs"/>
          <w:color w:val="000000"/>
          <w:rtl/>
        </w:rPr>
        <w:t xml:space="preserve">להוצאות </w:t>
      </w:r>
      <w:r w:rsidR="00443011">
        <w:rPr>
          <w:rFonts w:ascii="David" w:hAnsi="David" w:hint="cs"/>
          <w:color w:val="000000"/>
          <w:rtl/>
        </w:rPr>
        <w:t>הריבית של הבנקים.</w:t>
      </w:r>
      <w:r w:rsidR="00443011">
        <w:rPr>
          <w:rStyle w:val="a8"/>
          <w:rFonts w:ascii="David" w:hAnsi="David"/>
          <w:color w:val="000000"/>
          <w:rtl/>
        </w:rPr>
        <w:footnoteReference w:id="15"/>
      </w:r>
      <w:r w:rsidR="00443011">
        <w:rPr>
          <w:rFonts w:ascii="David" w:hAnsi="David" w:hint="cs"/>
          <w:color w:val="000000"/>
          <w:rtl/>
        </w:rPr>
        <w:t xml:space="preserve"> </w:t>
      </w:r>
      <w:r>
        <w:rPr>
          <w:rFonts w:ascii="David" w:hAnsi="David" w:hint="cs"/>
          <w:color w:val="000000"/>
          <w:rtl/>
        </w:rPr>
        <w:t>הלוח מחולק</w:t>
      </w:r>
      <w:r w:rsidR="00A551FD">
        <w:rPr>
          <w:rFonts w:ascii="David" w:hAnsi="David" w:hint="cs"/>
          <w:color w:val="000000"/>
          <w:rtl/>
        </w:rPr>
        <w:t xml:space="preserve"> </w:t>
      </w:r>
      <w:r w:rsidR="006A04B4">
        <w:rPr>
          <w:rFonts w:ascii="David" w:hAnsi="David" w:hint="cs"/>
          <w:color w:val="000000"/>
          <w:rtl/>
        </w:rPr>
        <w:t>לעמודות</w:t>
      </w:r>
      <w:r>
        <w:rPr>
          <w:rFonts w:ascii="David" w:hAnsi="David" w:hint="cs"/>
          <w:color w:val="000000"/>
          <w:rtl/>
        </w:rPr>
        <w:t>, שבכל אחת מהן</w:t>
      </w:r>
      <w:r w:rsidR="006A04B4">
        <w:rPr>
          <w:rFonts w:ascii="David" w:hAnsi="David" w:hint="cs"/>
          <w:color w:val="000000"/>
          <w:rtl/>
        </w:rPr>
        <w:t xml:space="preserve"> אנחנו מוסיפים לרגרסיה את אחד המשתנים שיכולים להשפיע על עוצמ</w:t>
      </w:r>
      <w:r>
        <w:rPr>
          <w:rFonts w:ascii="David" w:hAnsi="David" w:hint="cs"/>
          <w:color w:val="000000"/>
          <w:rtl/>
        </w:rPr>
        <w:t xml:space="preserve">ת התמסורת. בעמודה האחרונה נאמדת </w:t>
      </w:r>
      <w:r w:rsidR="006A04B4">
        <w:rPr>
          <w:rFonts w:ascii="David" w:hAnsi="David" w:hint="cs"/>
          <w:color w:val="000000"/>
          <w:rtl/>
        </w:rPr>
        <w:t>הרגרסיה עם כל המשתנים</w:t>
      </w:r>
      <w:r w:rsidR="003E0A48">
        <w:rPr>
          <w:rFonts w:ascii="David" w:hAnsi="David" w:hint="cs"/>
          <w:color w:val="000000"/>
          <w:rtl/>
        </w:rPr>
        <w:t>,</w:t>
      </w:r>
      <w:r w:rsidR="006A04B4">
        <w:rPr>
          <w:rFonts w:ascii="David" w:hAnsi="David" w:hint="cs"/>
          <w:color w:val="000000"/>
          <w:rtl/>
        </w:rPr>
        <w:t xml:space="preserve"> מה שמאפשר </w:t>
      </w:r>
      <w:r w:rsidR="00032698">
        <w:rPr>
          <w:rFonts w:ascii="David" w:hAnsi="David" w:hint="cs"/>
          <w:color w:val="000000"/>
          <w:rtl/>
        </w:rPr>
        <w:t xml:space="preserve">לבודד את </w:t>
      </w:r>
      <w:r w:rsidR="00455438">
        <w:rPr>
          <w:rFonts w:ascii="David" w:hAnsi="David" w:hint="cs"/>
          <w:color w:val="000000"/>
          <w:rtl/>
        </w:rPr>
        <w:t xml:space="preserve">עוצמת ההשפעה של כל אחד. </w:t>
      </w:r>
      <w:r>
        <w:rPr>
          <w:rFonts w:ascii="David" w:hAnsi="David" w:hint="cs"/>
          <w:color w:val="000000"/>
          <w:rtl/>
        </w:rPr>
        <w:t>הלוח</w:t>
      </w:r>
      <w:r w:rsidR="003607E9">
        <w:rPr>
          <w:rFonts w:ascii="David" w:hAnsi="David" w:hint="cs"/>
          <w:color w:val="000000"/>
          <w:rtl/>
        </w:rPr>
        <w:t xml:space="preserve"> מספק מספר </w:t>
      </w:r>
      <w:r w:rsidR="003607E9" w:rsidRPr="00744FC4">
        <w:rPr>
          <w:rFonts w:ascii="David" w:hAnsi="David" w:hint="cs"/>
          <w:color w:val="000000"/>
          <w:rtl/>
        </w:rPr>
        <w:t>תובנות. ראשית הק</w:t>
      </w:r>
      <w:r w:rsidRPr="00744FC4">
        <w:rPr>
          <w:rFonts w:ascii="David" w:hAnsi="David" w:hint="cs"/>
          <w:color w:val="000000"/>
          <w:rtl/>
        </w:rPr>
        <w:t>שר הבסיסי בין ריבית השוק הקצרה ל</w:t>
      </w:r>
      <w:r w:rsidR="003607E9" w:rsidRPr="00744FC4">
        <w:rPr>
          <w:rFonts w:ascii="David" w:hAnsi="David" w:hint="cs"/>
          <w:color w:val="000000"/>
          <w:rtl/>
        </w:rPr>
        <w:t>הוצאות הריבית של הבנקים חיובי ומובהק</w:t>
      </w:r>
      <w:r w:rsidR="00A551FD" w:rsidRPr="00744FC4">
        <w:rPr>
          <w:rFonts w:ascii="David" w:hAnsi="David" w:hint="cs"/>
          <w:color w:val="000000"/>
          <w:rtl/>
        </w:rPr>
        <w:t>,</w:t>
      </w:r>
      <w:r w:rsidR="003607E9" w:rsidRPr="00744FC4">
        <w:rPr>
          <w:rFonts w:ascii="David" w:hAnsi="David" w:hint="cs"/>
          <w:color w:val="000000"/>
          <w:rtl/>
        </w:rPr>
        <w:t xml:space="preserve"> </w:t>
      </w:r>
      <w:r w:rsidRPr="00744FC4">
        <w:rPr>
          <w:rFonts w:ascii="David" w:hAnsi="David" w:hint="cs"/>
          <w:color w:val="000000"/>
          <w:rtl/>
        </w:rPr>
        <w:t>כצפוי.</w:t>
      </w:r>
      <w:r w:rsidR="003607E9" w:rsidRPr="00744FC4">
        <w:rPr>
          <w:rFonts w:ascii="David" w:hAnsi="David" w:hint="cs"/>
          <w:color w:val="000000"/>
          <w:rtl/>
        </w:rPr>
        <w:t xml:space="preserve"> </w:t>
      </w:r>
      <w:r w:rsidRPr="00744FC4">
        <w:rPr>
          <w:rFonts w:ascii="David" w:hAnsi="David" w:hint="eastAsia"/>
          <w:color w:val="000000"/>
          <w:rtl/>
        </w:rPr>
        <w:t>נדגיש</w:t>
      </w:r>
      <w:r w:rsidRPr="00744FC4">
        <w:rPr>
          <w:rFonts w:ascii="David" w:hAnsi="David"/>
          <w:color w:val="000000"/>
          <w:rtl/>
        </w:rPr>
        <w:t xml:space="preserve"> </w:t>
      </w:r>
      <w:r w:rsidRPr="00744FC4">
        <w:rPr>
          <w:rFonts w:ascii="David" w:hAnsi="David" w:hint="eastAsia"/>
          <w:color w:val="000000"/>
          <w:rtl/>
        </w:rPr>
        <w:t>שהואיל</w:t>
      </w:r>
      <w:r w:rsidRPr="00744FC4">
        <w:rPr>
          <w:rFonts w:ascii="David" w:hAnsi="David"/>
          <w:color w:val="000000"/>
          <w:rtl/>
        </w:rPr>
        <w:t xml:space="preserve"> </w:t>
      </w:r>
      <w:r w:rsidRPr="00744FC4">
        <w:rPr>
          <w:rFonts w:ascii="David" w:hAnsi="David" w:hint="eastAsia"/>
          <w:color w:val="000000"/>
          <w:rtl/>
        </w:rPr>
        <w:t>ו</w:t>
      </w:r>
      <w:r w:rsidR="007618BA" w:rsidRPr="00744FC4">
        <w:rPr>
          <w:rFonts w:ascii="David" w:hAnsi="David" w:hint="eastAsia"/>
          <w:color w:val="000000"/>
          <w:rtl/>
        </w:rPr>
        <w:t>הריבית</w:t>
      </w:r>
      <w:r w:rsidR="007618BA" w:rsidRPr="00744FC4">
        <w:rPr>
          <w:rFonts w:ascii="David" w:hAnsi="David"/>
          <w:color w:val="000000"/>
          <w:rtl/>
        </w:rPr>
        <w:t xml:space="preserve"> </w:t>
      </w:r>
      <w:r w:rsidR="007618BA" w:rsidRPr="00744FC4">
        <w:rPr>
          <w:rFonts w:ascii="David" w:hAnsi="David" w:hint="eastAsia"/>
          <w:color w:val="000000"/>
          <w:rtl/>
        </w:rPr>
        <w:t>מחושבת</w:t>
      </w:r>
      <w:r w:rsidR="007618BA" w:rsidRPr="00744FC4">
        <w:rPr>
          <w:rFonts w:ascii="David" w:hAnsi="David"/>
          <w:color w:val="000000"/>
          <w:rtl/>
        </w:rPr>
        <w:t xml:space="preserve"> </w:t>
      </w:r>
      <w:r w:rsidR="007618BA" w:rsidRPr="00744FC4">
        <w:rPr>
          <w:rFonts w:ascii="David" w:hAnsi="David" w:hint="eastAsia"/>
          <w:color w:val="000000"/>
          <w:rtl/>
        </w:rPr>
        <w:t>על</w:t>
      </w:r>
      <w:r w:rsidR="007618BA" w:rsidRPr="00744FC4">
        <w:rPr>
          <w:rFonts w:ascii="David" w:hAnsi="David"/>
          <w:color w:val="000000"/>
          <w:rtl/>
        </w:rPr>
        <w:t xml:space="preserve"> </w:t>
      </w:r>
      <w:r w:rsidR="007618BA" w:rsidRPr="00744FC4">
        <w:rPr>
          <w:rFonts w:ascii="David" w:hAnsi="David" w:hint="eastAsia"/>
          <w:color w:val="000000"/>
          <w:rtl/>
        </w:rPr>
        <w:t>סמך</w:t>
      </w:r>
      <w:r w:rsidR="007618BA" w:rsidRPr="00744FC4">
        <w:rPr>
          <w:rFonts w:ascii="David" w:hAnsi="David"/>
          <w:color w:val="000000"/>
          <w:rtl/>
        </w:rPr>
        <w:t xml:space="preserve"> </w:t>
      </w:r>
      <w:r w:rsidR="007618BA" w:rsidRPr="00744FC4">
        <w:rPr>
          <w:rFonts w:ascii="David" w:hAnsi="David" w:hint="eastAsia"/>
          <w:color w:val="000000"/>
          <w:rtl/>
        </w:rPr>
        <w:t>סך</w:t>
      </w:r>
      <w:r w:rsidR="007618BA" w:rsidRPr="00744FC4">
        <w:rPr>
          <w:rFonts w:ascii="David" w:hAnsi="David"/>
          <w:color w:val="000000"/>
          <w:rtl/>
        </w:rPr>
        <w:t xml:space="preserve"> </w:t>
      </w:r>
      <w:r w:rsidR="007618BA" w:rsidRPr="00744FC4">
        <w:rPr>
          <w:rFonts w:ascii="David" w:hAnsi="David" w:hint="eastAsia"/>
          <w:color w:val="000000"/>
          <w:rtl/>
        </w:rPr>
        <w:t>הוצ</w:t>
      </w:r>
      <w:r w:rsidR="003252D4" w:rsidRPr="00744FC4">
        <w:rPr>
          <w:rFonts w:ascii="David" w:hAnsi="David" w:hint="eastAsia"/>
          <w:color w:val="000000"/>
          <w:rtl/>
        </w:rPr>
        <w:t>אות</w:t>
      </w:r>
      <w:r w:rsidR="003252D4" w:rsidRPr="00744FC4">
        <w:rPr>
          <w:rFonts w:ascii="David" w:hAnsi="David"/>
          <w:color w:val="000000"/>
          <w:rtl/>
        </w:rPr>
        <w:t xml:space="preserve"> </w:t>
      </w:r>
      <w:r w:rsidR="003252D4" w:rsidRPr="00744FC4">
        <w:rPr>
          <w:rFonts w:ascii="David" w:hAnsi="David" w:hint="eastAsia"/>
          <w:color w:val="000000"/>
          <w:rtl/>
        </w:rPr>
        <w:t>הריבית</w:t>
      </w:r>
      <w:r w:rsidR="003252D4" w:rsidRPr="00744FC4">
        <w:rPr>
          <w:rFonts w:ascii="David" w:hAnsi="David"/>
          <w:color w:val="000000"/>
          <w:rtl/>
        </w:rPr>
        <w:t xml:space="preserve"> </w:t>
      </w:r>
      <w:r w:rsidR="003252D4" w:rsidRPr="00744FC4">
        <w:rPr>
          <w:rFonts w:ascii="David" w:hAnsi="David" w:hint="eastAsia"/>
          <w:color w:val="000000"/>
          <w:rtl/>
        </w:rPr>
        <w:t>ביחס</w:t>
      </w:r>
      <w:r w:rsidR="003252D4" w:rsidRPr="00744FC4">
        <w:rPr>
          <w:rFonts w:ascii="David" w:hAnsi="David"/>
          <w:color w:val="000000"/>
          <w:rtl/>
        </w:rPr>
        <w:t xml:space="preserve"> </w:t>
      </w:r>
      <w:r w:rsidR="003252D4" w:rsidRPr="00744FC4">
        <w:rPr>
          <w:rFonts w:ascii="David" w:hAnsi="David" w:hint="eastAsia"/>
          <w:color w:val="000000"/>
          <w:rtl/>
        </w:rPr>
        <w:t>לסך</w:t>
      </w:r>
      <w:r w:rsidR="003252D4" w:rsidRPr="00744FC4">
        <w:rPr>
          <w:rFonts w:ascii="David" w:hAnsi="David"/>
          <w:color w:val="000000"/>
          <w:rtl/>
        </w:rPr>
        <w:t xml:space="preserve"> </w:t>
      </w:r>
      <w:r w:rsidR="003252D4" w:rsidRPr="00744FC4">
        <w:rPr>
          <w:rFonts w:ascii="David" w:hAnsi="David" w:hint="eastAsia"/>
          <w:color w:val="000000"/>
          <w:rtl/>
        </w:rPr>
        <w:t>ההתחייבויות</w:t>
      </w:r>
      <w:r w:rsidR="003252D4" w:rsidRPr="00744FC4">
        <w:rPr>
          <w:rFonts w:ascii="David" w:hAnsi="David"/>
          <w:color w:val="000000"/>
          <w:rtl/>
        </w:rPr>
        <w:t xml:space="preserve">, </w:t>
      </w:r>
      <w:r w:rsidR="003252D4" w:rsidRPr="00744FC4">
        <w:rPr>
          <w:rFonts w:ascii="David" w:hAnsi="David" w:hint="eastAsia"/>
          <w:color w:val="000000"/>
          <w:rtl/>
        </w:rPr>
        <w:t>עוצמת</w:t>
      </w:r>
      <w:r w:rsidR="003252D4" w:rsidRPr="00744FC4">
        <w:rPr>
          <w:rFonts w:ascii="David" w:hAnsi="David"/>
          <w:color w:val="000000"/>
          <w:rtl/>
        </w:rPr>
        <w:t xml:space="preserve"> </w:t>
      </w:r>
      <w:r w:rsidR="003252D4" w:rsidRPr="00744FC4">
        <w:rPr>
          <w:rFonts w:ascii="David" w:hAnsi="David" w:hint="eastAsia"/>
          <w:color w:val="000000"/>
          <w:rtl/>
        </w:rPr>
        <w:t>הקשר</w:t>
      </w:r>
      <w:r w:rsidR="003252D4" w:rsidRPr="00744FC4">
        <w:rPr>
          <w:rFonts w:ascii="David" w:hAnsi="David"/>
          <w:color w:val="000000"/>
          <w:rtl/>
        </w:rPr>
        <w:t xml:space="preserve"> </w:t>
      </w:r>
      <w:r w:rsidR="003252D4" w:rsidRPr="00744FC4">
        <w:rPr>
          <w:rFonts w:ascii="David" w:hAnsi="David" w:hint="eastAsia"/>
          <w:color w:val="000000"/>
          <w:rtl/>
        </w:rPr>
        <w:t>תושפע</w:t>
      </w:r>
      <w:r w:rsidR="007618BA" w:rsidRPr="00744FC4">
        <w:rPr>
          <w:rFonts w:ascii="David" w:hAnsi="David"/>
          <w:color w:val="000000"/>
          <w:rtl/>
        </w:rPr>
        <w:t xml:space="preserve"> מתמהיל ההתחייבויו</w:t>
      </w:r>
      <w:r w:rsidR="007618BA" w:rsidRPr="00744FC4">
        <w:rPr>
          <w:rFonts w:ascii="David" w:hAnsi="David" w:hint="eastAsia"/>
          <w:color w:val="000000"/>
          <w:rtl/>
        </w:rPr>
        <w:t>ת</w:t>
      </w:r>
      <w:r w:rsidRPr="00744FC4">
        <w:rPr>
          <w:rFonts w:ascii="David" w:hAnsi="David"/>
          <w:color w:val="000000"/>
          <w:rtl/>
        </w:rPr>
        <w:t xml:space="preserve">, </w:t>
      </w:r>
      <w:r w:rsidRPr="00744FC4">
        <w:rPr>
          <w:rFonts w:ascii="David" w:hAnsi="David" w:hint="eastAsia"/>
          <w:color w:val="000000"/>
          <w:rtl/>
        </w:rPr>
        <w:t>ובמיוחד</w:t>
      </w:r>
      <w:r w:rsidRPr="00744FC4">
        <w:rPr>
          <w:rFonts w:ascii="David" w:hAnsi="David"/>
          <w:color w:val="000000"/>
          <w:rtl/>
        </w:rPr>
        <w:t xml:space="preserve"> </w:t>
      </w:r>
      <w:r w:rsidRPr="00744FC4">
        <w:rPr>
          <w:rFonts w:ascii="David" w:hAnsi="David" w:hint="eastAsia"/>
          <w:color w:val="000000"/>
          <w:rtl/>
        </w:rPr>
        <w:t>מהתקופה</w:t>
      </w:r>
      <w:r w:rsidRPr="00744FC4">
        <w:rPr>
          <w:rFonts w:ascii="David" w:hAnsi="David"/>
          <w:color w:val="000000"/>
          <w:rtl/>
        </w:rPr>
        <w:t>-</w:t>
      </w:r>
      <w:r w:rsidR="007618BA" w:rsidRPr="00744FC4">
        <w:rPr>
          <w:rFonts w:ascii="David" w:hAnsi="David" w:hint="eastAsia"/>
          <w:color w:val="000000"/>
          <w:rtl/>
        </w:rPr>
        <w:t>לפירעון</w:t>
      </w:r>
      <w:r w:rsidR="007618BA" w:rsidRPr="00744FC4">
        <w:rPr>
          <w:rFonts w:ascii="David" w:hAnsi="David"/>
          <w:color w:val="000000"/>
          <w:rtl/>
        </w:rPr>
        <w:t xml:space="preserve"> </w:t>
      </w:r>
      <w:r w:rsidR="007618BA" w:rsidRPr="00744FC4">
        <w:rPr>
          <w:rFonts w:ascii="David" w:hAnsi="David" w:hint="eastAsia"/>
          <w:color w:val="000000"/>
          <w:rtl/>
        </w:rPr>
        <w:t>הממוצעת</w:t>
      </w:r>
      <w:r w:rsidR="00EE0780" w:rsidRPr="00744FC4">
        <w:rPr>
          <w:rFonts w:ascii="David" w:hAnsi="David" w:hint="cs"/>
          <w:color w:val="000000"/>
          <w:rtl/>
        </w:rPr>
        <w:t xml:space="preserve"> שלהן</w:t>
      </w:r>
      <w:r w:rsidR="007618BA" w:rsidRPr="00744FC4">
        <w:rPr>
          <w:rFonts w:ascii="David" w:hAnsi="David"/>
          <w:color w:val="000000"/>
          <w:rtl/>
        </w:rPr>
        <w:t xml:space="preserve"> (בפועל </w:t>
      </w:r>
      <w:r w:rsidR="00EE0780" w:rsidRPr="00744FC4">
        <w:rPr>
          <w:rFonts w:ascii="David" w:hAnsi="David" w:hint="cs"/>
          <w:color w:val="000000"/>
          <w:rtl/>
        </w:rPr>
        <w:t xml:space="preserve">– </w:t>
      </w:r>
      <w:r w:rsidR="007618BA" w:rsidRPr="00744FC4">
        <w:rPr>
          <w:rFonts w:ascii="David" w:hAnsi="David" w:hint="eastAsia"/>
          <w:color w:val="000000"/>
          <w:rtl/>
        </w:rPr>
        <w:t>שיעור</w:t>
      </w:r>
      <w:r w:rsidR="007618BA" w:rsidRPr="00744FC4">
        <w:rPr>
          <w:rFonts w:ascii="David" w:hAnsi="David"/>
          <w:color w:val="000000"/>
          <w:rtl/>
        </w:rPr>
        <w:t xml:space="preserve"> </w:t>
      </w:r>
      <w:r w:rsidR="007618BA" w:rsidRPr="00744FC4">
        <w:rPr>
          <w:rFonts w:ascii="David" w:hAnsi="David" w:hint="eastAsia"/>
          <w:color w:val="000000"/>
          <w:rtl/>
        </w:rPr>
        <w:t>הפיקדונות</w:t>
      </w:r>
      <w:r w:rsidR="007618BA" w:rsidRPr="00744FC4">
        <w:rPr>
          <w:rFonts w:ascii="David" w:hAnsi="David"/>
          <w:color w:val="000000"/>
          <w:rtl/>
        </w:rPr>
        <w:t xml:space="preserve"> </w:t>
      </w:r>
      <w:r w:rsidR="007618BA" w:rsidRPr="00744FC4">
        <w:rPr>
          <w:rFonts w:ascii="David" w:hAnsi="David" w:hint="eastAsia"/>
          <w:color w:val="000000"/>
          <w:rtl/>
        </w:rPr>
        <w:t>המתחדשים</w:t>
      </w:r>
      <w:r w:rsidR="007618BA" w:rsidRPr="00744FC4">
        <w:rPr>
          <w:rFonts w:ascii="David" w:hAnsi="David"/>
          <w:color w:val="000000"/>
          <w:rtl/>
        </w:rPr>
        <w:t xml:space="preserve"> </w:t>
      </w:r>
      <w:r w:rsidR="007618BA" w:rsidRPr="00744FC4">
        <w:rPr>
          <w:rFonts w:ascii="David" w:hAnsi="David" w:hint="eastAsia"/>
          <w:color w:val="000000"/>
          <w:rtl/>
        </w:rPr>
        <w:t>במהלך</w:t>
      </w:r>
      <w:r w:rsidR="007618BA" w:rsidRPr="00744FC4">
        <w:rPr>
          <w:rFonts w:ascii="David" w:hAnsi="David"/>
          <w:color w:val="000000"/>
          <w:rtl/>
        </w:rPr>
        <w:t xml:space="preserve"> </w:t>
      </w:r>
      <w:r w:rsidR="007618BA" w:rsidRPr="00744FC4">
        <w:rPr>
          <w:rFonts w:ascii="David" w:hAnsi="David" w:hint="eastAsia"/>
          <w:color w:val="000000"/>
          <w:rtl/>
        </w:rPr>
        <w:t>השנה</w:t>
      </w:r>
      <w:r w:rsidR="007618BA" w:rsidRPr="00744FC4">
        <w:rPr>
          <w:rFonts w:ascii="David" w:hAnsi="David"/>
          <w:color w:val="000000"/>
          <w:rtl/>
        </w:rPr>
        <w:t>).</w:t>
      </w:r>
      <w:r w:rsidR="003252D4" w:rsidRPr="00744FC4">
        <w:rPr>
          <w:rStyle w:val="a8"/>
          <w:rFonts w:ascii="David" w:hAnsi="David"/>
          <w:color w:val="000000"/>
          <w:rtl/>
        </w:rPr>
        <w:footnoteReference w:id="16"/>
      </w:r>
      <w:r w:rsidRPr="00744FC4">
        <w:rPr>
          <w:rFonts w:ascii="David" w:hAnsi="David"/>
          <w:color w:val="000000"/>
          <w:rtl/>
        </w:rPr>
        <w:t xml:space="preserve"> לכן</w:t>
      </w:r>
      <w:r w:rsidR="007618BA" w:rsidRPr="00744FC4">
        <w:rPr>
          <w:rFonts w:ascii="David" w:hAnsi="David"/>
          <w:color w:val="000000"/>
          <w:rtl/>
        </w:rPr>
        <w:t xml:space="preserve"> </w:t>
      </w:r>
      <w:r w:rsidR="003252D4" w:rsidRPr="00744FC4">
        <w:rPr>
          <w:rFonts w:ascii="David" w:hAnsi="David" w:hint="eastAsia"/>
          <w:color w:val="000000"/>
          <w:rtl/>
        </w:rPr>
        <w:t>חשוב</w:t>
      </w:r>
      <w:r w:rsidR="003252D4" w:rsidRPr="00744FC4">
        <w:rPr>
          <w:rFonts w:ascii="David" w:hAnsi="David"/>
          <w:color w:val="000000"/>
          <w:rtl/>
        </w:rPr>
        <w:t xml:space="preserve"> </w:t>
      </w:r>
      <w:r w:rsidR="003252D4" w:rsidRPr="00744FC4">
        <w:rPr>
          <w:rFonts w:ascii="David" w:hAnsi="David" w:hint="eastAsia"/>
          <w:color w:val="000000"/>
          <w:rtl/>
        </w:rPr>
        <w:t>להתייחס</w:t>
      </w:r>
      <w:r w:rsidR="003252D4" w:rsidRPr="00744FC4">
        <w:rPr>
          <w:rFonts w:ascii="David" w:hAnsi="David"/>
          <w:color w:val="000000"/>
          <w:rtl/>
        </w:rPr>
        <w:t xml:space="preserve"> </w:t>
      </w:r>
      <w:r w:rsidR="003252D4" w:rsidRPr="00744FC4">
        <w:rPr>
          <w:rFonts w:ascii="David" w:hAnsi="David" w:hint="eastAsia"/>
          <w:color w:val="000000"/>
          <w:rtl/>
        </w:rPr>
        <w:t>לתוצאו</w:t>
      </w:r>
      <w:r w:rsidR="000F0645" w:rsidRPr="00744FC4">
        <w:rPr>
          <w:rFonts w:ascii="David" w:hAnsi="David" w:hint="eastAsia"/>
          <w:color w:val="000000"/>
          <w:rtl/>
        </w:rPr>
        <w:t>ת</w:t>
      </w:r>
      <w:r w:rsidR="000F0645" w:rsidRPr="00744FC4">
        <w:rPr>
          <w:rFonts w:ascii="David" w:hAnsi="David"/>
          <w:color w:val="000000"/>
          <w:rtl/>
        </w:rPr>
        <w:t xml:space="preserve"> </w:t>
      </w:r>
      <w:r w:rsidR="003252D4" w:rsidRPr="00744FC4">
        <w:rPr>
          <w:rFonts w:ascii="David" w:hAnsi="David" w:hint="eastAsia"/>
          <w:color w:val="000000"/>
          <w:rtl/>
        </w:rPr>
        <w:t>בעיקר</w:t>
      </w:r>
      <w:r w:rsidR="003252D4" w:rsidRPr="00744FC4">
        <w:rPr>
          <w:rFonts w:ascii="David" w:hAnsi="David"/>
          <w:color w:val="000000"/>
          <w:rtl/>
        </w:rPr>
        <w:t xml:space="preserve"> </w:t>
      </w:r>
      <w:r w:rsidR="000F0645" w:rsidRPr="00744FC4">
        <w:rPr>
          <w:rFonts w:ascii="David" w:hAnsi="David" w:hint="eastAsia"/>
          <w:color w:val="000000"/>
          <w:rtl/>
        </w:rPr>
        <w:t>כ</w:t>
      </w:r>
      <w:r w:rsidRPr="00744FC4">
        <w:rPr>
          <w:rFonts w:ascii="David" w:hAnsi="David" w:hint="eastAsia"/>
          <w:color w:val="000000"/>
          <w:rtl/>
        </w:rPr>
        <w:t>אל</w:t>
      </w:r>
      <w:r w:rsidRPr="00744FC4">
        <w:rPr>
          <w:rFonts w:ascii="David" w:hAnsi="David"/>
          <w:color w:val="000000"/>
          <w:rtl/>
        </w:rPr>
        <w:t xml:space="preserve"> </w:t>
      </w:r>
      <w:r w:rsidRPr="00744FC4">
        <w:rPr>
          <w:rFonts w:ascii="David" w:hAnsi="David" w:hint="eastAsia"/>
          <w:color w:val="000000"/>
          <w:rtl/>
        </w:rPr>
        <w:t>תוצאות</w:t>
      </w:r>
      <w:r w:rsidR="003252D4" w:rsidRPr="00744FC4">
        <w:rPr>
          <w:rFonts w:ascii="David" w:hAnsi="David"/>
          <w:color w:val="000000"/>
          <w:rtl/>
        </w:rPr>
        <w:t xml:space="preserve"> תיאורי</w:t>
      </w:r>
      <w:r w:rsidRPr="00744FC4">
        <w:rPr>
          <w:rFonts w:ascii="David" w:hAnsi="David" w:hint="eastAsia"/>
          <w:color w:val="000000"/>
          <w:rtl/>
        </w:rPr>
        <w:t>ות</w:t>
      </w:r>
      <w:r w:rsidR="00EE0780" w:rsidRPr="00744FC4">
        <w:rPr>
          <w:rFonts w:ascii="David" w:hAnsi="David" w:hint="cs"/>
          <w:color w:val="000000"/>
          <w:rtl/>
        </w:rPr>
        <w:t>,</w:t>
      </w:r>
      <w:r w:rsidRPr="00744FC4">
        <w:rPr>
          <w:rFonts w:ascii="David" w:hAnsi="David"/>
          <w:color w:val="000000"/>
          <w:rtl/>
        </w:rPr>
        <w:t xml:space="preserve"> המספקות אינטואיציה כללית בדבר </w:t>
      </w:r>
      <w:r w:rsidR="008142C6" w:rsidRPr="00744FC4">
        <w:rPr>
          <w:rFonts w:ascii="David" w:hAnsi="David" w:hint="eastAsia"/>
          <w:color w:val="000000"/>
          <w:rtl/>
        </w:rPr>
        <w:t>כיוון</w:t>
      </w:r>
      <w:r w:rsidR="008142C6" w:rsidRPr="00744FC4">
        <w:rPr>
          <w:rFonts w:ascii="David" w:hAnsi="David"/>
          <w:color w:val="000000"/>
          <w:rtl/>
        </w:rPr>
        <w:t xml:space="preserve"> ההשפעה </w:t>
      </w:r>
      <w:r w:rsidR="003252D4" w:rsidRPr="00744FC4">
        <w:rPr>
          <w:rFonts w:ascii="David" w:hAnsi="David" w:hint="eastAsia"/>
          <w:color w:val="000000"/>
          <w:rtl/>
        </w:rPr>
        <w:t>של</w:t>
      </w:r>
      <w:r w:rsidR="003252D4" w:rsidRPr="00744FC4">
        <w:rPr>
          <w:rFonts w:ascii="David" w:hAnsi="David"/>
          <w:color w:val="000000"/>
          <w:rtl/>
        </w:rPr>
        <w:t xml:space="preserve"> </w:t>
      </w:r>
      <w:r w:rsidR="003252D4" w:rsidRPr="00744FC4">
        <w:rPr>
          <w:rFonts w:ascii="David" w:hAnsi="David" w:hint="eastAsia"/>
          <w:color w:val="000000"/>
          <w:rtl/>
        </w:rPr>
        <w:t>הגורמים</w:t>
      </w:r>
      <w:r w:rsidR="003252D4" w:rsidRPr="00744FC4">
        <w:rPr>
          <w:rFonts w:ascii="David" w:hAnsi="David"/>
          <w:color w:val="000000"/>
          <w:rtl/>
        </w:rPr>
        <w:t xml:space="preserve"> </w:t>
      </w:r>
      <w:r w:rsidR="003252D4" w:rsidRPr="00744FC4">
        <w:rPr>
          <w:rFonts w:ascii="David" w:hAnsi="David" w:hint="eastAsia"/>
          <w:color w:val="000000"/>
          <w:rtl/>
        </w:rPr>
        <w:t>השונים</w:t>
      </w:r>
      <w:r w:rsidR="003252D4" w:rsidRPr="00744FC4">
        <w:rPr>
          <w:rFonts w:ascii="David" w:hAnsi="David"/>
          <w:color w:val="000000"/>
          <w:rtl/>
        </w:rPr>
        <w:t xml:space="preserve"> </w:t>
      </w:r>
      <w:r w:rsidR="003252D4" w:rsidRPr="00744FC4">
        <w:rPr>
          <w:rFonts w:ascii="David" w:hAnsi="David" w:hint="eastAsia"/>
          <w:color w:val="000000"/>
          <w:rtl/>
        </w:rPr>
        <w:t>ו</w:t>
      </w:r>
      <w:r w:rsidR="000F0645" w:rsidRPr="00744FC4">
        <w:rPr>
          <w:rFonts w:ascii="David" w:hAnsi="David" w:hint="eastAsia"/>
          <w:color w:val="000000"/>
          <w:rtl/>
        </w:rPr>
        <w:t>היחס</w:t>
      </w:r>
      <w:r w:rsidR="000F0645" w:rsidRPr="00744FC4">
        <w:rPr>
          <w:rFonts w:ascii="David" w:hAnsi="David"/>
          <w:color w:val="000000"/>
          <w:rtl/>
        </w:rPr>
        <w:t xml:space="preserve"> </w:t>
      </w:r>
      <w:r w:rsidR="000F0645" w:rsidRPr="00744FC4">
        <w:rPr>
          <w:rFonts w:ascii="David" w:hAnsi="David" w:hint="eastAsia"/>
          <w:color w:val="000000"/>
          <w:rtl/>
        </w:rPr>
        <w:t>ביניהם</w:t>
      </w:r>
      <w:r w:rsidR="000F0645" w:rsidRPr="00744FC4">
        <w:rPr>
          <w:rFonts w:ascii="David" w:hAnsi="David"/>
          <w:color w:val="000000"/>
          <w:rtl/>
        </w:rPr>
        <w:t xml:space="preserve"> </w:t>
      </w:r>
      <w:r w:rsidR="008142C6" w:rsidRPr="00744FC4">
        <w:rPr>
          <w:rFonts w:ascii="David" w:hAnsi="David" w:hint="eastAsia"/>
          <w:color w:val="000000"/>
          <w:rtl/>
        </w:rPr>
        <w:t>ולא</w:t>
      </w:r>
      <w:r w:rsidR="008142C6" w:rsidRPr="00744FC4">
        <w:rPr>
          <w:rFonts w:ascii="David" w:hAnsi="David"/>
          <w:color w:val="000000"/>
          <w:rtl/>
        </w:rPr>
        <w:t xml:space="preserve"> </w:t>
      </w:r>
      <w:r w:rsidRPr="00744FC4">
        <w:rPr>
          <w:rFonts w:ascii="David" w:hAnsi="David" w:hint="eastAsia"/>
          <w:color w:val="000000"/>
          <w:rtl/>
        </w:rPr>
        <w:t>חיזוי</w:t>
      </w:r>
      <w:r w:rsidR="00455438" w:rsidRPr="00744FC4">
        <w:rPr>
          <w:rFonts w:ascii="David" w:hAnsi="David"/>
          <w:color w:val="000000"/>
          <w:rtl/>
        </w:rPr>
        <w:t xml:space="preserve"> </w:t>
      </w:r>
      <w:r w:rsidRPr="00744FC4">
        <w:rPr>
          <w:rFonts w:ascii="David" w:hAnsi="David" w:hint="eastAsia"/>
          <w:color w:val="000000"/>
          <w:rtl/>
        </w:rPr>
        <w:t>מדויק</w:t>
      </w:r>
      <w:r w:rsidRPr="00744FC4">
        <w:rPr>
          <w:rFonts w:ascii="David" w:hAnsi="David"/>
          <w:color w:val="000000"/>
          <w:rtl/>
        </w:rPr>
        <w:t xml:space="preserve"> </w:t>
      </w:r>
      <w:r w:rsidRPr="00744FC4">
        <w:rPr>
          <w:rFonts w:ascii="David" w:hAnsi="David" w:hint="eastAsia"/>
          <w:color w:val="000000"/>
          <w:rtl/>
        </w:rPr>
        <w:t>של</w:t>
      </w:r>
      <w:r w:rsidR="008142C6" w:rsidRPr="00744FC4">
        <w:rPr>
          <w:rFonts w:ascii="David" w:hAnsi="David"/>
          <w:color w:val="000000"/>
          <w:rtl/>
        </w:rPr>
        <w:t xml:space="preserve"> עוצמת התמסורת.</w:t>
      </w:r>
      <w:r w:rsidR="007618BA">
        <w:rPr>
          <w:rFonts w:ascii="David" w:hAnsi="David" w:hint="cs"/>
          <w:color w:val="000000"/>
          <w:rtl/>
        </w:rPr>
        <w:t xml:space="preserve"> </w:t>
      </w:r>
    </w:p>
    <w:p w:rsidR="00BC253C" w:rsidRDefault="00374D02" w:rsidP="009603A2">
      <w:pPr>
        <w:autoSpaceDE w:val="0"/>
        <w:autoSpaceDN w:val="0"/>
        <w:adjustRightInd w:val="0"/>
        <w:spacing w:after="120" w:line="360" w:lineRule="auto"/>
        <w:jc w:val="both"/>
        <w:rPr>
          <w:rFonts w:ascii="David" w:hAnsi="David"/>
          <w:color w:val="000000"/>
          <w:rtl/>
        </w:rPr>
      </w:pPr>
      <w:r>
        <w:rPr>
          <w:rFonts w:ascii="David" w:hAnsi="David" w:hint="cs"/>
          <w:color w:val="000000"/>
          <w:rtl/>
        </w:rPr>
        <w:t xml:space="preserve">עוד מתברר שסביבת ריבית נמוכה מחלישה את עוצמת התמסורת, כפי שניתן לראות מהמקדם השלילי לאינטראקציה בין הדמי </w:t>
      </w:r>
      <w:r w:rsidRPr="00374D02">
        <w:rPr>
          <w:rFonts w:ascii="David" w:hAnsi="David" w:hint="cs"/>
          <w:color w:val="000000"/>
          <w:rtl/>
        </w:rPr>
        <w:t>ל</w:t>
      </w:r>
      <w:r>
        <w:rPr>
          <w:rFonts w:ascii="David" w:hAnsi="David" w:hint="cs"/>
          <w:color w:val="000000"/>
          <w:rtl/>
        </w:rPr>
        <w:t xml:space="preserve">סביבת </w:t>
      </w:r>
      <w:r w:rsidRPr="00374D02">
        <w:rPr>
          <w:rFonts w:ascii="David" w:hAnsi="David" w:hint="cs"/>
          <w:color w:val="000000"/>
          <w:rtl/>
        </w:rPr>
        <w:t xml:space="preserve">ריבית נמוכה </w:t>
      </w:r>
      <w:r w:rsidRPr="00374D02">
        <w:rPr>
          <w:rFonts w:ascii="David" w:hAnsi="David" w:hint="eastAsia"/>
          <w:color w:val="000000"/>
          <w:rtl/>
        </w:rPr>
        <w:t>ל</w:t>
      </w:r>
      <w:r w:rsidRPr="00374D02">
        <w:rPr>
          <w:rFonts w:ascii="David" w:hAnsi="David" w:hint="cs"/>
          <w:color w:val="000000"/>
          <w:rtl/>
        </w:rPr>
        <w:t>בין</w:t>
      </w:r>
      <w:r>
        <w:rPr>
          <w:rFonts w:ascii="David" w:hAnsi="David" w:hint="cs"/>
          <w:color w:val="000000"/>
          <w:rtl/>
        </w:rPr>
        <w:t xml:space="preserve"> השינוי בריבית הקצרה. כן נראה שהקשר בין הריבית הקצרה במשק לריבית הפיקדונות נוטה להיות חזק כשהמערכת הבנקאית פחות ריכוזית ועבור בנקים המחזיקים פחות נזילות</w:t>
      </w:r>
      <w:r w:rsidR="00C60945">
        <w:rPr>
          <w:rFonts w:ascii="David" w:hAnsi="David" w:hint="cs"/>
          <w:color w:val="000000"/>
          <w:rtl/>
        </w:rPr>
        <w:t>,</w:t>
      </w:r>
      <w:r w:rsidR="006B0556">
        <w:rPr>
          <w:rFonts w:ascii="David" w:hAnsi="David" w:hint="cs"/>
          <w:color w:val="000000"/>
          <w:rtl/>
        </w:rPr>
        <w:t xml:space="preserve"> כפי שעולה מהמקדם השלילי לאינטראקציה בין משתנים אלו </w:t>
      </w:r>
      <w:r w:rsidR="00C60945">
        <w:rPr>
          <w:rFonts w:ascii="David" w:hAnsi="David" w:hint="cs"/>
          <w:color w:val="000000"/>
          <w:rtl/>
        </w:rPr>
        <w:t xml:space="preserve">לשינוי </w:t>
      </w:r>
      <w:r w:rsidR="006B0556">
        <w:rPr>
          <w:rFonts w:ascii="David" w:hAnsi="David" w:hint="cs"/>
          <w:color w:val="000000"/>
          <w:rtl/>
        </w:rPr>
        <w:t>בריבית הקצרה</w:t>
      </w:r>
      <w:r>
        <w:rPr>
          <w:rFonts w:ascii="David" w:hAnsi="David" w:hint="cs"/>
          <w:color w:val="000000"/>
          <w:rtl/>
        </w:rPr>
        <w:t>. הרגרסיה מראה אפוא כי מאפיין מבני של המערכת הבנקאית</w:t>
      </w:r>
      <w:r w:rsidR="006B0556">
        <w:rPr>
          <w:rFonts w:ascii="David" w:hAnsi="David" w:hint="cs"/>
          <w:color w:val="000000"/>
          <w:rtl/>
        </w:rPr>
        <w:t>, כגון ריכוזיות, יכול להשפיע על</w:t>
      </w:r>
      <w:r>
        <w:rPr>
          <w:rFonts w:ascii="David" w:hAnsi="David" w:hint="cs"/>
          <w:color w:val="000000"/>
          <w:rtl/>
        </w:rPr>
        <w:t xml:space="preserve"> התמסורת (ריכוזיות גבוהה עשויה להחלישה), וכי גם גורמים דינמיי</w:t>
      </w:r>
      <w:r>
        <w:rPr>
          <w:rFonts w:ascii="David" w:hAnsi="David" w:hint="eastAsia"/>
          <w:color w:val="000000"/>
          <w:rtl/>
        </w:rPr>
        <w:t>ם</w:t>
      </w:r>
      <w:r>
        <w:rPr>
          <w:rFonts w:ascii="David" w:hAnsi="David" w:hint="cs"/>
          <w:color w:val="000000"/>
          <w:rtl/>
        </w:rPr>
        <w:t xml:space="preserve">, המשתנים בהתאם לתהליך הצמצום המוניטרי, יכולים לפעול עליה (יציאה מסביבת ריבית אפסית וירידה </w:t>
      </w:r>
      <w:r w:rsidR="00F86FF3">
        <w:rPr>
          <w:rFonts w:ascii="David" w:hAnsi="David" w:hint="cs"/>
          <w:color w:val="000000"/>
          <w:rtl/>
        </w:rPr>
        <w:t xml:space="preserve">של עודפי </w:t>
      </w:r>
      <w:r>
        <w:rPr>
          <w:rFonts w:ascii="David" w:hAnsi="David" w:hint="cs"/>
          <w:color w:val="000000"/>
          <w:rtl/>
        </w:rPr>
        <w:t xml:space="preserve">הנזילות עשויות לחזקה). במיוחד נראה שהתמסורת </w:t>
      </w:r>
      <w:r>
        <w:rPr>
          <w:rFonts w:ascii="David" w:hAnsi="David" w:hint="cs"/>
          <w:color w:val="000000"/>
          <w:rtl/>
        </w:rPr>
        <w:lastRenderedPageBreak/>
        <w:t>החלשה בתחילת תקופת העליות האחרונה אינה מפתיעה</w:t>
      </w:r>
      <w:r w:rsidR="00F86FF3">
        <w:rPr>
          <w:rFonts w:ascii="David" w:hAnsi="David" w:hint="cs"/>
          <w:color w:val="000000"/>
          <w:rtl/>
        </w:rPr>
        <w:t>,</w:t>
      </w:r>
      <w:r>
        <w:rPr>
          <w:rFonts w:ascii="David" w:hAnsi="David" w:hint="cs"/>
          <w:color w:val="000000"/>
          <w:rtl/>
        </w:rPr>
        <w:t xml:space="preserve"> </w:t>
      </w:r>
      <w:r w:rsidR="00F86FF3">
        <w:rPr>
          <w:rFonts w:ascii="David" w:hAnsi="David" w:hint="cs"/>
          <w:color w:val="000000"/>
          <w:rtl/>
        </w:rPr>
        <w:t xml:space="preserve">לנוכח </w:t>
      </w:r>
      <w:r>
        <w:rPr>
          <w:rFonts w:ascii="David" w:hAnsi="David" w:hint="cs"/>
          <w:color w:val="000000"/>
          <w:rtl/>
        </w:rPr>
        <w:t>הנתונים ההיסט</w:t>
      </w:r>
      <w:r w:rsidR="00F86FF3">
        <w:rPr>
          <w:rFonts w:ascii="David" w:hAnsi="David" w:hint="cs"/>
          <w:color w:val="000000"/>
          <w:rtl/>
        </w:rPr>
        <w:t>ו</w:t>
      </w:r>
      <w:r>
        <w:rPr>
          <w:rFonts w:ascii="David" w:hAnsi="David" w:hint="cs"/>
          <w:color w:val="000000"/>
          <w:rtl/>
        </w:rPr>
        <w:t>ריי</w:t>
      </w:r>
      <w:r>
        <w:rPr>
          <w:rFonts w:ascii="David" w:hAnsi="David" w:hint="eastAsia"/>
          <w:color w:val="000000"/>
          <w:rtl/>
        </w:rPr>
        <w:t>ם</w:t>
      </w:r>
      <w:r>
        <w:rPr>
          <w:rFonts w:ascii="David" w:hAnsi="David" w:hint="cs"/>
          <w:color w:val="000000"/>
          <w:rtl/>
        </w:rPr>
        <w:t xml:space="preserve">, ויכולה לשקף בראש ובראשונה תהליכי חזרה למרווחים שהיו לפני תקופת הריביות האפסיות ותהליך הצמצום של עודפי הנזילות. </w:t>
      </w:r>
    </w:p>
    <w:tbl>
      <w:tblPr>
        <w:tblW w:w="5096" w:type="pct"/>
        <w:tblCellSpacing w:w="15" w:type="dxa"/>
        <w:tblCellMar>
          <w:top w:w="15" w:type="dxa"/>
          <w:left w:w="15" w:type="dxa"/>
          <w:bottom w:w="15" w:type="dxa"/>
          <w:right w:w="15" w:type="dxa"/>
        </w:tblCellMar>
        <w:tblLook w:val="04A0" w:firstRow="1" w:lastRow="0" w:firstColumn="1" w:lastColumn="0" w:noHBand="0" w:noVBand="1"/>
      </w:tblPr>
      <w:tblGrid>
        <w:gridCol w:w="1245"/>
        <w:gridCol w:w="1101"/>
        <w:gridCol w:w="993"/>
        <w:gridCol w:w="996"/>
        <w:gridCol w:w="999"/>
        <w:gridCol w:w="3131"/>
      </w:tblGrid>
      <w:tr w:rsidR="009721B0" w:rsidRPr="009919A9" w:rsidTr="000B511C">
        <w:trPr>
          <w:tblCellSpacing w:w="15" w:type="dxa"/>
        </w:trPr>
        <w:tc>
          <w:tcPr>
            <w:tcW w:w="4965" w:type="pct"/>
            <w:gridSpan w:val="6"/>
            <w:tcBorders>
              <w:bottom w:val="single" w:sz="4" w:space="0" w:color="auto"/>
            </w:tcBorders>
            <w:vAlign w:val="center"/>
          </w:tcPr>
          <w:p w:rsidR="009721B0" w:rsidRPr="0000346D" w:rsidRDefault="0011039C" w:rsidP="000B511C">
            <w:pPr>
              <w:spacing w:after="0" w:line="240" w:lineRule="auto"/>
              <w:jc w:val="center"/>
              <w:rPr>
                <w:rFonts w:eastAsia="Times New Roman" w:cs="Times New Roman"/>
                <w:sz w:val="20"/>
                <w:szCs w:val="20"/>
                <w:lang w:eastAsia="nl-NL"/>
              </w:rPr>
            </w:pPr>
            <w:r>
              <w:rPr>
                <w:rFonts w:eastAsia="Times New Roman" w:cs="Times New Roman" w:hint="cs"/>
                <w:b/>
                <w:bCs/>
                <w:rtl/>
                <w:lang w:eastAsia="nl-NL"/>
              </w:rPr>
              <w:t>לוח</w:t>
            </w:r>
            <w:r w:rsidRPr="009919A9">
              <w:rPr>
                <w:rFonts w:eastAsia="Times New Roman" w:cs="Times New Roman" w:hint="cs"/>
                <w:b/>
                <w:bCs/>
                <w:rtl/>
                <w:lang w:eastAsia="nl-NL"/>
              </w:rPr>
              <w:t xml:space="preserve"> 1</w:t>
            </w:r>
            <w:r>
              <w:rPr>
                <w:rFonts w:eastAsia="Times New Roman" w:cs="Times New Roman" w:hint="cs"/>
                <w:b/>
                <w:bCs/>
                <w:rtl/>
                <w:lang w:eastAsia="nl-NL"/>
              </w:rPr>
              <w:t xml:space="preserve"> </w:t>
            </w:r>
            <w:r>
              <w:rPr>
                <w:rFonts w:eastAsia="Times New Roman" w:cs="Times New Roman"/>
                <w:b/>
                <w:bCs/>
                <w:rtl/>
                <w:lang w:eastAsia="nl-NL"/>
              </w:rPr>
              <w:t>–</w:t>
            </w:r>
            <w:r>
              <w:rPr>
                <w:rFonts w:eastAsia="Times New Roman" w:cs="Times New Roman" w:hint="cs"/>
                <w:b/>
                <w:bCs/>
                <w:rtl/>
                <w:lang w:eastAsia="nl-NL"/>
              </w:rPr>
              <w:t xml:space="preserve"> תוצאות אמידת רגרסיית </w:t>
            </w:r>
          </w:p>
        </w:tc>
      </w:tr>
      <w:tr w:rsidR="00F815EE" w:rsidRPr="009919A9" w:rsidTr="000B511C">
        <w:trPr>
          <w:tblCellSpacing w:w="15" w:type="dxa"/>
        </w:trPr>
        <w:tc>
          <w:tcPr>
            <w:tcW w:w="4965" w:type="pct"/>
            <w:gridSpan w:val="6"/>
            <w:vAlign w:val="center"/>
          </w:tcPr>
          <w:tbl>
            <w:tblPr>
              <w:tblW w:w="8324" w:type="dxa"/>
              <w:tblCellSpacing w:w="15" w:type="dxa"/>
              <w:tblCellMar>
                <w:top w:w="15" w:type="dxa"/>
                <w:left w:w="15" w:type="dxa"/>
                <w:bottom w:w="15" w:type="dxa"/>
                <w:right w:w="15" w:type="dxa"/>
              </w:tblCellMar>
              <w:tblLook w:val="04A0" w:firstRow="1" w:lastRow="0" w:firstColumn="1" w:lastColumn="0" w:noHBand="0" w:noVBand="1"/>
            </w:tblPr>
            <w:tblGrid>
              <w:gridCol w:w="6148"/>
              <w:gridCol w:w="2176"/>
            </w:tblGrid>
            <w:tr w:rsidR="004E0D8D" w:rsidRPr="0000346D" w:rsidTr="004E0D8D">
              <w:trPr>
                <w:tblCellSpacing w:w="15" w:type="dxa"/>
              </w:trPr>
              <w:tc>
                <w:tcPr>
                  <w:tcW w:w="4964" w:type="pct"/>
                  <w:gridSpan w:val="2"/>
                  <w:vAlign w:val="center"/>
                </w:tcPr>
                <w:p w:rsidR="004E0D8D" w:rsidRPr="0000346D" w:rsidRDefault="004E0D8D" w:rsidP="006E4224">
                  <w:pPr>
                    <w:spacing w:after="0" w:line="240" w:lineRule="auto"/>
                    <w:jc w:val="center"/>
                    <w:rPr>
                      <w:rFonts w:eastAsia="Times New Roman" w:cs="Times New Roman"/>
                      <w:sz w:val="20"/>
                      <w:szCs w:val="20"/>
                      <w:rtl/>
                      <w:lang w:eastAsia="nl-NL"/>
                    </w:rPr>
                  </w:pPr>
                </w:p>
              </w:tc>
            </w:tr>
            <w:tr w:rsidR="006E4224" w:rsidRPr="0000346D" w:rsidTr="004E0D8D">
              <w:trPr>
                <w:tblCellSpacing w:w="15" w:type="dxa"/>
              </w:trPr>
              <w:tc>
                <w:tcPr>
                  <w:tcW w:w="3679" w:type="pct"/>
                  <w:tcBorders>
                    <w:bottom w:val="single" w:sz="4" w:space="0" w:color="auto"/>
                  </w:tcBorders>
                  <w:vAlign w:val="center"/>
                </w:tcPr>
                <w:p w:rsidR="006E4224" w:rsidRPr="0000346D" w:rsidRDefault="006E4224" w:rsidP="006E4224">
                  <w:pPr>
                    <w:spacing w:after="0" w:line="240" w:lineRule="auto"/>
                    <w:jc w:val="center"/>
                    <w:rPr>
                      <w:rFonts w:eastAsia="Times New Roman" w:cs="Times New Roman"/>
                      <w:b/>
                      <w:bCs/>
                      <w:sz w:val="20"/>
                      <w:szCs w:val="20"/>
                      <w:lang w:val="nl-NL" w:eastAsia="nl-NL"/>
                    </w:rPr>
                  </w:pPr>
                  <w:r w:rsidRPr="0000346D">
                    <w:rPr>
                      <w:rFonts w:eastAsia="Times New Roman" w:cs="Times New Roman" w:hint="cs"/>
                      <w:b/>
                      <w:bCs/>
                      <w:sz w:val="20"/>
                      <w:szCs w:val="20"/>
                      <w:rtl/>
                      <w:lang w:val="nl-NL" w:eastAsia="nl-NL"/>
                    </w:rPr>
                    <w:t>שינוי בריבית האפקטיבית על כלל ההתחייבויות</w:t>
                  </w:r>
                </w:p>
              </w:tc>
              <w:tc>
                <w:tcPr>
                  <w:tcW w:w="1267" w:type="pct"/>
                </w:tcPr>
                <w:p w:rsidR="006E4224" w:rsidRPr="0000346D" w:rsidRDefault="006E4224" w:rsidP="006E4224">
                  <w:pPr>
                    <w:spacing w:after="0" w:line="240" w:lineRule="auto"/>
                    <w:jc w:val="center"/>
                    <w:rPr>
                      <w:rFonts w:eastAsia="Times New Roman" w:cs="Times New Roman"/>
                      <w:sz w:val="20"/>
                      <w:szCs w:val="20"/>
                      <w:rtl/>
                      <w:lang w:val="nl-NL" w:eastAsia="nl-NL"/>
                    </w:rPr>
                  </w:pPr>
                </w:p>
              </w:tc>
            </w:tr>
          </w:tbl>
          <w:p w:rsidR="00F815EE" w:rsidRPr="0000346D" w:rsidRDefault="00F815EE" w:rsidP="00F815EE">
            <w:pPr>
              <w:spacing w:after="0" w:line="240" w:lineRule="auto"/>
              <w:jc w:val="center"/>
              <w:rPr>
                <w:rFonts w:eastAsia="Times New Roman" w:cs="Times New Roman"/>
                <w:sz w:val="20"/>
                <w:szCs w:val="20"/>
                <w:rtl/>
                <w:lang w:eastAsia="nl-NL"/>
              </w:rPr>
            </w:pPr>
          </w:p>
        </w:tc>
      </w:tr>
      <w:tr w:rsidR="004E0D8D" w:rsidRPr="009919A9" w:rsidTr="000B511C">
        <w:trPr>
          <w:tblCellSpacing w:w="15" w:type="dxa"/>
        </w:trPr>
        <w:tc>
          <w:tcPr>
            <w:tcW w:w="722" w:type="pct"/>
            <w:vAlign w:val="center"/>
          </w:tcPr>
          <w:p w:rsidR="006E4224" w:rsidRPr="0000346D" w:rsidRDefault="006E4224" w:rsidP="00F815EE">
            <w:pPr>
              <w:spacing w:after="0" w:line="240" w:lineRule="auto"/>
              <w:jc w:val="center"/>
              <w:rPr>
                <w:rFonts w:eastAsia="Times New Roman" w:cs="Times New Roman"/>
                <w:b/>
                <w:bCs/>
                <w:sz w:val="20"/>
                <w:szCs w:val="20"/>
                <w:lang w:eastAsia="nl-NL"/>
              </w:rPr>
            </w:pPr>
            <w:r w:rsidRPr="0000346D">
              <w:rPr>
                <w:rFonts w:eastAsia="Times New Roman" w:cs="Times New Roman" w:hint="cs"/>
                <w:b/>
                <w:bCs/>
                <w:sz w:val="20"/>
                <w:szCs w:val="20"/>
                <w:rtl/>
                <w:lang w:eastAsia="nl-NL"/>
              </w:rPr>
              <w:t>(5)</w:t>
            </w:r>
          </w:p>
        </w:tc>
        <w:tc>
          <w:tcPr>
            <w:tcW w:w="644" w:type="pct"/>
            <w:vAlign w:val="center"/>
          </w:tcPr>
          <w:p w:rsidR="006E4224" w:rsidRPr="0000346D" w:rsidRDefault="006E4224" w:rsidP="00F815EE">
            <w:pPr>
              <w:spacing w:after="0" w:line="240" w:lineRule="auto"/>
              <w:jc w:val="center"/>
              <w:rPr>
                <w:rFonts w:eastAsia="Times New Roman" w:cs="Times New Roman"/>
                <w:b/>
                <w:bCs/>
                <w:sz w:val="20"/>
                <w:szCs w:val="20"/>
                <w:lang w:eastAsia="nl-NL"/>
              </w:rPr>
            </w:pPr>
            <w:r w:rsidRPr="0000346D">
              <w:rPr>
                <w:rFonts w:eastAsia="Times New Roman" w:cs="Times New Roman" w:hint="cs"/>
                <w:b/>
                <w:bCs/>
                <w:sz w:val="20"/>
                <w:szCs w:val="20"/>
                <w:rtl/>
                <w:lang w:eastAsia="nl-NL"/>
              </w:rPr>
              <w:t>(4)</w:t>
            </w:r>
          </w:p>
        </w:tc>
        <w:tc>
          <w:tcPr>
            <w:tcW w:w="579" w:type="pct"/>
            <w:vAlign w:val="center"/>
          </w:tcPr>
          <w:p w:rsidR="006E4224" w:rsidRPr="0000346D" w:rsidRDefault="006E4224" w:rsidP="00F815EE">
            <w:pPr>
              <w:spacing w:after="0" w:line="240" w:lineRule="auto"/>
              <w:jc w:val="center"/>
              <w:rPr>
                <w:rFonts w:eastAsia="Times New Roman" w:cs="Times New Roman"/>
                <w:b/>
                <w:bCs/>
                <w:sz w:val="20"/>
                <w:szCs w:val="20"/>
                <w:lang w:eastAsia="nl-NL"/>
              </w:rPr>
            </w:pPr>
            <w:r w:rsidRPr="0000346D">
              <w:rPr>
                <w:rFonts w:eastAsia="Times New Roman" w:cs="Times New Roman" w:hint="cs"/>
                <w:b/>
                <w:bCs/>
                <w:sz w:val="20"/>
                <w:szCs w:val="20"/>
                <w:rtl/>
                <w:lang w:eastAsia="nl-NL"/>
              </w:rPr>
              <w:t>(3)</w:t>
            </w:r>
          </w:p>
        </w:tc>
        <w:tc>
          <w:tcPr>
            <w:tcW w:w="581" w:type="pct"/>
            <w:vAlign w:val="center"/>
          </w:tcPr>
          <w:p w:rsidR="006E4224" w:rsidRPr="0000346D" w:rsidRDefault="006E4224" w:rsidP="00F815EE">
            <w:pPr>
              <w:spacing w:after="0" w:line="240" w:lineRule="auto"/>
              <w:jc w:val="center"/>
              <w:rPr>
                <w:rFonts w:eastAsia="Times New Roman" w:cs="Times New Roman"/>
                <w:b/>
                <w:bCs/>
                <w:sz w:val="20"/>
                <w:szCs w:val="20"/>
                <w:lang w:eastAsia="nl-NL"/>
              </w:rPr>
            </w:pPr>
            <w:r w:rsidRPr="0000346D">
              <w:rPr>
                <w:rFonts w:eastAsia="Times New Roman" w:cs="Times New Roman" w:hint="cs"/>
                <w:b/>
                <w:bCs/>
                <w:sz w:val="20"/>
                <w:szCs w:val="20"/>
                <w:rtl/>
                <w:lang w:eastAsia="nl-NL"/>
              </w:rPr>
              <w:t>(2)</w:t>
            </w:r>
          </w:p>
        </w:tc>
        <w:tc>
          <w:tcPr>
            <w:tcW w:w="583" w:type="pct"/>
          </w:tcPr>
          <w:p w:rsidR="006E4224" w:rsidRPr="0000346D" w:rsidRDefault="006E4224" w:rsidP="00F815EE">
            <w:pPr>
              <w:spacing w:after="0" w:line="240" w:lineRule="auto"/>
              <w:jc w:val="center"/>
              <w:rPr>
                <w:rFonts w:eastAsia="Times New Roman" w:cs="Times New Roman"/>
                <w:b/>
                <w:bCs/>
                <w:sz w:val="20"/>
                <w:szCs w:val="20"/>
                <w:rtl/>
                <w:lang w:eastAsia="nl-NL"/>
              </w:rPr>
            </w:pPr>
            <w:r w:rsidRPr="0000346D">
              <w:rPr>
                <w:rFonts w:eastAsia="Times New Roman" w:cs="Times New Roman" w:hint="cs"/>
                <w:b/>
                <w:bCs/>
                <w:sz w:val="20"/>
                <w:szCs w:val="20"/>
                <w:rtl/>
                <w:lang w:eastAsia="nl-NL"/>
              </w:rPr>
              <w:t>(1)</w:t>
            </w:r>
          </w:p>
        </w:tc>
        <w:tc>
          <w:tcPr>
            <w:tcW w:w="1768" w:type="pct"/>
          </w:tcPr>
          <w:p w:rsidR="006E4224" w:rsidRPr="0000346D" w:rsidRDefault="006E4224" w:rsidP="00F815EE">
            <w:pPr>
              <w:spacing w:after="0" w:line="240" w:lineRule="auto"/>
              <w:jc w:val="center"/>
              <w:rPr>
                <w:rFonts w:eastAsia="Times New Roman" w:cs="Times New Roman"/>
                <w:b/>
                <w:bCs/>
                <w:sz w:val="20"/>
                <w:szCs w:val="20"/>
                <w:rtl/>
                <w:lang w:eastAsia="nl-NL"/>
              </w:rPr>
            </w:pPr>
          </w:p>
        </w:tc>
      </w:tr>
      <w:tr w:rsidR="004E0D8D" w:rsidRPr="009919A9" w:rsidTr="000B511C">
        <w:trPr>
          <w:tblCellSpacing w:w="15" w:type="dxa"/>
        </w:trPr>
        <w:tc>
          <w:tcPr>
            <w:tcW w:w="722" w:type="pct"/>
            <w:tcBorders>
              <w:bottom w:val="single" w:sz="4" w:space="0" w:color="auto"/>
            </w:tcBorders>
            <w:vAlign w:val="center"/>
          </w:tcPr>
          <w:p w:rsidR="006E4224" w:rsidRPr="0000346D" w:rsidRDefault="006E4224" w:rsidP="00F815EE">
            <w:pPr>
              <w:spacing w:after="0" w:line="240" w:lineRule="auto"/>
              <w:jc w:val="center"/>
              <w:rPr>
                <w:rFonts w:eastAsia="Times New Roman" w:cs="Times New Roman"/>
                <w:b/>
                <w:bCs/>
                <w:sz w:val="20"/>
                <w:szCs w:val="20"/>
                <w:rtl/>
                <w:lang w:eastAsia="nl-NL"/>
              </w:rPr>
            </w:pPr>
          </w:p>
        </w:tc>
        <w:tc>
          <w:tcPr>
            <w:tcW w:w="644" w:type="pct"/>
            <w:tcBorders>
              <w:bottom w:val="single" w:sz="4" w:space="0" w:color="auto"/>
            </w:tcBorders>
            <w:vAlign w:val="center"/>
          </w:tcPr>
          <w:p w:rsidR="006E4224" w:rsidRPr="0000346D" w:rsidRDefault="006E4224" w:rsidP="00F815EE">
            <w:pPr>
              <w:spacing w:after="0" w:line="240" w:lineRule="auto"/>
              <w:jc w:val="center"/>
              <w:rPr>
                <w:rFonts w:eastAsia="Times New Roman" w:cs="Times New Roman"/>
                <w:b/>
                <w:bCs/>
                <w:sz w:val="20"/>
                <w:szCs w:val="20"/>
                <w:rtl/>
                <w:lang w:eastAsia="nl-NL"/>
              </w:rPr>
            </w:pPr>
          </w:p>
        </w:tc>
        <w:tc>
          <w:tcPr>
            <w:tcW w:w="579" w:type="pct"/>
            <w:tcBorders>
              <w:bottom w:val="single" w:sz="4" w:space="0" w:color="auto"/>
            </w:tcBorders>
            <w:vAlign w:val="center"/>
          </w:tcPr>
          <w:p w:rsidR="006E4224" w:rsidRPr="0000346D" w:rsidRDefault="006E4224" w:rsidP="00F815EE">
            <w:pPr>
              <w:spacing w:after="0" w:line="240" w:lineRule="auto"/>
              <w:jc w:val="center"/>
              <w:rPr>
                <w:rFonts w:eastAsia="Times New Roman" w:cs="Times New Roman"/>
                <w:b/>
                <w:bCs/>
                <w:sz w:val="20"/>
                <w:szCs w:val="20"/>
                <w:rtl/>
                <w:lang w:eastAsia="nl-NL"/>
              </w:rPr>
            </w:pPr>
          </w:p>
        </w:tc>
        <w:tc>
          <w:tcPr>
            <w:tcW w:w="581" w:type="pct"/>
            <w:tcBorders>
              <w:bottom w:val="single" w:sz="4" w:space="0" w:color="auto"/>
            </w:tcBorders>
            <w:vAlign w:val="center"/>
          </w:tcPr>
          <w:p w:rsidR="006E4224" w:rsidRPr="0000346D" w:rsidRDefault="006E4224" w:rsidP="00F815EE">
            <w:pPr>
              <w:spacing w:after="0" w:line="240" w:lineRule="auto"/>
              <w:jc w:val="center"/>
              <w:rPr>
                <w:rFonts w:eastAsia="Times New Roman" w:cs="Times New Roman"/>
                <w:b/>
                <w:bCs/>
                <w:sz w:val="20"/>
                <w:szCs w:val="20"/>
                <w:rtl/>
                <w:lang w:eastAsia="nl-NL"/>
              </w:rPr>
            </w:pPr>
          </w:p>
        </w:tc>
        <w:tc>
          <w:tcPr>
            <w:tcW w:w="583" w:type="pct"/>
            <w:tcBorders>
              <w:bottom w:val="single" w:sz="4" w:space="0" w:color="auto"/>
            </w:tcBorders>
          </w:tcPr>
          <w:p w:rsidR="006E4224" w:rsidRPr="0000346D" w:rsidRDefault="006E4224" w:rsidP="00F815EE">
            <w:pPr>
              <w:spacing w:after="0" w:line="240" w:lineRule="auto"/>
              <w:jc w:val="center"/>
              <w:rPr>
                <w:rFonts w:eastAsia="Times New Roman" w:cs="Times New Roman"/>
                <w:b/>
                <w:bCs/>
                <w:sz w:val="20"/>
                <w:szCs w:val="20"/>
                <w:rtl/>
                <w:lang w:eastAsia="nl-NL"/>
              </w:rPr>
            </w:pPr>
          </w:p>
        </w:tc>
        <w:tc>
          <w:tcPr>
            <w:tcW w:w="1768" w:type="pct"/>
            <w:tcBorders>
              <w:bottom w:val="single" w:sz="4" w:space="0" w:color="auto"/>
            </w:tcBorders>
          </w:tcPr>
          <w:p w:rsidR="006E4224" w:rsidRPr="0000346D" w:rsidRDefault="006E4224" w:rsidP="00F815EE">
            <w:pPr>
              <w:spacing w:after="0" w:line="240" w:lineRule="auto"/>
              <w:jc w:val="center"/>
              <w:rPr>
                <w:rFonts w:eastAsia="Times New Roman" w:cs="Times New Roman"/>
                <w:b/>
                <w:bCs/>
                <w:sz w:val="20"/>
                <w:szCs w:val="20"/>
                <w:rtl/>
                <w:lang w:eastAsia="nl-NL"/>
              </w:rPr>
            </w:pPr>
          </w:p>
        </w:tc>
      </w:tr>
      <w:tr w:rsidR="004E0D8D" w:rsidRPr="009919A9" w:rsidTr="000B511C">
        <w:trPr>
          <w:tblCellSpacing w:w="15" w:type="dxa"/>
        </w:trPr>
        <w:tc>
          <w:tcPr>
            <w:tcW w:w="722" w:type="pct"/>
            <w:vAlign w:val="center"/>
          </w:tcPr>
          <w:p w:rsidR="006E4224" w:rsidRPr="0000346D" w:rsidRDefault="006E4224" w:rsidP="00F815EE">
            <w:pPr>
              <w:spacing w:after="0" w:line="240" w:lineRule="auto"/>
              <w:jc w:val="center"/>
              <w:rPr>
                <w:rFonts w:eastAsia="Times New Roman" w:cs="Times New Roman"/>
                <w:sz w:val="20"/>
                <w:szCs w:val="20"/>
                <w:lang w:val="nl-NL" w:eastAsia="nl-NL" w:bidi="ar-SA"/>
              </w:rPr>
            </w:pPr>
          </w:p>
        </w:tc>
        <w:tc>
          <w:tcPr>
            <w:tcW w:w="644" w:type="pct"/>
            <w:vAlign w:val="center"/>
          </w:tcPr>
          <w:p w:rsidR="006E4224" w:rsidRPr="0000346D" w:rsidRDefault="006E4224" w:rsidP="00F815EE">
            <w:pPr>
              <w:spacing w:after="0" w:line="240" w:lineRule="auto"/>
              <w:jc w:val="center"/>
              <w:rPr>
                <w:rFonts w:eastAsia="Times New Roman" w:cs="Times New Roman"/>
                <w:sz w:val="20"/>
                <w:szCs w:val="20"/>
                <w:lang w:val="nl-NL" w:eastAsia="nl-NL" w:bidi="ar-SA"/>
              </w:rPr>
            </w:pPr>
          </w:p>
        </w:tc>
        <w:tc>
          <w:tcPr>
            <w:tcW w:w="579" w:type="pct"/>
            <w:vAlign w:val="center"/>
          </w:tcPr>
          <w:p w:rsidR="006E4224" w:rsidRPr="0000346D" w:rsidRDefault="006E4224" w:rsidP="00F815EE">
            <w:pPr>
              <w:spacing w:after="0" w:line="240" w:lineRule="auto"/>
              <w:jc w:val="center"/>
              <w:rPr>
                <w:rFonts w:eastAsia="Times New Roman" w:cs="Times New Roman"/>
                <w:sz w:val="20"/>
                <w:szCs w:val="20"/>
                <w:lang w:val="nl-NL" w:eastAsia="nl-NL" w:bidi="ar-SA"/>
              </w:rPr>
            </w:pPr>
          </w:p>
        </w:tc>
        <w:tc>
          <w:tcPr>
            <w:tcW w:w="581" w:type="pct"/>
            <w:vAlign w:val="center"/>
          </w:tcPr>
          <w:p w:rsidR="006E4224" w:rsidRPr="0000346D" w:rsidRDefault="006E4224" w:rsidP="00F815EE">
            <w:pPr>
              <w:spacing w:after="0" w:line="240" w:lineRule="auto"/>
              <w:jc w:val="center"/>
              <w:rPr>
                <w:rFonts w:eastAsia="Times New Roman" w:cs="Times New Roman"/>
                <w:sz w:val="20"/>
                <w:szCs w:val="20"/>
                <w:lang w:val="nl-NL" w:eastAsia="nl-NL" w:bidi="ar-SA"/>
              </w:rPr>
            </w:pPr>
          </w:p>
        </w:tc>
        <w:tc>
          <w:tcPr>
            <w:tcW w:w="583" w:type="pct"/>
          </w:tcPr>
          <w:p w:rsidR="006E4224" w:rsidRPr="0000346D" w:rsidRDefault="006E4224" w:rsidP="00F815EE">
            <w:pPr>
              <w:spacing w:after="0" w:line="240" w:lineRule="auto"/>
              <w:jc w:val="center"/>
              <w:rPr>
                <w:rFonts w:eastAsia="Times New Roman" w:cs="Times New Roman"/>
                <w:sz w:val="20"/>
                <w:szCs w:val="20"/>
                <w:lang w:val="nl-NL" w:eastAsia="nl-NL" w:bidi="ar-SA"/>
              </w:rPr>
            </w:pPr>
          </w:p>
        </w:tc>
        <w:tc>
          <w:tcPr>
            <w:tcW w:w="1768" w:type="pct"/>
          </w:tcPr>
          <w:p w:rsidR="006E4224" w:rsidRPr="0000346D" w:rsidRDefault="006E4224" w:rsidP="00F815EE">
            <w:pPr>
              <w:spacing w:after="0" w:line="240" w:lineRule="auto"/>
              <w:jc w:val="center"/>
              <w:rPr>
                <w:rFonts w:eastAsia="Times New Roman" w:cs="Times New Roman"/>
                <w:sz w:val="20"/>
                <w:szCs w:val="20"/>
                <w:rtl/>
                <w:lang w:eastAsia="nl-NL"/>
              </w:rPr>
            </w:pPr>
          </w:p>
        </w:tc>
      </w:tr>
      <w:tr w:rsidR="004E0D8D" w:rsidRPr="004C74B2" w:rsidTr="000B511C">
        <w:trPr>
          <w:tblCellSpacing w:w="15" w:type="dxa"/>
        </w:trPr>
        <w:tc>
          <w:tcPr>
            <w:tcW w:w="722" w:type="pct"/>
            <w:vAlign w:val="center"/>
          </w:tcPr>
          <w:p w:rsidR="006E4224" w:rsidRPr="004C74B2" w:rsidRDefault="006E4224" w:rsidP="00E80AFB">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0.</w:t>
            </w:r>
            <w:r w:rsidR="00E80AFB" w:rsidRPr="004C74B2">
              <w:rPr>
                <w:rFonts w:eastAsia="Times New Roman" w:cs="Times New Roman"/>
                <w:sz w:val="18"/>
                <w:szCs w:val="18"/>
                <w:lang w:val="nl-NL" w:eastAsia="nl-NL" w:bidi="ar-SA"/>
              </w:rPr>
              <w:t>3187</w:t>
            </w:r>
            <w:r w:rsidRPr="004C74B2">
              <w:rPr>
                <w:rFonts w:eastAsia="Times New Roman" w:cs="Times New Roman"/>
                <w:sz w:val="18"/>
                <w:szCs w:val="18"/>
                <w:vertAlign w:val="superscript"/>
                <w:lang w:val="nl-NL" w:eastAsia="nl-NL" w:bidi="ar-SA"/>
              </w:rPr>
              <w:t>***</w:t>
            </w:r>
          </w:p>
        </w:tc>
        <w:tc>
          <w:tcPr>
            <w:tcW w:w="644" w:type="pct"/>
            <w:vAlign w:val="center"/>
            <w:hideMark/>
          </w:tcPr>
          <w:p w:rsidR="006E4224" w:rsidRPr="004C74B2" w:rsidRDefault="006E4224" w:rsidP="00E80AFB">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0.</w:t>
            </w:r>
            <w:r w:rsidR="00E80AFB" w:rsidRPr="004C74B2">
              <w:rPr>
                <w:rFonts w:eastAsia="Times New Roman" w:cs="Times New Roman"/>
                <w:sz w:val="18"/>
                <w:szCs w:val="18"/>
                <w:lang w:val="nl-NL" w:eastAsia="nl-NL" w:bidi="ar-SA"/>
              </w:rPr>
              <w:t>2998</w:t>
            </w:r>
            <w:r w:rsidRPr="004C74B2">
              <w:rPr>
                <w:rFonts w:eastAsia="Times New Roman" w:cs="Times New Roman"/>
                <w:sz w:val="18"/>
                <w:szCs w:val="18"/>
                <w:vertAlign w:val="superscript"/>
                <w:lang w:val="nl-NL" w:eastAsia="nl-NL" w:bidi="ar-SA"/>
              </w:rPr>
              <w:t>***</w:t>
            </w:r>
          </w:p>
        </w:tc>
        <w:tc>
          <w:tcPr>
            <w:tcW w:w="579" w:type="pct"/>
            <w:vAlign w:val="center"/>
          </w:tcPr>
          <w:p w:rsidR="006E4224" w:rsidRPr="004C74B2" w:rsidRDefault="006E4224" w:rsidP="00E80AFB">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0.</w:t>
            </w:r>
            <w:r w:rsidR="00E80AFB" w:rsidRPr="004C74B2">
              <w:rPr>
                <w:rFonts w:eastAsia="Times New Roman" w:cs="Times New Roman"/>
                <w:sz w:val="18"/>
                <w:szCs w:val="18"/>
                <w:lang w:val="nl-NL" w:eastAsia="nl-NL" w:bidi="ar-SA"/>
              </w:rPr>
              <w:t>3048</w:t>
            </w:r>
            <w:r w:rsidRPr="004C74B2">
              <w:rPr>
                <w:rFonts w:eastAsia="Times New Roman" w:cs="Times New Roman"/>
                <w:sz w:val="18"/>
                <w:szCs w:val="18"/>
                <w:vertAlign w:val="superscript"/>
                <w:lang w:val="nl-NL" w:eastAsia="nl-NL" w:bidi="ar-SA"/>
              </w:rPr>
              <w:t>***</w:t>
            </w:r>
          </w:p>
        </w:tc>
        <w:tc>
          <w:tcPr>
            <w:tcW w:w="581" w:type="pct"/>
            <w:vAlign w:val="center"/>
          </w:tcPr>
          <w:p w:rsidR="006E4224" w:rsidRPr="004C74B2" w:rsidRDefault="006E4224" w:rsidP="00E80AFB">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0.</w:t>
            </w:r>
            <w:r w:rsidR="00E80AFB" w:rsidRPr="004C74B2">
              <w:rPr>
                <w:rFonts w:eastAsia="Times New Roman" w:cs="Times New Roman"/>
                <w:sz w:val="18"/>
                <w:szCs w:val="18"/>
                <w:lang w:val="nl-NL" w:eastAsia="nl-NL" w:bidi="ar-SA"/>
              </w:rPr>
              <w:t>2963</w:t>
            </w:r>
            <w:r w:rsidRPr="004C74B2">
              <w:rPr>
                <w:rFonts w:eastAsia="Times New Roman" w:cs="Times New Roman"/>
                <w:sz w:val="18"/>
                <w:szCs w:val="18"/>
                <w:vertAlign w:val="superscript"/>
                <w:lang w:val="nl-NL" w:eastAsia="nl-NL" w:bidi="ar-SA"/>
              </w:rPr>
              <w:t>***</w:t>
            </w:r>
          </w:p>
        </w:tc>
        <w:tc>
          <w:tcPr>
            <w:tcW w:w="583" w:type="pct"/>
          </w:tcPr>
          <w:p w:rsidR="006E4224" w:rsidRPr="004C74B2" w:rsidRDefault="00E80AFB" w:rsidP="00E80AFB">
            <w:pPr>
              <w:bidi w:val="0"/>
              <w:spacing w:after="0" w:line="240" w:lineRule="auto"/>
              <w:jc w:val="center"/>
              <w:rPr>
                <w:rFonts w:eastAsia="Times New Roman" w:cs="Times New Roman"/>
                <w:sz w:val="18"/>
                <w:szCs w:val="18"/>
                <w:rtl/>
                <w:lang w:eastAsia="nl-NL"/>
              </w:rPr>
            </w:pPr>
            <w:r w:rsidRPr="004C74B2">
              <w:rPr>
                <w:rFonts w:eastAsia="Times New Roman" w:cs="Times New Roman"/>
                <w:sz w:val="18"/>
                <w:szCs w:val="18"/>
                <w:lang w:val="nl-NL" w:eastAsia="nl-NL" w:bidi="ar-SA"/>
              </w:rPr>
              <w:t>0.2914</w:t>
            </w:r>
            <w:r w:rsidRPr="004C74B2">
              <w:rPr>
                <w:rFonts w:eastAsia="Times New Roman" w:cs="Times New Roman"/>
                <w:sz w:val="18"/>
                <w:szCs w:val="18"/>
                <w:rtl/>
                <w:lang w:val="nl-NL" w:eastAsia="nl-NL" w:bidi="ar-SA"/>
              </w:rPr>
              <w:t>***</w:t>
            </w:r>
          </w:p>
        </w:tc>
        <w:tc>
          <w:tcPr>
            <w:tcW w:w="1768" w:type="pct"/>
          </w:tcPr>
          <w:p w:rsidR="006E4224" w:rsidRPr="004C74B2" w:rsidRDefault="006E4224" w:rsidP="00306C91">
            <w:pPr>
              <w:spacing w:after="0" w:line="240" w:lineRule="auto"/>
              <w:rPr>
                <w:rFonts w:eastAsia="Times New Roman" w:cs="Times New Roman"/>
                <w:sz w:val="18"/>
                <w:szCs w:val="18"/>
                <w:rtl/>
                <w:lang w:eastAsia="nl-NL"/>
              </w:rPr>
            </w:pPr>
            <w:r w:rsidRPr="004C74B2">
              <w:rPr>
                <w:rFonts w:eastAsia="Times New Roman" w:cs="Times New Roman" w:hint="cs"/>
                <w:sz w:val="18"/>
                <w:szCs w:val="18"/>
                <w:rtl/>
                <w:lang w:eastAsia="nl-NL"/>
              </w:rPr>
              <w:t>שינוי בריבית הקצרה</w:t>
            </w:r>
          </w:p>
        </w:tc>
      </w:tr>
      <w:tr w:rsidR="004E0D8D" w:rsidRPr="004C74B2" w:rsidTr="000B511C">
        <w:trPr>
          <w:tblCellSpacing w:w="15" w:type="dxa"/>
        </w:trPr>
        <w:tc>
          <w:tcPr>
            <w:tcW w:w="722" w:type="pct"/>
            <w:vAlign w:val="center"/>
          </w:tcPr>
          <w:p w:rsidR="006E4224" w:rsidRPr="004C74B2" w:rsidRDefault="006E4224" w:rsidP="00E80AFB">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(0.0</w:t>
            </w:r>
            <w:r w:rsidR="00E80AFB" w:rsidRPr="004C74B2">
              <w:rPr>
                <w:rFonts w:eastAsia="Times New Roman" w:cs="Times New Roman"/>
                <w:sz w:val="18"/>
                <w:szCs w:val="18"/>
                <w:lang w:val="nl-NL" w:eastAsia="nl-NL" w:bidi="ar-SA"/>
              </w:rPr>
              <w:t>049</w:t>
            </w:r>
            <w:r w:rsidRPr="004C74B2">
              <w:rPr>
                <w:rFonts w:eastAsia="Times New Roman" w:cs="Times New Roman"/>
                <w:sz w:val="18"/>
                <w:szCs w:val="18"/>
                <w:lang w:val="nl-NL" w:eastAsia="nl-NL" w:bidi="ar-SA"/>
              </w:rPr>
              <w:t>)</w:t>
            </w:r>
          </w:p>
        </w:tc>
        <w:tc>
          <w:tcPr>
            <w:tcW w:w="644" w:type="pct"/>
            <w:vAlign w:val="center"/>
            <w:hideMark/>
          </w:tcPr>
          <w:p w:rsidR="006E4224" w:rsidRPr="004C74B2" w:rsidRDefault="006E4224" w:rsidP="00E80AFB">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(0.00</w:t>
            </w:r>
            <w:r w:rsidR="00E80AFB" w:rsidRPr="004C74B2">
              <w:rPr>
                <w:rFonts w:eastAsia="Times New Roman" w:cs="Times New Roman"/>
                <w:sz w:val="18"/>
                <w:szCs w:val="18"/>
                <w:lang w:val="nl-NL" w:eastAsia="nl-NL" w:bidi="ar-SA"/>
              </w:rPr>
              <w:t>53</w:t>
            </w:r>
            <w:r w:rsidRPr="004C74B2">
              <w:rPr>
                <w:rFonts w:eastAsia="Times New Roman" w:cs="Times New Roman"/>
                <w:sz w:val="18"/>
                <w:szCs w:val="18"/>
                <w:lang w:val="nl-NL" w:eastAsia="nl-NL" w:bidi="ar-SA"/>
              </w:rPr>
              <w:t>)</w:t>
            </w:r>
          </w:p>
        </w:tc>
        <w:tc>
          <w:tcPr>
            <w:tcW w:w="579" w:type="pct"/>
            <w:vAlign w:val="center"/>
          </w:tcPr>
          <w:p w:rsidR="006E4224" w:rsidRPr="004C74B2" w:rsidRDefault="006E4224" w:rsidP="00E80AFB">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(0.0</w:t>
            </w:r>
            <w:r w:rsidR="00E80AFB" w:rsidRPr="004C74B2">
              <w:rPr>
                <w:rFonts w:eastAsia="Times New Roman" w:cs="Times New Roman"/>
                <w:sz w:val="18"/>
                <w:szCs w:val="18"/>
                <w:lang w:val="nl-NL" w:eastAsia="nl-NL" w:bidi="ar-SA"/>
              </w:rPr>
              <w:t>047</w:t>
            </w:r>
            <w:r w:rsidRPr="004C74B2">
              <w:rPr>
                <w:rFonts w:eastAsia="Times New Roman" w:cs="Times New Roman"/>
                <w:sz w:val="18"/>
                <w:szCs w:val="18"/>
                <w:lang w:val="nl-NL" w:eastAsia="nl-NL" w:bidi="ar-SA"/>
              </w:rPr>
              <w:t>)</w:t>
            </w:r>
          </w:p>
        </w:tc>
        <w:tc>
          <w:tcPr>
            <w:tcW w:w="581" w:type="pct"/>
            <w:vAlign w:val="center"/>
          </w:tcPr>
          <w:p w:rsidR="006E4224" w:rsidRPr="004C74B2" w:rsidRDefault="006E4224" w:rsidP="00E80AFB">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(0.0</w:t>
            </w:r>
            <w:r w:rsidR="00E80AFB" w:rsidRPr="004C74B2">
              <w:rPr>
                <w:rFonts w:eastAsia="Times New Roman" w:cs="Times New Roman"/>
                <w:sz w:val="18"/>
                <w:szCs w:val="18"/>
                <w:lang w:val="nl-NL" w:eastAsia="nl-NL" w:bidi="ar-SA"/>
              </w:rPr>
              <w:t>062</w:t>
            </w:r>
            <w:r w:rsidRPr="004C74B2">
              <w:rPr>
                <w:rFonts w:eastAsia="Times New Roman" w:cs="Times New Roman"/>
                <w:sz w:val="18"/>
                <w:szCs w:val="18"/>
                <w:lang w:val="nl-NL" w:eastAsia="nl-NL" w:bidi="ar-SA"/>
              </w:rPr>
              <w:t>)</w:t>
            </w:r>
          </w:p>
        </w:tc>
        <w:tc>
          <w:tcPr>
            <w:tcW w:w="583" w:type="pct"/>
          </w:tcPr>
          <w:p w:rsidR="006E4224" w:rsidRPr="004C74B2" w:rsidRDefault="006E4224" w:rsidP="00E80AFB">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(0.</w:t>
            </w:r>
            <w:r w:rsidR="00E80AFB" w:rsidRPr="004C74B2">
              <w:rPr>
                <w:rFonts w:eastAsia="Times New Roman" w:cs="Times New Roman"/>
                <w:sz w:val="18"/>
                <w:szCs w:val="18"/>
                <w:lang w:val="nl-NL" w:eastAsia="nl-NL" w:bidi="ar-SA"/>
              </w:rPr>
              <w:t>0059</w:t>
            </w:r>
            <w:r w:rsidRPr="004C74B2">
              <w:rPr>
                <w:rFonts w:eastAsia="Times New Roman" w:cs="Times New Roman"/>
                <w:sz w:val="18"/>
                <w:szCs w:val="18"/>
                <w:lang w:val="nl-NL" w:eastAsia="nl-NL" w:bidi="ar-SA"/>
              </w:rPr>
              <w:t>)</w:t>
            </w:r>
          </w:p>
        </w:tc>
        <w:tc>
          <w:tcPr>
            <w:tcW w:w="1768" w:type="pct"/>
          </w:tcPr>
          <w:p w:rsidR="006E4224" w:rsidRPr="004C74B2" w:rsidRDefault="006E4224" w:rsidP="00306C91">
            <w:pPr>
              <w:spacing w:after="0" w:line="240" w:lineRule="auto"/>
              <w:rPr>
                <w:rFonts w:eastAsia="Times New Roman" w:cs="Times New Roman"/>
                <w:sz w:val="18"/>
                <w:szCs w:val="18"/>
                <w:lang w:val="nl-NL" w:eastAsia="nl-NL" w:bidi="ar-SA"/>
              </w:rPr>
            </w:pPr>
          </w:p>
        </w:tc>
      </w:tr>
      <w:tr w:rsidR="004E0D8D" w:rsidRPr="004C74B2" w:rsidTr="000B511C">
        <w:trPr>
          <w:tblCellSpacing w:w="15" w:type="dxa"/>
        </w:trPr>
        <w:tc>
          <w:tcPr>
            <w:tcW w:w="722"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-0.1559***</w:t>
            </w:r>
          </w:p>
        </w:tc>
        <w:tc>
          <w:tcPr>
            <w:tcW w:w="644"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79"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81" w:type="pct"/>
            <w:vAlign w:val="center"/>
          </w:tcPr>
          <w:p w:rsidR="006E4224" w:rsidRPr="004C74B2" w:rsidRDefault="00E80AFB" w:rsidP="00E80AFB">
            <w:pPr>
              <w:bidi w:val="0"/>
              <w:spacing w:after="0" w:line="240" w:lineRule="auto"/>
              <w:jc w:val="center"/>
              <w:rPr>
                <w:rFonts w:eastAsia="Times New Roman" w:cs="Times New Roman"/>
                <w:sz w:val="18"/>
                <w:szCs w:val="18"/>
                <w:lang w:eastAsia="nl-NL"/>
              </w:rPr>
            </w:pPr>
            <w:r w:rsidRPr="004C74B2">
              <w:rPr>
                <w:rFonts w:eastAsia="Times New Roman" w:cs="Times New Roman"/>
                <w:sz w:val="18"/>
                <w:szCs w:val="18"/>
                <w:lang w:val="nl-NL" w:eastAsia="nl-NL"/>
              </w:rPr>
              <w:t>-</w:t>
            </w:r>
            <w:r w:rsidR="003E0A48">
              <w:rPr>
                <w:rFonts w:eastAsia="Times New Roman" w:cs="Times New Roman"/>
                <w:sz w:val="18"/>
                <w:szCs w:val="18"/>
                <w:lang w:val="nl-NL" w:eastAsia="nl-NL"/>
              </w:rPr>
              <w:t>0.</w:t>
            </w:r>
            <w:r w:rsidRPr="004C74B2">
              <w:rPr>
                <w:rFonts w:eastAsia="Times New Roman" w:cs="Times New Roman"/>
                <w:sz w:val="18"/>
                <w:szCs w:val="18"/>
                <w:lang w:val="nl-NL" w:eastAsia="nl-NL"/>
              </w:rPr>
              <w:t>1491***</w:t>
            </w:r>
          </w:p>
        </w:tc>
        <w:tc>
          <w:tcPr>
            <w:tcW w:w="583" w:type="pct"/>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1768" w:type="pct"/>
          </w:tcPr>
          <w:p w:rsidR="006E4224" w:rsidRPr="004C74B2" w:rsidRDefault="006E4224" w:rsidP="00306C91">
            <w:pPr>
              <w:spacing w:after="0" w:line="240" w:lineRule="auto"/>
              <w:rPr>
                <w:rFonts w:eastAsia="Times New Roman" w:cs="Times New Roman"/>
                <w:sz w:val="18"/>
                <w:szCs w:val="18"/>
                <w:lang w:val="nl-NL" w:eastAsia="nl-NL"/>
              </w:rPr>
            </w:pPr>
            <w:r w:rsidRPr="004C74B2">
              <w:rPr>
                <w:rFonts w:eastAsia="Times New Roman" w:cs="Times New Roman" w:hint="cs"/>
                <w:sz w:val="18"/>
                <w:szCs w:val="18"/>
                <w:rtl/>
                <w:lang w:eastAsia="nl-NL"/>
              </w:rPr>
              <w:t>שינוי בריבית הקצרה</w:t>
            </w:r>
            <w:r w:rsidRPr="004C74B2">
              <w:rPr>
                <w:rFonts w:eastAsia="Times New Roman" w:cs="Times New Roman" w:hint="cs"/>
                <w:sz w:val="18"/>
                <w:szCs w:val="18"/>
                <w:rtl/>
                <w:lang w:val="nl-NL" w:eastAsia="nl-NL"/>
              </w:rPr>
              <w:t>*דמי ריבית נמוכה</w:t>
            </w:r>
          </w:p>
        </w:tc>
      </w:tr>
      <w:tr w:rsidR="004E0D8D" w:rsidRPr="004C74B2" w:rsidTr="000B511C">
        <w:trPr>
          <w:tblCellSpacing w:w="15" w:type="dxa"/>
        </w:trPr>
        <w:tc>
          <w:tcPr>
            <w:tcW w:w="722"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(0.0102)</w:t>
            </w:r>
          </w:p>
        </w:tc>
        <w:tc>
          <w:tcPr>
            <w:tcW w:w="644"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79"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81"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(0.0103)</w:t>
            </w:r>
          </w:p>
        </w:tc>
        <w:tc>
          <w:tcPr>
            <w:tcW w:w="583" w:type="pct"/>
          </w:tcPr>
          <w:p w:rsidR="006E4224" w:rsidRPr="004C74B2" w:rsidRDefault="006E4224" w:rsidP="00F815EE">
            <w:pPr>
              <w:spacing w:after="0" w:line="240" w:lineRule="auto"/>
              <w:jc w:val="center"/>
              <w:rPr>
                <w:rFonts w:eastAsia="Times New Roman" w:cs="Times New Roman"/>
                <w:sz w:val="18"/>
                <w:szCs w:val="18"/>
                <w:lang w:val="nl-NL" w:eastAsia="nl-NL"/>
              </w:rPr>
            </w:pPr>
          </w:p>
        </w:tc>
        <w:tc>
          <w:tcPr>
            <w:tcW w:w="1768" w:type="pct"/>
          </w:tcPr>
          <w:p w:rsidR="006E4224" w:rsidRPr="004C74B2" w:rsidRDefault="006E4224" w:rsidP="00306C91">
            <w:pPr>
              <w:spacing w:after="0" w:line="240" w:lineRule="auto"/>
              <w:rPr>
                <w:rFonts w:eastAsia="Times New Roman" w:cs="Times New Roman"/>
                <w:sz w:val="18"/>
                <w:szCs w:val="18"/>
                <w:lang w:val="nl-NL" w:eastAsia="nl-NL" w:bidi="ar-SA"/>
              </w:rPr>
            </w:pPr>
          </w:p>
        </w:tc>
      </w:tr>
      <w:tr w:rsidR="004E0D8D" w:rsidRPr="004C74B2" w:rsidTr="000B511C">
        <w:trPr>
          <w:tblCellSpacing w:w="15" w:type="dxa"/>
        </w:trPr>
        <w:tc>
          <w:tcPr>
            <w:tcW w:w="722"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-0.1602***</w:t>
            </w:r>
          </w:p>
        </w:tc>
        <w:tc>
          <w:tcPr>
            <w:tcW w:w="644"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79" w:type="pct"/>
            <w:vAlign w:val="center"/>
          </w:tcPr>
          <w:p w:rsidR="006E4224" w:rsidRPr="004C74B2" w:rsidRDefault="00E80AFB" w:rsidP="00F815EE">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eastAsia="nl-NL" w:bidi="ar-SA"/>
              </w:rPr>
              <w:t>-</w:t>
            </w:r>
            <w:r w:rsidR="009102CF">
              <w:rPr>
                <w:rFonts w:eastAsia="Times New Roman" w:cs="Times New Roman"/>
                <w:sz w:val="18"/>
                <w:szCs w:val="18"/>
                <w:lang w:eastAsia="nl-NL" w:bidi="ar-SA"/>
              </w:rPr>
              <w:t>0.</w:t>
            </w:r>
            <w:r w:rsidRPr="004C74B2">
              <w:rPr>
                <w:rFonts w:eastAsia="Times New Roman" w:cs="Times New Roman"/>
                <w:sz w:val="18"/>
                <w:szCs w:val="18"/>
                <w:lang w:eastAsia="nl-NL" w:bidi="ar-SA"/>
              </w:rPr>
              <w:t>1788***</w:t>
            </w:r>
          </w:p>
        </w:tc>
        <w:tc>
          <w:tcPr>
            <w:tcW w:w="581"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83" w:type="pct"/>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1768" w:type="pct"/>
          </w:tcPr>
          <w:p w:rsidR="006E4224" w:rsidRPr="004C74B2" w:rsidRDefault="006E4224" w:rsidP="00306C91">
            <w:pPr>
              <w:spacing w:after="0" w:line="240" w:lineRule="auto"/>
              <w:rPr>
                <w:rFonts w:eastAsia="Times New Roman" w:cs="Times New Roman"/>
                <w:sz w:val="18"/>
                <w:szCs w:val="18"/>
                <w:lang w:val="nl-NL" w:eastAsia="nl-NL"/>
              </w:rPr>
            </w:pPr>
            <w:r w:rsidRPr="004C74B2">
              <w:rPr>
                <w:rFonts w:eastAsia="Times New Roman" w:cs="Times New Roman" w:hint="cs"/>
                <w:sz w:val="18"/>
                <w:szCs w:val="18"/>
                <w:rtl/>
                <w:lang w:eastAsia="nl-NL"/>
              </w:rPr>
              <w:t>שינוי בריבית הקצרה</w:t>
            </w:r>
            <w:r w:rsidRPr="004C74B2">
              <w:rPr>
                <w:rFonts w:eastAsia="Times New Roman" w:cs="Times New Roman" w:hint="cs"/>
                <w:sz w:val="18"/>
                <w:szCs w:val="18"/>
                <w:rtl/>
                <w:lang w:val="nl-NL" w:eastAsia="nl-NL"/>
              </w:rPr>
              <w:t>*</w:t>
            </w:r>
            <w:r w:rsidRPr="004C74B2">
              <w:rPr>
                <w:rFonts w:eastAsia="Times New Roman" w:cs="Times New Roman" w:hint="cs"/>
                <w:sz w:val="18"/>
                <w:szCs w:val="18"/>
                <w:lang w:val="nl-NL" w:eastAsia="nl-NL"/>
              </w:rPr>
              <w:t>HHI</w:t>
            </w:r>
          </w:p>
        </w:tc>
      </w:tr>
      <w:tr w:rsidR="0000346D" w:rsidRPr="004C74B2" w:rsidTr="000B511C">
        <w:trPr>
          <w:tblCellSpacing w:w="15" w:type="dxa"/>
        </w:trPr>
        <w:tc>
          <w:tcPr>
            <w:tcW w:w="722"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(0.0579)</w:t>
            </w:r>
          </w:p>
        </w:tc>
        <w:tc>
          <w:tcPr>
            <w:tcW w:w="644"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79"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(0.0585)</w:t>
            </w:r>
          </w:p>
        </w:tc>
        <w:tc>
          <w:tcPr>
            <w:tcW w:w="581"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83" w:type="pct"/>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1768" w:type="pct"/>
          </w:tcPr>
          <w:p w:rsidR="006E4224" w:rsidRPr="004C74B2" w:rsidRDefault="006E4224" w:rsidP="00306C91">
            <w:pPr>
              <w:spacing w:after="0" w:line="240" w:lineRule="auto"/>
              <w:rPr>
                <w:rFonts w:eastAsia="Times New Roman" w:cs="Times New Roman"/>
                <w:sz w:val="18"/>
                <w:szCs w:val="18"/>
                <w:lang w:val="nl-NL" w:eastAsia="nl-NL" w:bidi="ar-SA"/>
              </w:rPr>
            </w:pPr>
          </w:p>
        </w:tc>
      </w:tr>
      <w:tr w:rsidR="0000346D" w:rsidRPr="004C74B2" w:rsidTr="000B511C">
        <w:trPr>
          <w:tblCellSpacing w:w="15" w:type="dxa"/>
        </w:trPr>
        <w:tc>
          <w:tcPr>
            <w:tcW w:w="722"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-0.2973***</w:t>
            </w:r>
          </w:p>
        </w:tc>
        <w:tc>
          <w:tcPr>
            <w:tcW w:w="644"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-0.2511***</w:t>
            </w:r>
          </w:p>
        </w:tc>
        <w:tc>
          <w:tcPr>
            <w:tcW w:w="579"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81"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83" w:type="pct"/>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1768" w:type="pct"/>
          </w:tcPr>
          <w:p w:rsidR="006E4224" w:rsidRPr="004C74B2" w:rsidRDefault="006E4224" w:rsidP="00306C91">
            <w:pPr>
              <w:spacing w:after="0" w:line="240" w:lineRule="auto"/>
              <w:rPr>
                <w:rFonts w:eastAsia="Times New Roman" w:cs="Times New Roman"/>
                <w:sz w:val="18"/>
                <w:szCs w:val="18"/>
                <w:rtl/>
                <w:lang w:eastAsia="nl-NL" w:bidi="ar-SA"/>
              </w:rPr>
            </w:pPr>
            <w:r w:rsidRPr="004C74B2">
              <w:rPr>
                <w:rFonts w:eastAsia="Times New Roman" w:cs="Times New Roman" w:hint="cs"/>
                <w:sz w:val="18"/>
                <w:szCs w:val="18"/>
                <w:rtl/>
                <w:lang w:eastAsia="nl-NL"/>
              </w:rPr>
              <w:t>שינוי בריבית הקצרה</w:t>
            </w:r>
            <w:r w:rsidRPr="004C74B2">
              <w:rPr>
                <w:rFonts w:eastAsia="Times New Roman" w:cs="Times New Roman" w:hint="cs"/>
                <w:sz w:val="18"/>
                <w:szCs w:val="18"/>
                <w:rtl/>
                <w:lang w:val="nl-NL" w:eastAsia="nl-NL"/>
              </w:rPr>
              <w:t>*יחס רזרבה לנכסים</w:t>
            </w:r>
          </w:p>
        </w:tc>
      </w:tr>
      <w:tr w:rsidR="0000346D" w:rsidRPr="004C74B2" w:rsidTr="000B511C">
        <w:trPr>
          <w:tblCellSpacing w:w="15" w:type="dxa"/>
        </w:trPr>
        <w:tc>
          <w:tcPr>
            <w:tcW w:w="722"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(0.0491)</w:t>
            </w:r>
          </w:p>
        </w:tc>
        <w:tc>
          <w:tcPr>
            <w:tcW w:w="644" w:type="pct"/>
            <w:vAlign w:val="center"/>
          </w:tcPr>
          <w:p w:rsidR="006E4224" w:rsidRPr="004C74B2" w:rsidRDefault="00E80AFB" w:rsidP="00F815EE">
            <w:pPr>
              <w:spacing w:after="0" w:line="240" w:lineRule="auto"/>
              <w:jc w:val="center"/>
              <w:rPr>
                <w:rFonts w:eastAsia="Times New Roman" w:cs="Times New Roman"/>
                <w:sz w:val="18"/>
                <w:szCs w:val="18"/>
                <w:lang w:eastAsia="nl-NL"/>
              </w:rPr>
            </w:pPr>
            <w:r w:rsidRPr="004C74B2">
              <w:rPr>
                <w:rFonts w:eastAsia="Times New Roman" w:cs="Times New Roman"/>
                <w:sz w:val="18"/>
                <w:szCs w:val="18"/>
                <w:lang w:eastAsia="nl-NL"/>
              </w:rPr>
              <w:t>(0.0490)</w:t>
            </w:r>
          </w:p>
        </w:tc>
        <w:tc>
          <w:tcPr>
            <w:tcW w:w="579" w:type="pct"/>
            <w:vAlign w:val="center"/>
          </w:tcPr>
          <w:p w:rsidR="006E4224" w:rsidRPr="004C74B2" w:rsidRDefault="006E4224" w:rsidP="00F815EE">
            <w:pPr>
              <w:spacing w:after="0" w:line="240" w:lineRule="auto"/>
              <w:jc w:val="center"/>
              <w:rPr>
                <w:rFonts w:eastAsia="Times New Roman" w:cs="Times New Roman"/>
                <w:sz w:val="18"/>
                <w:szCs w:val="18"/>
                <w:lang w:val="nl-NL" w:eastAsia="nl-NL"/>
              </w:rPr>
            </w:pPr>
          </w:p>
        </w:tc>
        <w:tc>
          <w:tcPr>
            <w:tcW w:w="581" w:type="pct"/>
            <w:vAlign w:val="center"/>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583" w:type="pct"/>
          </w:tcPr>
          <w:p w:rsidR="006E4224" w:rsidRPr="004C74B2" w:rsidRDefault="006E4224" w:rsidP="00F815EE">
            <w:pPr>
              <w:spacing w:after="0" w:line="240" w:lineRule="auto"/>
              <w:jc w:val="center"/>
              <w:rPr>
                <w:rFonts w:eastAsia="Times New Roman" w:cs="Times New Roman"/>
                <w:sz w:val="18"/>
                <w:szCs w:val="18"/>
                <w:lang w:val="nl-NL" w:eastAsia="nl-NL" w:bidi="ar-SA"/>
              </w:rPr>
            </w:pPr>
          </w:p>
        </w:tc>
        <w:tc>
          <w:tcPr>
            <w:tcW w:w="1768" w:type="pct"/>
          </w:tcPr>
          <w:p w:rsidR="006E4224" w:rsidRPr="004C74B2" w:rsidRDefault="006E4224" w:rsidP="00306C91">
            <w:pPr>
              <w:spacing w:after="0" w:line="240" w:lineRule="auto"/>
              <w:rPr>
                <w:rFonts w:eastAsia="Times New Roman" w:cs="Times New Roman"/>
                <w:sz w:val="18"/>
                <w:szCs w:val="18"/>
                <w:lang w:val="nl-NL" w:eastAsia="nl-NL" w:bidi="ar-SA"/>
              </w:rPr>
            </w:pPr>
          </w:p>
        </w:tc>
      </w:tr>
      <w:tr w:rsidR="004C74B2" w:rsidRPr="004C74B2" w:rsidTr="000B511C">
        <w:trPr>
          <w:tblCellSpacing w:w="15" w:type="dxa"/>
        </w:trPr>
        <w:tc>
          <w:tcPr>
            <w:tcW w:w="722" w:type="pct"/>
            <w:vAlign w:val="center"/>
          </w:tcPr>
          <w:p w:rsidR="004C74B2" w:rsidRPr="004C74B2" w:rsidRDefault="004C74B2" w:rsidP="00F815EE">
            <w:pPr>
              <w:spacing w:after="0" w:line="240" w:lineRule="auto"/>
              <w:jc w:val="center"/>
              <w:rPr>
                <w:rFonts w:eastAsia="Times New Roman" w:cs="Times New Roman"/>
                <w:sz w:val="18"/>
                <w:szCs w:val="18"/>
                <w:lang w:eastAsia="nl-NL"/>
              </w:rPr>
            </w:pPr>
          </w:p>
        </w:tc>
        <w:tc>
          <w:tcPr>
            <w:tcW w:w="644" w:type="pct"/>
            <w:vAlign w:val="center"/>
          </w:tcPr>
          <w:p w:rsidR="004C74B2" w:rsidRPr="004C74B2" w:rsidRDefault="004C74B2" w:rsidP="00F815EE">
            <w:pPr>
              <w:spacing w:after="0" w:line="240" w:lineRule="auto"/>
              <w:jc w:val="center"/>
              <w:rPr>
                <w:rFonts w:eastAsia="Times New Roman" w:cs="Times New Roman"/>
                <w:sz w:val="18"/>
                <w:szCs w:val="18"/>
                <w:lang w:eastAsia="nl-NL"/>
              </w:rPr>
            </w:pPr>
          </w:p>
        </w:tc>
        <w:tc>
          <w:tcPr>
            <w:tcW w:w="579" w:type="pct"/>
            <w:vAlign w:val="center"/>
          </w:tcPr>
          <w:p w:rsidR="004C74B2" w:rsidRPr="004C74B2" w:rsidRDefault="004C74B2" w:rsidP="00F815EE">
            <w:pPr>
              <w:spacing w:after="0" w:line="240" w:lineRule="auto"/>
              <w:jc w:val="center"/>
              <w:rPr>
                <w:rFonts w:eastAsia="Times New Roman" w:cs="Times New Roman"/>
                <w:sz w:val="18"/>
                <w:szCs w:val="18"/>
                <w:lang w:val="nl-NL" w:eastAsia="nl-NL"/>
              </w:rPr>
            </w:pPr>
          </w:p>
        </w:tc>
        <w:tc>
          <w:tcPr>
            <w:tcW w:w="581" w:type="pct"/>
            <w:vAlign w:val="center"/>
          </w:tcPr>
          <w:p w:rsidR="004C74B2" w:rsidRPr="004C74B2" w:rsidRDefault="004C74B2" w:rsidP="00F815EE">
            <w:pPr>
              <w:spacing w:after="0" w:line="240" w:lineRule="auto"/>
              <w:jc w:val="center"/>
              <w:rPr>
                <w:rFonts w:eastAsia="Times New Roman" w:cs="Times New Roman"/>
                <w:sz w:val="18"/>
                <w:szCs w:val="18"/>
                <w:lang w:val="nl-NL" w:eastAsia="nl-NL" w:bidi="ar-SA"/>
              </w:rPr>
            </w:pPr>
          </w:p>
        </w:tc>
        <w:tc>
          <w:tcPr>
            <w:tcW w:w="583" w:type="pct"/>
          </w:tcPr>
          <w:p w:rsidR="004C74B2" w:rsidRPr="004C74B2" w:rsidRDefault="004C74B2" w:rsidP="00F815EE">
            <w:pPr>
              <w:spacing w:after="0" w:line="240" w:lineRule="auto"/>
              <w:jc w:val="center"/>
              <w:rPr>
                <w:rFonts w:eastAsia="Times New Roman" w:cs="Times New Roman"/>
                <w:sz w:val="18"/>
                <w:szCs w:val="18"/>
                <w:lang w:val="nl-NL" w:eastAsia="nl-NL" w:bidi="ar-SA"/>
              </w:rPr>
            </w:pPr>
          </w:p>
        </w:tc>
        <w:tc>
          <w:tcPr>
            <w:tcW w:w="1768" w:type="pct"/>
          </w:tcPr>
          <w:p w:rsidR="004C74B2" w:rsidRPr="004C74B2" w:rsidRDefault="004C74B2" w:rsidP="00306C91">
            <w:pPr>
              <w:spacing w:after="0" w:line="240" w:lineRule="auto"/>
              <w:rPr>
                <w:rFonts w:eastAsia="Times New Roman" w:cs="Times New Roman"/>
                <w:sz w:val="18"/>
                <w:szCs w:val="18"/>
                <w:lang w:val="nl-NL" w:eastAsia="nl-NL" w:bidi="ar-SA"/>
              </w:rPr>
            </w:pPr>
          </w:p>
        </w:tc>
      </w:tr>
      <w:tr w:rsidR="004C74B2" w:rsidRPr="004C74B2" w:rsidTr="000B511C">
        <w:trPr>
          <w:tblCellSpacing w:w="15" w:type="dxa"/>
        </w:trPr>
        <w:tc>
          <w:tcPr>
            <w:tcW w:w="722" w:type="pct"/>
            <w:vAlign w:val="center"/>
          </w:tcPr>
          <w:p w:rsidR="004C74B2" w:rsidRPr="004C74B2" w:rsidRDefault="004C74B2" w:rsidP="00F815EE">
            <w:pPr>
              <w:spacing w:after="0" w:line="240" w:lineRule="auto"/>
              <w:jc w:val="center"/>
              <w:rPr>
                <w:rFonts w:eastAsia="Times New Roman" w:cs="Times New Roman"/>
                <w:sz w:val="18"/>
                <w:szCs w:val="18"/>
                <w:lang w:eastAsia="nl-NL"/>
              </w:rPr>
            </w:pPr>
            <w:r w:rsidRPr="004C74B2">
              <w:rPr>
                <w:rFonts w:eastAsia="Times New Roman" w:cs="Times New Roman" w:hint="cs"/>
                <w:sz w:val="18"/>
                <w:szCs w:val="18"/>
                <w:lang w:eastAsia="nl-NL"/>
              </w:rPr>
              <w:t>V</w:t>
            </w:r>
          </w:p>
        </w:tc>
        <w:tc>
          <w:tcPr>
            <w:tcW w:w="644" w:type="pct"/>
            <w:vAlign w:val="center"/>
          </w:tcPr>
          <w:p w:rsidR="004C74B2" w:rsidRPr="004C74B2" w:rsidRDefault="004C74B2" w:rsidP="00F815EE">
            <w:pPr>
              <w:spacing w:after="0" w:line="240" w:lineRule="auto"/>
              <w:jc w:val="center"/>
              <w:rPr>
                <w:rFonts w:eastAsia="Times New Roman" w:cs="Times New Roman"/>
                <w:sz w:val="18"/>
                <w:szCs w:val="18"/>
                <w:lang w:eastAsia="nl-NL"/>
              </w:rPr>
            </w:pPr>
            <w:r w:rsidRPr="004C74B2">
              <w:rPr>
                <w:rFonts w:eastAsia="Times New Roman" w:cs="Times New Roman" w:hint="cs"/>
                <w:sz w:val="18"/>
                <w:szCs w:val="18"/>
                <w:lang w:eastAsia="nl-NL"/>
              </w:rPr>
              <w:t>V</w:t>
            </w:r>
          </w:p>
        </w:tc>
        <w:tc>
          <w:tcPr>
            <w:tcW w:w="579" w:type="pct"/>
            <w:vAlign w:val="center"/>
          </w:tcPr>
          <w:p w:rsidR="004C74B2" w:rsidRPr="004C74B2" w:rsidRDefault="004C74B2" w:rsidP="00F815EE">
            <w:pPr>
              <w:spacing w:after="0" w:line="240" w:lineRule="auto"/>
              <w:jc w:val="center"/>
              <w:rPr>
                <w:rFonts w:eastAsia="Times New Roman" w:cs="Times New Roman"/>
                <w:sz w:val="18"/>
                <w:szCs w:val="18"/>
                <w:lang w:val="nl-NL" w:eastAsia="nl-NL"/>
              </w:rPr>
            </w:pPr>
            <w:r w:rsidRPr="004C74B2">
              <w:rPr>
                <w:rFonts w:eastAsia="Times New Roman" w:cs="Times New Roman" w:hint="cs"/>
                <w:sz w:val="18"/>
                <w:szCs w:val="18"/>
                <w:lang w:val="nl-NL" w:eastAsia="nl-NL"/>
              </w:rPr>
              <w:t>V</w:t>
            </w:r>
          </w:p>
        </w:tc>
        <w:tc>
          <w:tcPr>
            <w:tcW w:w="581" w:type="pct"/>
            <w:vAlign w:val="center"/>
          </w:tcPr>
          <w:p w:rsidR="004C74B2" w:rsidRPr="004C74B2" w:rsidRDefault="004C74B2" w:rsidP="00F815EE">
            <w:pPr>
              <w:spacing w:after="0" w:line="240" w:lineRule="auto"/>
              <w:jc w:val="center"/>
              <w:rPr>
                <w:rFonts w:eastAsia="Times New Roman" w:cs="Times New Roman"/>
                <w:sz w:val="18"/>
                <w:szCs w:val="18"/>
                <w:lang w:val="nl-NL" w:eastAsia="nl-NL" w:bidi="ar-SA"/>
              </w:rPr>
            </w:pPr>
            <w:r w:rsidRPr="004C74B2">
              <w:rPr>
                <w:rFonts w:eastAsia="Times New Roman" w:cs="Times New Roman" w:hint="cs"/>
                <w:sz w:val="18"/>
                <w:szCs w:val="18"/>
                <w:lang w:val="nl-NL" w:eastAsia="nl-NL" w:bidi="ar-SA"/>
              </w:rPr>
              <w:t>V</w:t>
            </w:r>
          </w:p>
        </w:tc>
        <w:tc>
          <w:tcPr>
            <w:tcW w:w="583" w:type="pct"/>
          </w:tcPr>
          <w:p w:rsidR="004C74B2" w:rsidRPr="004C74B2" w:rsidRDefault="004C74B2" w:rsidP="00F815EE">
            <w:pPr>
              <w:spacing w:after="0" w:line="240" w:lineRule="auto"/>
              <w:jc w:val="center"/>
              <w:rPr>
                <w:rFonts w:eastAsia="Times New Roman" w:cs="Times New Roman"/>
                <w:sz w:val="18"/>
                <w:szCs w:val="18"/>
                <w:lang w:val="nl-NL" w:eastAsia="nl-NL" w:bidi="ar-SA"/>
              </w:rPr>
            </w:pPr>
            <w:r w:rsidRPr="004C74B2">
              <w:rPr>
                <w:rFonts w:eastAsia="Times New Roman" w:cs="Times New Roman" w:hint="cs"/>
                <w:sz w:val="18"/>
                <w:szCs w:val="18"/>
                <w:lang w:val="nl-NL" w:eastAsia="nl-NL" w:bidi="ar-SA"/>
              </w:rPr>
              <w:t>V</w:t>
            </w:r>
          </w:p>
        </w:tc>
        <w:tc>
          <w:tcPr>
            <w:tcW w:w="1768" w:type="pct"/>
          </w:tcPr>
          <w:p w:rsidR="004C74B2" w:rsidRPr="004C74B2" w:rsidRDefault="004C74B2" w:rsidP="00306C91">
            <w:pPr>
              <w:spacing w:after="0" w:line="240" w:lineRule="auto"/>
              <w:rPr>
                <w:rFonts w:eastAsia="Times New Roman" w:cs="Times New Roman"/>
                <w:sz w:val="18"/>
                <w:szCs w:val="18"/>
                <w:lang w:val="nl-NL" w:eastAsia="nl-NL"/>
              </w:rPr>
            </w:pPr>
            <w:r w:rsidRPr="004C74B2">
              <w:rPr>
                <w:rFonts w:eastAsia="Times New Roman" w:cs="Times New Roman"/>
                <w:sz w:val="18"/>
                <w:szCs w:val="18"/>
                <w:rtl/>
                <w:lang w:val="nl-NL" w:eastAsia="nl-NL"/>
              </w:rPr>
              <w:t xml:space="preserve">אפקט קבוע </w:t>
            </w:r>
            <w:r w:rsidRPr="004C74B2">
              <w:rPr>
                <w:rFonts w:eastAsia="Times New Roman" w:cs="Times New Roman" w:hint="cs"/>
                <w:sz w:val="18"/>
                <w:szCs w:val="18"/>
                <w:rtl/>
                <w:lang w:val="nl-NL" w:eastAsia="nl-NL"/>
              </w:rPr>
              <w:t>לבנק</w:t>
            </w:r>
          </w:p>
        </w:tc>
      </w:tr>
      <w:tr w:rsidR="004C74B2" w:rsidRPr="004C74B2" w:rsidTr="000B511C">
        <w:trPr>
          <w:tblCellSpacing w:w="15" w:type="dxa"/>
        </w:trPr>
        <w:tc>
          <w:tcPr>
            <w:tcW w:w="722" w:type="pct"/>
            <w:vAlign w:val="center"/>
          </w:tcPr>
          <w:p w:rsidR="004C74B2" w:rsidRPr="004C74B2" w:rsidRDefault="004C74B2" w:rsidP="00F815EE">
            <w:pPr>
              <w:spacing w:after="0" w:line="240" w:lineRule="auto"/>
              <w:jc w:val="center"/>
              <w:rPr>
                <w:rFonts w:eastAsia="Times New Roman" w:cs="Times New Roman"/>
                <w:sz w:val="18"/>
                <w:szCs w:val="18"/>
                <w:lang w:eastAsia="nl-NL"/>
              </w:rPr>
            </w:pPr>
            <w:r w:rsidRPr="004C74B2">
              <w:rPr>
                <w:rFonts w:eastAsia="Times New Roman" w:cs="Times New Roman" w:hint="cs"/>
                <w:sz w:val="18"/>
                <w:szCs w:val="18"/>
                <w:lang w:eastAsia="nl-NL"/>
              </w:rPr>
              <w:t>V</w:t>
            </w:r>
          </w:p>
        </w:tc>
        <w:tc>
          <w:tcPr>
            <w:tcW w:w="644" w:type="pct"/>
            <w:vAlign w:val="center"/>
          </w:tcPr>
          <w:p w:rsidR="004C74B2" w:rsidRPr="004C74B2" w:rsidRDefault="004C74B2" w:rsidP="00F815EE">
            <w:pPr>
              <w:spacing w:after="0" w:line="240" w:lineRule="auto"/>
              <w:jc w:val="center"/>
              <w:rPr>
                <w:rFonts w:eastAsia="Times New Roman" w:cs="Times New Roman"/>
                <w:sz w:val="18"/>
                <w:szCs w:val="18"/>
                <w:lang w:eastAsia="nl-NL"/>
              </w:rPr>
            </w:pPr>
            <w:r w:rsidRPr="004C74B2">
              <w:rPr>
                <w:rFonts w:eastAsia="Times New Roman" w:cs="Times New Roman" w:hint="cs"/>
                <w:sz w:val="18"/>
                <w:szCs w:val="18"/>
                <w:lang w:eastAsia="nl-NL"/>
              </w:rPr>
              <w:t>V</w:t>
            </w:r>
          </w:p>
        </w:tc>
        <w:tc>
          <w:tcPr>
            <w:tcW w:w="579" w:type="pct"/>
            <w:vAlign w:val="center"/>
          </w:tcPr>
          <w:p w:rsidR="004C74B2" w:rsidRPr="004C74B2" w:rsidRDefault="004C74B2" w:rsidP="00F815EE">
            <w:pPr>
              <w:spacing w:after="0" w:line="240" w:lineRule="auto"/>
              <w:jc w:val="center"/>
              <w:rPr>
                <w:rFonts w:eastAsia="Times New Roman" w:cs="Times New Roman"/>
                <w:sz w:val="18"/>
                <w:szCs w:val="18"/>
                <w:lang w:val="nl-NL" w:eastAsia="nl-NL"/>
              </w:rPr>
            </w:pPr>
            <w:r w:rsidRPr="004C74B2">
              <w:rPr>
                <w:rFonts w:eastAsia="Times New Roman" w:cs="Times New Roman" w:hint="cs"/>
                <w:sz w:val="18"/>
                <w:szCs w:val="18"/>
                <w:lang w:val="nl-NL" w:eastAsia="nl-NL"/>
              </w:rPr>
              <w:t>V</w:t>
            </w:r>
          </w:p>
        </w:tc>
        <w:tc>
          <w:tcPr>
            <w:tcW w:w="581" w:type="pct"/>
            <w:vAlign w:val="center"/>
          </w:tcPr>
          <w:p w:rsidR="004C74B2" w:rsidRPr="004C74B2" w:rsidRDefault="004C74B2" w:rsidP="00F815EE">
            <w:pPr>
              <w:spacing w:after="0" w:line="240" w:lineRule="auto"/>
              <w:jc w:val="center"/>
              <w:rPr>
                <w:rFonts w:eastAsia="Times New Roman" w:cs="Times New Roman"/>
                <w:sz w:val="18"/>
                <w:szCs w:val="18"/>
                <w:lang w:eastAsia="nl-NL" w:bidi="ar-SA"/>
              </w:rPr>
            </w:pPr>
            <w:r w:rsidRPr="004C74B2">
              <w:rPr>
                <w:rFonts w:eastAsia="Times New Roman" w:cs="Times New Roman" w:hint="cs"/>
                <w:sz w:val="18"/>
                <w:szCs w:val="18"/>
                <w:lang w:val="nl-NL" w:eastAsia="nl-NL" w:bidi="ar-SA"/>
              </w:rPr>
              <w:t>V</w:t>
            </w:r>
          </w:p>
        </w:tc>
        <w:tc>
          <w:tcPr>
            <w:tcW w:w="583" w:type="pct"/>
          </w:tcPr>
          <w:p w:rsidR="004C74B2" w:rsidRPr="004C74B2" w:rsidRDefault="004C74B2" w:rsidP="00F815EE">
            <w:pPr>
              <w:spacing w:after="0" w:line="240" w:lineRule="auto"/>
              <w:jc w:val="center"/>
              <w:rPr>
                <w:rFonts w:eastAsia="Times New Roman" w:cs="Times New Roman"/>
                <w:sz w:val="18"/>
                <w:szCs w:val="18"/>
                <w:lang w:val="nl-NL" w:eastAsia="nl-NL" w:bidi="ar-SA"/>
              </w:rPr>
            </w:pPr>
            <w:r w:rsidRPr="004C74B2">
              <w:rPr>
                <w:rFonts w:eastAsia="Times New Roman" w:cs="Times New Roman" w:hint="cs"/>
                <w:sz w:val="18"/>
                <w:szCs w:val="18"/>
                <w:lang w:val="nl-NL" w:eastAsia="nl-NL" w:bidi="ar-SA"/>
              </w:rPr>
              <w:t>V</w:t>
            </w:r>
          </w:p>
        </w:tc>
        <w:tc>
          <w:tcPr>
            <w:tcW w:w="1768" w:type="pct"/>
          </w:tcPr>
          <w:p w:rsidR="004C74B2" w:rsidRPr="004C74B2" w:rsidRDefault="004C74B2" w:rsidP="00306C91">
            <w:pPr>
              <w:spacing w:after="0" w:line="240" w:lineRule="auto"/>
              <w:rPr>
                <w:rFonts w:eastAsia="Times New Roman" w:cs="Times New Roman"/>
                <w:sz w:val="18"/>
                <w:szCs w:val="18"/>
                <w:rtl/>
                <w:lang w:val="nl-NL" w:eastAsia="nl-NL"/>
              </w:rPr>
            </w:pPr>
            <w:r w:rsidRPr="004C74B2">
              <w:rPr>
                <w:rFonts w:eastAsia="Times New Roman" w:cs="Times New Roman"/>
                <w:sz w:val="18"/>
                <w:szCs w:val="18"/>
                <w:rtl/>
                <w:lang w:val="nl-NL" w:eastAsia="nl-NL"/>
              </w:rPr>
              <w:t xml:space="preserve">אפקט קבוע </w:t>
            </w:r>
            <w:r w:rsidRPr="004C74B2">
              <w:rPr>
                <w:rFonts w:eastAsia="Times New Roman" w:cs="Times New Roman" w:hint="cs"/>
                <w:sz w:val="18"/>
                <w:szCs w:val="18"/>
                <w:rtl/>
                <w:lang w:val="nl-NL" w:eastAsia="nl-NL"/>
              </w:rPr>
              <w:t>לזמן</w:t>
            </w:r>
          </w:p>
        </w:tc>
      </w:tr>
      <w:tr w:rsidR="0000346D" w:rsidRPr="004C74B2" w:rsidTr="000B511C">
        <w:trPr>
          <w:tblCellSpacing w:w="15" w:type="dxa"/>
        </w:trPr>
        <w:tc>
          <w:tcPr>
            <w:tcW w:w="722" w:type="pct"/>
            <w:vAlign w:val="center"/>
          </w:tcPr>
          <w:p w:rsidR="006E4224" w:rsidRPr="004C74B2" w:rsidRDefault="0061399E" w:rsidP="00F815EE">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144,216</w:t>
            </w:r>
          </w:p>
        </w:tc>
        <w:tc>
          <w:tcPr>
            <w:tcW w:w="644" w:type="pct"/>
            <w:vAlign w:val="center"/>
            <w:hideMark/>
          </w:tcPr>
          <w:p w:rsidR="006E4224" w:rsidRPr="004C74B2" w:rsidRDefault="0061399E" w:rsidP="00F815EE">
            <w:pPr>
              <w:spacing w:after="0" w:line="240" w:lineRule="auto"/>
              <w:jc w:val="center"/>
              <w:rPr>
                <w:rFonts w:eastAsia="Times New Roman" w:cs="Times New Roman"/>
                <w:sz w:val="18"/>
                <w:szCs w:val="18"/>
                <w:lang w:eastAsia="nl-NL" w:bidi="ar-SA"/>
              </w:rPr>
            </w:pPr>
            <w:r w:rsidRPr="004C74B2">
              <w:rPr>
                <w:rFonts w:eastAsia="Times New Roman" w:cs="Times New Roman"/>
                <w:sz w:val="18"/>
                <w:szCs w:val="18"/>
                <w:lang w:val="nl-NL" w:eastAsia="nl-NL" w:bidi="ar-SA"/>
              </w:rPr>
              <w:t>144,216</w:t>
            </w:r>
          </w:p>
        </w:tc>
        <w:tc>
          <w:tcPr>
            <w:tcW w:w="579" w:type="pct"/>
            <w:vAlign w:val="center"/>
          </w:tcPr>
          <w:p w:rsidR="006E4224" w:rsidRPr="004C74B2" w:rsidRDefault="0061399E" w:rsidP="00F815EE">
            <w:pPr>
              <w:spacing w:after="0" w:line="240" w:lineRule="auto"/>
              <w:jc w:val="center"/>
              <w:rPr>
                <w:rFonts w:eastAsia="Times New Roman" w:cs="Times New Roman"/>
                <w:sz w:val="18"/>
                <w:szCs w:val="18"/>
                <w:rtl/>
                <w:lang w:eastAsia="nl-NL"/>
              </w:rPr>
            </w:pPr>
            <w:r w:rsidRPr="004C74B2">
              <w:rPr>
                <w:rFonts w:eastAsia="Times New Roman" w:cs="Times New Roman"/>
                <w:sz w:val="18"/>
                <w:szCs w:val="18"/>
                <w:lang w:val="nl-NL" w:eastAsia="nl-NL" w:bidi="ar-SA"/>
              </w:rPr>
              <w:t>144,216</w:t>
            </w:r>
          </w:p>
        </w:tc>
        <w:tc>
          <w:tcPr>
            <w:tcW w:w="581" w:type="pct"/>
            <w:vAlign w:val="center"/>
          </w:tcPr>
          <w:p w:rsidR="006E4224" w:rsidRPr="004C74B2" w:rsidRDefault="0061399E" w:rsidP="00F815EE">
            <w:pPr>
              <w:spacing w:after="0" w:line="240" w:lineRule="auto"/>
              <w:jc w:val="center"/>
              <w:rPr>
                <w:rFonts w:eastAsia="Times New Roman" w:cs="Times New Roman"/>
                <w:sz w:val="18"/>
                <w:szCs w:val="18"/>
                <w:rtl/>
                <w:lang w:eastAsia="nl-NL"/>
              </w:rPr>
            </w:pPr>
            <w:r w:rsidRPr="004C74B2">
              <w:rPr>
                <w:rFonts w:eastAsia="Times New Roman" w:cs="Times New Roman"/>
                <w:sz w:val="18"/>
                <w:szCs w:val="18"/>
                <w:lang w:val="nl-NL" w:eastAsia="nl-NL" w:bidi="ar-SA"/>
              </w:rPr>
              <w:t>144,216</w:t>
            </w:r>
          </w:p>
        </w:tc>
        <w:tc>
          <w:tcPr>
            <w:tcW w:w="583" w:type="pct"/>
            <w:vAlign w:val="center"/>
          </w:tcPr>
          <w:p w:rsidR="006E4224" w:rsidRPr="004C74B2" w:rsidRDefault="0061399E" w:rsidP="00F815EE">
            <w:pPr>
              <w:spacing w:after="0" w:line="240" w:lineRule="auto"/>
              <w:jc w:val="center"/>
              <w:rPr>
                <w:rFonts w:eastAsia="Times New Roman" w:cs="Times New Roman"/>
                <w:sz w:val="18"/>
                <w:szCs w:val="18"/>
                <w:lang w:val="nl-NL" w:eastAsia="nl-NL" w:bidi="ar-SA"/>
              </w:rPr>
            </w:pPr>
            <w:r w:rsidRPr="004C74B2">
              <w:rPr>
                <w:rFonts w:eastAsia="Times New Roman" w:cs="Times New Roman"/>
                <w:sz w:val="18"/>
                <w:szCs w:val="18"/>
                <w:lang w:val="nl-NL" w:eastAsia="nl-NL" w:bidi="ar-SA"/>
              </w:rPr>
              <w:t>144,216</w:t>
            </w:r>
          </w:p>
        </w:tc>
        <w:tc>
          <w:tcPr>
            <w:tcW w:w="1768" w:type="pct"/>
          </w:tcPr>
          <w:p w:rsidR="006E4224" w:rsidRPr="004C74B2" w:rsidRDefault="006E4224" w:rsidP="00306C91">
            <w:pPr>
              <w:spacing w:after="0" w:line="240" w:lineRule="auto"/>
              <w:rPr>
                <w:rFonts w:eastAsia="Times New Roman" w:cs="Times New Roman"/>
                <w:sz w:val="18"/>
                <w:szCs w:val="18"/>
                <w:lang w:val="nl-NL" w:eastAsia="nl-NL"/>
              </w:rPr>
            </w:pPr>
            <w:r w:rsidRPr="004C74B2">
              <w:rPr>
                <w:rFonts w:eastAsia="Times New Roman" w:cs="Times New Roman" w:hint="cs"/>
                <w:sz w:val="18"/>
                <w:szCs w:val="18"/>
                <w:rtl/>
                <w:lang w:val="nl-NL" w:eastAsia="nl-NL"/>
              </w:rPr>
              <w:t>מספר תצפיות</w:t>
            </w:r>
          </w:p>
        </w:tc>
      </w:tr>
      <w:tr w:rsidR="006E4224" w:rsidRPr="009919A9" w:rsidTr="000B511C">
        <w:trPr>
          <w:tblCellSpacing w:w="15" w:type="dxa"/>
        </w:trPr>
        <w:tc>
          <w:tcPr>
            <w:tcW w:w="4965" w:type="pct"/>
            <w:gridSpan w:val="6"/>
            <w:vAlign w:val="center"/>
          </w:tcPr>
          <w:p w:rsidR="006E4224" w:rsidRPr="0000346D" w:rsidRDefault="006E4224" w:rsidP="004E0D8D">
            <w:pPr>
              <w:spacing w:after="0" w:line="240" w:lineRule="auto"/>
              <w:rPr>
                <w:rFonts w:eastAsia="Times New Roman" w:cs="Times New Roman"/>
                <w:sz w:val="20"/>
                <w:szCs w:val="20"/>
                <w:lang w:eastAsia="nl-NL"/>
              </w:rPr>
            </w:pPr>
          </w:p>
        </w:tc>
      </w:tr>
      <w:tr w:rsidR="00BC423C" w:rsidRPr="009919A9" w:rsidTr="000B511C">
        <w:trPr>
          <w:tblCellSpacing w:w="15" w:type="dxa"/>
        </w:trPr>
        <w:tc>
          <w:tcPr>
            <w:tcW w:w="4965" w:type="pct"/>
            <w:gridSpan w:val="6"/>
            <w:tcBorders>
              <w:top w:val="single" w:sz="4" w:space="0" w:color="auto"/>
              <w:bottom w:val="single" w:sz="4" w:space="0" w:color="auto"/>
            </w:tcBorders>
            <w:vAlign w:val="center"/>
          </w:tcPr>
          <w:p w:rsidR="00BC423C" w:rsidRPr="0000346D" w:rsidRDefault="00BC423C" w:rsidP="000B511C">
            <w:pPr>
              <w:spacing w:after="0" w:line="240" w:lineRule="auto"/>
              <w:jc w:val="both"/>
              <w:rPr>
                <w:rFonts w:eastAsia="Times New Roman" w:cs="Times New Roman"/>
                <w:sz w:val="20"/>
                <w:szCs w:val="20"/>
                <w:lang w:eastAsia="nl-NL"/>
              </w:rPr>
            </w:pPr>
            <w:r w:rsidRPr="0000346D">
              <w:rPr>
                <w:rFonts w:eastAsia="Times New Roman" w:cs="Times New Roman"/>
                <w:sz w:val="20"/>
                <w:szCs w:val="20"/>
                <w:rtl/>
                <w:lang w:eastAsia="nl-NL"/>
              </w:rPr>
              <w:t xml:space="preserve">טבלה זו מציגה את תוצאות </w:t>
            </w:r>
            <w:r>
              <w:rPr>
                <w:rFonts w:eastAsia="Times New Roman" w:cs="Times New Roman" w:hint="cs"/>
                <w:sz w:val="20"/>
                <w:szCs w:val="20"/>
                <w:rtl/>
                <w:lang w:eastAsia="nl-NL"/>
              </w:rPr>
              <w:t>הא</w:t>
            </w:r>
            <w:r w:rsidRPr="0000346D">
              <w:rPr>
                <w:rFonts w:eastAsia="Times New Roman" w:cs="Times New Roman" w:hint="cs"/>
                <w:sz w:val="20"/>
                <w:szCs w:val="20"/>
                <w:rtl/>
                <w:lang w:eastAsia="nl-NL"/>
              </w:rPr>
              <w:t>מידה של משוואה 1</w:t>
            </w:r>
            <w:r w:rsidRPr="0000346D">
              <w:rPr>
                <w:rFonts w:eastAsia="Times New Roman" w:cs="Times New Roman"/>
                <w:sz w:val="20"/>
                <w:szCs w:val="20"/>
                <w:rtl/>
                <w:lang w:eastAsia="nl-NL"/>
              </w:rPr>
              <w:t xml:space="preserve">. עמודה (1) מציגה </w:t>
            </w:r>
            <w:r>
              <w:rPr>
                <w:rFonts w:eastAsia="Times New Roman" w:cs="Times New Roman" w:hint="cs"/>
                <w:sz w:val="20"/>
                <w:szCs w:val="20"/>
                <w:rtl/>
                <w:lang w:eastAsia="nl-NL"/>
              </w:rPr>
              <w:t xml:space="preserve">את הקשר בין שינוי הריבית הקצרה והריבית האפקטיבית על ההתחייבויות בלבד. בעמודה </w:t>
            </w:r>
            <w:r w:rsidRPr="0000346D">
              <w:rPr>
                <w:rFonts w:eastAsia="Times New Roman" w:cs="Times New Roman" w:hint="cs"/>
                <w:sz w:val="20"/>
                <w:szCs w:val="20"/>
                <w:rtl/>
                <w:lang w:eastAsia="nl-NL"/>
              </w:rPr>
              <w:t>(2)</w:t>
            </w:r>
            <w:r w:rsidRPr="0000346D">
              <w:rPr>
                <w:rFonts w:eastAsia="Times New Roman" w:cs="Times New Roman"/>
                <w:sz w:val="20"/>
                <w:szCs w:val="20"/>
                <w:rtl/>
                <w:lang w:eastAsia="nl-NL"/>
              </w:rPr>
              <w:t xml:space="preserve"> </w:t>
            </w:r>
            <w:r>
              <w:rPr>
                <w:rFonts w:eastAsia="Times New Roman" w:cs="Times New Roman" w:hint="cs"/>
                <w:sz w:val="20"/>
                <w:szCs w:val="20"/>
                <w:rtl/>
                <w:lang w:eastAsia="nl-NL"/>
              </w:rPr>
              <w:t>מוצג גם מקדם האינטראקצי</w:t>
            </w:r>
            <w:r>
              <w:rPr>
                <w:rFonts w:eastAsia="Times New Roman" w:cs="Times New Roman" w:hint="eastAsia"/>
                <w:sz w:val="20"/>
                <w:szCs w:val="20"/>
                <w:rtl/>
                <w:lang w:eastAsia="nl-NL"/>
              </w:rPr>
              <w:t>ה</w:t>
            </w:r>
            <w:r>
              <w:rPr>
                <w:rFonts w:eastAsia="Times New Roman" w:cs="Times New Roman" w:hint="cs"/>
                <w:sz w:val="20"/>
                <w:szCs w:val="20"/>
                <w:rtl/>
                <w:lang w:eastAsia="nl-NL"/>
              </w:rPr>
              <w:t xml:space="preserve"> עם משתנה דמי שמקבל אחד בשנים</w:t>
            </w:r>
            <w:r w:rsidRPr="0000346D">
              <w:rPr>
                <w:rFonts w:eastAsia="Times New Roman" w:cs="Times New Roman"/>
                <w:sz w:val="20"/>
                <w:szCs w:val="20"/>
                <w:rtl/>
                <w:lang w:eastAsia="nl-NL"/>
              </w:rPr>
              <w:t xml:space="preserve"> שבהן הריבית לטווח הקצר </w:t>
            </w:r>
            <w:r>
              <w:rPr>
                <w:rFonts w:eastAsia="Times New Roman" w:cs="Times New Roman" w:hint="cs"/>
                <w:sz w:val="20"/>
                <w:szCs w:val="20"/>
                <w:rtl/>
                <w:lang w:eastAsia="nl-NL"/>
              </w:rPr>
              <w:t>הייתה מתחת</w:t>
            </w:r>
            <w:r w:rsidRPr="0000346D">
              <w:rPr>
                <w:rFonts w:eastAsia="Times New Roman" w:cs="Times New Roman"/>
                <w:sz w:val="20"/>
                <w:szCs w:val="20"/>
                <w:rtl/>
                <w:lang w:eastAsia="nl-NL"/>
              </w:rPr>
              <w:t xml:space="preserve"> ל-1.25%</w:t>
            </w:r>
            <w:r>
              <w:rPr>
                <w:rFonts w:eastAsia="Times New Roman" w:cs="Times New Roman" w:hint="cs"/>
                <w:sz w:val="20"/>
                <w:szCs w:val="20"/>
                <w:rtl/>
                <w:lang w:eastAsia="nl-NL"/>
              </w:rPr>
              <w:t>. בעמודה</w:t>
            </w:r>
            <w:r>
              <w:rPr>
                <w:rFonts w:eastAsia="Times New Roman" w:cs="Times New Roman"/>
                <w:sz w:val="20"/>
                <w:szCs w:val="20"/>
                <w:rtl/>
                <w:lang w:eastAsia="nl-NL"/>
              </w:rPr>
              <w:t xml:space="preserve"> (</w:t>
            </w:r>
            <w:r>
              <w:rPr>
                <w:rFonts w:eastAsia="Times New Roman" w:cs="Times New Roman" w:hint="cs"/>
                <w:sz w:val="20"/>
                <w:szCs w:val="20"/>
                <w:rtl/>
                <w:lang w:eastAsia="nl-NL"/>
              </w:rPr>
              <w:t>3</w:t>
            </w:r>
            <w:r>
              <w:rPr>
                <w:rFonts w:eastAsia="Times New Roman" w:cs="Times New Roman"/>
                <w:sz w:val="20"/>
                <w:szCs w:val="20"/>
                <w:rtl/>
                <w:lang w:eastAsia="nl-NL"/>
              </w:rPr>
              <w:t xml:space="preserve">) </w:t>
            </w:r>
            <w:r>
              <w:rPr>
                <w:rFonts w:eastAsia="Times New Roman" w:cs="Times New Roman" w:hint="cs"/>
                <w:sz w:val="20"/>
                <w:szCs w:val="20"/>
                <w:rtl/>
                <w:lang w:eastAsia="nl-NL"/>
              </w:rPr>
              <w:t>יש תוספת של מקדם האינטראקצי</w:t>
            </w:r>
            <w:r>
              <w:rPr>
                <w:rFonts w:eastAsia="Times New Roman" w:cs="Times New Roman" w:hint="eastAsia"/>
                <w:sz w:val="20"/>
                <w:szCs w:val="20"/>
                <w:rtl/>
                <w:lang w:eastAsia="nl-NL"/>
              </w:rPr>
              <w:t>ה</w:t>
            </w:r>
            <w:r>
              <w:rPr>
                <w:rFonts w:eastAsia="Times New Roman" w:cs="Times New Roman" w:hint="cs"/>
                <w:sz w:val="20"/>
                <w:szCs w:val="20"/>
                <w:rtl/>
                <w:lang w:eastAsia="nl-NL"/>
              </w:rPr>
              <w:t xml:space="preserve"> עם</w:t>
            </w:r>
            <w:r w:rsidRPr="0000346D">
              <w:rPr>
                <w:rFonts w:eastAsia="Times New Roman" w:cs="Times New Roman"/>
                <w:sz w:val="20"/>
                <w:szCs w:val="20"/>
                <w:rtl/>
                <w:lang w:eastAsia="nl-NL"/>
              </w:rPr>
              <w:t xml:space="preserve"> מדד ריכוזי</w:t>
            </w:r>
            <w:r w:rsidRPr="0000346D">
              <w:rPr>
                <w:rFonts w:eastAsia="Times New Roman" w:cs="Times New Roman" w:hint="cs"/>
                <w:sz w:val="20"/>
                <w:szCs w:val="20"/>
                <w:rtl/>
                <w:lang w:eastAsia="nl-NL"/>
              </w:rPr>
              <w:t>ות הפיקדונות</w:t>
            </w:r>
            <w:r w:rsidRPr="0000346D">
              <w:rPr>
                <w:rFonts w:eastAsia="Times New Roman" w:cs="Times New Roman"/>
                <w:sz w:val="20"/>
                <w:szCs w:val="20"/>
                <w:rtl/>
                <w:lang w:eastAsia="nl-NL"/>
              </w:rPr>
              <w:t xml:space="preserve"> </w:t>
            </w:r>
            <w:r w:rsidRPr="0000346D">
              <w:rPr>
                <w:rFonts w:eastAsia="Times New Roman" w:cs="Times New Roman" w:hint="cs"/>
                <w:sz w:val="20"/>
                <w:szCs w:val="20"/>
                <w:rtl/>
                <w:lang w:eastAsia="nl-NL"/>
              </w:rPr>
              <w:t>(</w:t>
            </w:r>
            <w:r w:rsidRPr="0000346D">
              <w:rPr>
                <w:rFonts w:eastAsia="Times New Roman" w:cs="Times New Roman"/>
                <w:sz w:val="20"/>
                <w:szCs w:val="20"/>
                <w:lang w:eastAsia="nl-NL"/>
              </w:rPr>
              <w:t>HHI</w:t>
            </w:r>
            <w:r w:rsidRPr="0000346D">
              <w:rPr>
                <w:rFonts w:eastAsia="Times New Roman" w:cs="Times New Roman" w:hint="cs"/>
                <w:sz w:val="20"/>
                <w:szCs w:val="20"/>
                <w:rtl/>
                <w:lang w:eastAsia="nl-NL"/>
              </w:rPr>
              <w:t>)</w:t>
            </w:r>
            <w:r>
              <w:rPr>
                <w:rFonts w:eastAsia="Times New Roman" w:cs="Times New Roman" w:hint="cs"/>
                <w:sz w:val="20"/>
                <w:szCs w:val="20"/>
                <w:rtl/>
                <w:lang w:eastAsia="nl-NL"/>
              </w:rPr>
              <w:t xml:space="preserve"> שמקבל ערך בין 0 ל-1</w:t>
            </w:r>
            <w:r w:rsidR="00EC7307">
              <w:rPr>
                <w:rFonts w:eastAsia="Times New Roman" w:cs="Times New Roman" w:hint="cs"/>
                <w:sz w:val="20"/>
                <w:szCs w:val="20"/>
                <w:rtl/>
                <w:lang w:eastAsia="nl-NL"/>
              </w:rPr>
              <w:t xml:space="preserve"> </w:t>
            </w:r>
            <w:r w:rsidR="0011039C">
              <w:rPr>
                <w:rFonts w:eastAsia="Times New Roman" w:cs="Times New Roman" w:hint="cs"/>
                <w:sz w:val="20"/>
                <w:szCs w:val="20"/>
                <w:rtl/>
                <w:lang w:eastAsia="nl-NL"/>
              </w:rPr>
              <w:t>(</w:t>
            </w:r>
            <w:r w:rsidR="00EC7307">
              <w:rPr>
                <w:rFonts w:eastAsia="Times New Roman" w:cs="Times New Roman" w:hint="cs"/>
                <w:sz w:val="20"/>
                <w:szCs w:val="20"/>
                <w:rtl/>
                <w:lang w:eastAsia="nl-NL"/>
              </w:rPr>
              <w:t xml:space="preserve">החציון </w:t>
            </w:r>
            <w:r w:rsidR="0011039C">
              <w:rPr>
                <w:rFonts w:eastAsia="Times New Roman" w:cs="Times New Roman" w:hint="cs"/>
                <w:sz w:val="20"/>
                <w:szCs w:val="20"/>
                <w:rtl/>
                <w:lang w:eastAsia="nl-NL"/>
              </w:rPr>
              <w:t>0.04</w:t>
            </w:r>
            <w:r w:rsidR="00EC7307">
              <w:rPr>
                <w:rFonts w:eastAsia="Times New Roman" w:cs="Times New Roman" w:hint="cs"/>
                <w:sz w:val="20"/>
                <w:szCs w:val="20"/>
                <w:rtl/>
                <w:lang w:eastAsia="nl-NL"/>
              </w:rPr>
              <w:t>)</w:t>
            </w:r>
            <w:r>
              <w:rPr>
                <w:rFonts w:eastAsia="Times New Roman" w:cs="Times New Roman" w:hint="cs"/>
                <w:sz w:val="20"/>
                <w:szCs w:val="20"/>
                <w:rtl/>
                <w:lang w:eastAsia="nl-NL"/>
              </w:rPr>
              <w:t xml:space="preserve">. עמודה (4) מציגה גם את מקדם האינטראקציה עם </w:t>
            </w:r>
            <w:r w:rsidRPr="0000346D">
              <w:rPr>
                <w:rFonts w:eastAsia="Times New Roman" w:cs="Times New Roman"/>
                <w:sz w:val="20"/>
                <w:szCs w:val="20"/>
                <w:rtl/>
                <w:lang w:eastAsia="nl-NL"/>
              </w:rPr>
              <w:t>יחס רזרבות לנכסים</w:t>
            </w:r>
            <w:r>
              <w:rPr>
                <w:rFonts w:eastAsia="Times New Roman" w:cs="Times New Roman" w:hint="cs"/>
                <w:sz w:val="20"/>
                <w:szCs w:val="20"/>
                <w:rtl/>
                <w:lang w:eastAsia="nl-NL"/>
              </w:rPr>
              <w:t xml:space="preserve"> של כל בנק שמקבל את הערך בין 0 ל1 </w:t>
            </w:r>
            <w:r w:rsidR="00EC7307">
              <w:rPr>
                <w:rFonts w:eastAsia="Times New Roman" w:cs="Times New Roman" w:hint="cs"/>
                <w:sz w:val="20"/>
                <w:szCs w:val="20"/>
                <w:rtl/>
                <w:lang w:eastAsia="nl-NL"/>
              </w:rPr>
              <w:t>(החציון</w:t>
            </w:r>
            <w:r w:rsidR="0011039C">
              <w:rPr>
                <w:rFonts w:eastAsia="Times New Roman" w:cs="Times New Roman" w:hint="cs"/>
                <w:sz w:val="20"/>
                <w:szCs w:val="20"/>
                <w:rtl/>
                <w:lang w:eastAsia="nl-NL"/>
              </w:rPr>
              <w:t xml:space="preserve"> 0.03</w:t>
            </w:r>
            <w:r w:rsidR="00866AFA">
              <w:rPr>
                <w:rFonts w:eastAsia="Times New Roman" w:cs="Times New Roman" w:hint="cs"/>
                <w:sz w:val="20"/>
                <w:szCs w:val="20"/>
                <w:rtl/>
                <w:lang w:eastAsia="nl-NL"/>
              </w:rPr>
              <w:t xml:space="preserve">) </w:t>
            </w:r>
            <w:r>
              <w:rPr>
                <w:rFonts w:eastAsia="Times New Roman" w:cs="Times New Roman" w:hint="cs"/>
                <w:sz w:val="20"/>
                <w:szCs w:val="20"/>
                <w:rtl/>
                <w:lang w:eastAsia="nl-NL"/>
              </w:rPr>
              <w:t>ועמודה (5) מציגה את התוצאות כאשר כל המשתנים הנוספים מוכנסים לרגרסיה ביחד.</w:t>
            </w:r>
            <w:r w:rsidR="00866AFA">
              <w:rPr>
                <w:rFonts w:eastAsia="Times New Roman" w:cs="Times New Roman" w:hint="cs"/>
                <w:sz w:val="20"/>
                <w:szCs w:val="20"/>
                <w:rtl/>
                <w:lang w:eastAsia="nl-NL"/>
              </w:rPr>
              <w:t xml:space="preserve"> א</w:t>
            </w:r>
            <w:r w:rsidRPr="0000346D">
              <w:rPr>
                <w:rFonts w:eastAsia="Times New Roman" w:cs="Times New Roman" w:hint="cs"/>
                <w:sz w:val="20"/>
                <w:szCs w:val="20"/>
                <w:rtl/>
                <w:lang w:eastAsia="nl-NL"/>
              </w:rPr>
              <w:t xml:space="preserve">מידה בעזרת </w:t>
            </w:r>
            <w:r w:rsidRPr="0000346D">
              <w:rPr>
                <w:rFonts w:eastAsia="Times New Roman" w:cs="Times New Roman" w:hint="cs"/>
                <w:sz w:val="20"/>
                <w:szCs w:val="20"/>
                <w:lang w:eastAsia="nl-NL"/>
              </w:rPr>
              <w:t>OLS</w:t>
            </w:r>
            <w:r w:rsidRPr="0000346D">
              <w:rPr>
                <w:rFonts w:eastAsia="Times New Roman" w:cs="Times New Roman" w:hint="cs"/>
                <w:sz w:val="20"/>
                <w:szCs w:val="20"/>
                <w:rtl/>
                <w:lang w:eastAsia="nl-NL"/>
              </w:rPr>
              <w:t xml:space="preserve"> עם השפעות קבועות לשנה ולבנק.</w:t>
            </w:r>
            <w:r w:rsidRPr="0000346D">
              <w:rPr>
                <w:rFonts w:eastAsia="Times New Roman" w:cs="Times New Roman"/>
                <w:sz w:val="20"/>
                <w:szCs w:val="20"/>
                <w:rtl/>
                <w:lang w:eastAsia="nl-NL"/>
              </w:rPr>
              <w:t xml:space="preserve"> המשתנה התלוי הוא השינוי ב</w:t>
            </w:r>
            <w:r w:rsidRPr="0000346D">
              <w:rPr>
                <w:rFonts w:eastAsia="Times New Roman" w:cs="Times New Roman" w:hint="cs"/>
                <w:sz w:val="20"/>
                <w:szCs w:val="20"/>
                <w:rtl/>
                <w:lang w:eastAsia="nl-NL"/>
              </w:rPr>
              <w:t>ריבית האפקטיבית על כלל ההתחייבויו</w:t>
            </w:r>
            <w:r w:rsidRPr="0000346D">
              <w:rPr>
                <w:rFonts w:eastAsia="Times New Roman" w:cs="Times New Roman" w:hint="eastAsia"/>
                <w:sz w:val="20"/>
                <w:szCs w:val="20"/>
                <w:rtl/>
                <w:lang w:eastAsia="nl-NL"/>
              </w:rPr>
              <w:t>ת</w:t>
            </w:r>
            <w:r w:rsidRPr="0000346D">
              <w:rPr>
                <w:rFonts w:eastAsia="Times New Roman" w:cs="Times New Roman" w:hint="cs"/>
                <w:sz w:val="20"/>
                <w:szCs w:val="20"/>
                <w:rtl/>
                <w:lang w:eastAsia="nl-NL"/>
              </w:rPr>
              <w:t xml:space="preserve"> (</w:t>
            </w:r>
            <w:r w:rsidRPr="0000346D">
              <w:rPr>
                <w:rFonts w:eastAsia="Times New Roman" w:cs="Times New Roman"/>
                <w:sz w:val="20"/>
                <w:szCs w:val="20"/>
                <w:rtl/>
                <w:lang w:eastAsia="nl-NL"/>
              </w:rPr>
              <w:t>סך הוצאות הריבית השנתיות</w:t>
            </w:r>
            <w:r w:rsidRPr="0000346D">
              <w:rPr>
                <w:rFonts w:eastAsia="Times New Roman" w:cs="Times New Roman" w:hint="cs"/>
                <w:sz w:val="20"/>
                <w:szCs w:val="20"/>
                <w:rtl/>
                <w:lang w:eastAsia="nl-NL"/>
              </w:rPr>
              <w:t xml:space="preserve"> לחלק</w:t>
            </w:r>
            <w:r w:rsidRPr="0000346D">
              <w:rPr>
                <w:rFonts w:eastAsia="Times New Roman" w:cs="Times New Roman"/>
                <w:sz w:val="20"/>
                <w:szCs w:val="20"/>
                <w:rtl/>
                <w:lang w:eastAsia="nl-NL"/>
              </w:rPr>
              <w:t xml:space="preserve"> </w:t>
            </w:r>
            <w:r w:rsidRPr="0000346D">
              <w:rPr>
                <w:rFonts w:eastAsia="Times New Roman" w:cs="Times New Roman" w:hint="cs"/>
                <w:sz w:val="20"/>
                <w:szCs w:val="20"/>
                <w:rtl/>
                <w:lang w:eastAsia="nl-NL"/>
              </w:rPr>
              <w:t>ל</w:t>
            </w:r>
            <w:r w:rsidRPr="0000346D">
              <w:rPr>
                <w:rFonts w:eastAsia="Times New Roman" w:cs="Times New Roman"/>
                <w:sz w:val="20"/>
                <w:szCs w:val="20"/>
                <w:rtl/>
                <w:lang w:eastAsia="nl-NL"/>
              </w:rPr>
              <w:t>ממוצע ההתחייבויות נושאות הריבית</w:t>
            </w:r>
            <w:r w:rsidRPr="0000346D">
              <w:rPr>
                <w:rFonts w:eastAsia="Times New Roman" w:cs="Times New Roman" w:hint="cs"/>
                <w:sz w:val="20"/>
                <w:szCs w:val="20"/>
                <w:rtl/>
                <w:lang w:eastAsia="nl-NL"/>
              </w:rPr>
              <w:t xml:space="preserve">). </w:t>
            </w:r>
            <w:r>
              <w:rPr>
                <w:rFonts w:eastAsia="Times New Roman" w:cs="Times New Roman" w:hint="cs"/>
                <w:sz w:val="20"/>
                <w:szCs w:val="20"/>
                <w:rtl/>
                <w:lang w:eastAsia="nl-NL"/>
              </w:rPr>
              <w:t>טעויות תקן מקובצות לפי בנק מוצגות בסוגריים. ת</w:t>
            </w:r>
            <w:r w:rsidRPr="0000346D">
              <w:rPr>
                <w:rFonts w:eastAsia="Times New Roman" w:cs="Times New Roman"/>
                <w:sz w:val="20"/>
                <w:szCs w:val="20"/>
                <w:rtl/>
                <w:lang w:eastAsia="nl-NL"/>
              </w:rPr>
              <w:t>קופ</w:t>
            </w:r>
            <w:r w:rsidRPr="0000346D">
              <w:rPr>
                <w:rFonts w:eastAsia="Times New Roman" w:cs="Times New Roman" w:hint="cs"/>
                <w:sz w:val="20"/>
                <w:szCs w:val="20"/>
                <w:rtl/>
                <w:lang w:eastAsia="nl-NL"/>
              </w:rPr>
              <w:t>ת המדגם</w:t>
            </w:r>
            <w:r>
              <w:rPr>
                <w:rFonts w:eastAsia="Times New Roman" w:cs="Times New Roman"/>
                <w:sz w:val="20"/>
                <w:szCs w:val="20"/>
                <w:rtl/>
                <w:lang w:eastAsia="nl-NL"/>
              </w:rPr>
              <w:t xml:space="preserve"> 2004-2019</w:t>
            </w:r>
            <w:r>
              <w:rPr>
                <w:rFonts w:eastAsia="Times New Roman" w:cs="Times New Roman" w:hint="cs"/>
                <w:sz w:val="20"/>
                <w:szCs w:val="20"/>
                <w:rtl/>
                <w:lang w:eastAsia="nl-NL"/>
              </w:rPr>
              <w:t xml:space="preserve">. </w:t>
            </w:r>
            <w:r w:rsidRPr="0000346D">
              <w:rPr>
                <w:rFonts w:eastAsia="Times New Roman" w:cs="Times New Roman"/>
                <w:sz w:val="20"/>
                <w:szCs w:val="20"/>
                <w:lang w:eastAsia="nl-NL"/>
              </w:rPr>
              <w:t>*p&lt;0.1; **p&lt;0.05; ***p&lt;0.01</w:t>
            </w:r>
            <w:r w:rsidRPr="0000346D">
              <w:rPr>
                <w:rFonts w:eastAsia="Times New Roman" w:cs="Times New Roman"/>
                <w:sz w:val="20"/>
                <w:szCs w:val="20"/>
                <w:rtl/>
                <w:lang w:eastAsia="nl-NL"/>
              </w:rPr>
              <w:t>.</w:t>
            </w:r>
          </w:p>
        </w:tc>
      </w:tr>
    </w:tbl>
    <w:p w:rsidR="00744FC4" w:rsidRPr="0000346D" w:rsidRDefault="00744FC4" w:rsidP="0000346D">
      <w:pPr>
        <w:autoSpaceDE w:val="0"/>
        <w:autoSpaceDN w:val="0"/>
        <w:adjustRightInd w:val="0"/>
        <w:spacing w:after="120" w:line="360" w:lineRule="auto"/>
        <w:jc w:val="both"/>
        <w:rPr>
          <w:rFonts w:ascii="David" w:hAnsi="David"/>
          <w:b/>
          <w:bCs/>
          <w:color w:val="000000"/>
        </w:rPr>
      </w:pPr>
    </w:p>
    <w:p w:rsidR="0011039C" w:rsidRPr="000B511C" w:rsidRDefault="0011039C" w:rsidP="000B511C">
      <w:pPr>
        <w:autoSpaceDE w:val="0"/>
        <w:autoSpaceDN w:val="0"/>
        <w:adjustRightInd w:val="0"/>
        <w:spacing w:after="120" w:line="360" w:lineRule="auto"/>
        <w:jc w:val="both"/>
        <w:rPr>
          <w:rFonts w:ascii="David" w:hAnsi="David"/>
          <w:color w:val="000000"/>
        </w:rPr>
      </w:pPr>
      <w:r>
        <w:rPr>
          <w:rFonts w:ascii="David" w:hAnsi="David" w:hint="cs"/>
          <w:color w:val="000000"/>
          <w:rtl/>
        </w:rPr>
        <w:t>בחינה של נתוני הבנקים בישראל בסוף 2021 לעומת שאר המדינות במדגם מעלה כי המערכת הבנקאית בישראל התאפיינה ביחסי רזרבה גבוהים מאוד (עשירון עליון של ההתפלגות) וריכוזיות גבוהה (שליש העליון של ההתפלגו</w:t>
      </w:r>
      <w:r>
        <w:rPr>
          <w:rFonts w:ascii="David" w:hAnsi="David" w:hint="eastAsia"/>
          <w:color w:val="000000"/>
          <w:rtl/>
        </w:rPr>
        <w:t>ת</w:t>
      </w:r>
      <w:r>
        <w:rPr>
          <w:rFonts w:ascii="David" w:hAnsi="David" w:hint="cs"/>
          <w:color w:val="000000"/>
          <w:rtl/>
        </w:rPr>
        <w:t>). מכיוון שכל המדינות במדגם גם התחילו את סבב עליות הריבית הנוכחי בסביבת ריבית אפסית, נראה שנקודת הפתיחה של המערכת הבנקאית בישראל בסוף 2021 אינה יכולה להסביר את התמסורת החזקה יחסית במהלך 2022. ניתן להניח עם כן שההבדלים בין המדינות נובעים משתי אפשרויות עיקריות: ראשית, ייתכן שבישראל חל שיפור מהיר יותר במשתני הרגרסיה ביחס לעולם. לדוגמה, ייתכן שבישראל חל צמצום מהיר יותר של מדדי הנזילות.</w:t>
      </w:r>
      <w:r>
        <w:rPr>
          <w:rStyle w:val="a8"/>
          <w:rFonts w:ascii="David" w:hAnsi="David"/>
          <w:color w:val="000000"/>
          <w:rtl/>
        </w:rPr>
        <w:footnoteReference w:id="17"/>
      </w:r>
      <w:r>
        <w:rPr>
          <w:rFonts w:ascii="David" w:hAnsi="David" w:hint="cs"/>
          <w:color w:val="000000"/>
          <w:rtl/>
        </w:rPr>
        <w:t xml:space="preserve"> שנית, ייתכן שגורמים נוספים, שאינם כלולים ברגרסיה, חיזקו את התמסורת בישראל. כך, לדוגמה, ייתכן והשיח הציבורי הער בנושא ריבית הפיקדונות בתקשורת לצד פעולות של בנק ישראל להגברת המודעות לפערי הריביות בין הבנקים והגדלת השקיפות של נתוני הריביות של כל בנק פעלו להגדלת הלחץ התחרותי וחיזקו את התמסורת מעבר לשינויים שחלו במשתנים שהוסברו לעיל. </w:t>
      </w:r>
    </w:p>
    <w:p w:rsidR="003607E9" w:rsidRPr="003766A0" w:rsidRDefault="003607E9" w:rsidP="003766A0">
      <w:pPr>
        <w:pStyle w:val="a3"/>
        <w:numPr>
          <w:ilvl w:val="0"/>
          <w:numId w:val="20"/>
        </w:numPr>
        <w:autoSpaceDE w:val="0"/>
        <w:autoSpaceDN w:val="0"/>
        <w:adjustRightInd w:val="0"/>
        <w:spacing w:after="120" w:line="360" w:lineRule="auto"/>
        <w:jc w:val="both"/>
        <w:rPr>
          <w:rFonts w:ascii="David" w:hAnsi="David"/>
          <w:b/>
          <w:bCs/>
          <w:color w:val="000000"/>
        </w:rPr>
      </w:pPr>
      <w:r w:rsidRPr="003766A0">
        <w:rPr>
          <w:rFonts w:ascii="David" w:hAnsi="David" w:hint="cs"/>
          <w:b/>
          <w:bCs/>
          <w:color w:val="000000"/>
          <w:rtl/>
        </w:rPr>
        <w:lastRenderedPageBreak/>
        <w:t>סיכום</w:t>
      </w:r>
    </w:p>
    <w:p w:rsidR="00374D02" w:rsidRPr="00374D02" w:rsidRDefault="00374D02" w:rsidP="009102CF">
      <w:pPr>
        <w:autoSpaceDE w:val="0"/>
        <w:autoSpaceDN w:val="0"/>
        <w:adjustRightInd w:val="0"/>
        <w:spacing w:after="120" w:line="360" w:lineRule="auto"/>
        <w:jc w:val="both"/>
        <w:rPr>
          <w:rFonts w:ascii="David" w:hAnsi="David"/>
          <w:color w:val="000000"/>
          <w:rtl/>
        </w:rPr>
      </w:pPr>
      <w:r w:rsidRPr="00374D02">
        <w:rPr>
          <w:rFonts w:ascii="David" w:hAnsi="David"/>
          <w:color w:val="000000"/>
          <w:rtl/>
        </w:rPr>
        <w:t xml:space="preserve">עליית הריבית של בנק ישראל במהלך שנת 2022 לוותה בתמסורת חלקית לריבית הפיקדונות,  אך חזקה מאשר במדינות מפותחות אחרות, ונראה שהיא אף התחזקה בחודשים האחרונים של 2022. התיבה סקרה מספר גורמים שיכולים להשפיע על התמסורת, ולכן לספק הסבר אפשרי להבדלים בין המדינות ולשינויים בעוצמת התמסורת לאורך זמן בישראל.  </w:t>
      </w:r>
    </w:p>
    <w:p w:rsidR="00A35B90" w:rsidRDefault="00374D02" w:rsidP="00EC7307">
      <w:pPr>
        <w:autoSpaceDE w:val="0"/>
        <w:autoSpaceDN w:val="0"/>
        <w:adjustRightInd w:val="0"/>
        <w:spacing w:after="120" w:line="360" w:lineRule="auto"/>
        <w:jc w:val="both"/>
        <w:rPr>
          <w:rFonts w:ascii="David" w:hAnsi="David"/>
          <w:color w:val="000000"/>
          <w:rtl/>
        </w:rPr>
      </w:pPr>
      <w:r w:rsidRPr="00374D02">
        <w:rPr>
          <w:rFonts w:ascii="David" w:hAnsi="David"/>
          <w:color w:val="000000"/>
          <w:rtl/>
        </w:rPr>
        <w:t>נמצא שאת התמסורת החלשה בתחילת מחזור עליית הריבית ניתן להסביר, בין היתר, בחזרה של המרווח לטווחים ששררו לפני עידן הריבית האפסית ולעודפי הנזילות הגדולים שהיו במערכת הבנקאית. לאחר היציאה מסביבת הריבית האפסית והירידה במדדי הנזילות החלה התחזקות של התמסורת. מהניתוח עולה האפשרות שההבדלים בין המדינות נובעים גם מגורמים אלו. כך, לדוגמה, באירופה החלה ריבית הבנק המרכזי  לעלות מאוחר יותר, ורמתה עדיין נמוכה יחסית, כך שייתכן כי התמסורת החלשה באירופה משקפת את ההשפעה של היציאה מסביבת הריבית האפסית. לעומת זאת בארה"ב עלתה הריבית אף יותר מאשר בישראל, אך גם עודפי הנזילות של המערכת הבנקאית בארה"ב</w:t>
      </w:r>
      <w:r w:rsidR="00F1778F">
        <w:rPr>
          <w:rFonts w:ascii="David" w:hAnsi="David" w:hint="cs"/>
          <w:color w:val="000000"/>
          <w:rtl/>
        </w:rPr>
        <w:t xml:space="preserve"> נכון לסוף 2022</w:t>
      </w:r>
      <w:r>
        <w:rPr>
          <w:rFonts w:ascii="David" w:hAnsi="David" w:hint="cs"/>
          <w:color w:val="000000"/>
          <w:rtl/>
        </w:rPr>
        <w:t xml:space="preserve"> </w:t>
      </w:r>
      <w:r w:rsidR="00A35B90">
        <w:rPr>
          <w:rFonts w:ascii="David" w:hAnsi="David" w:hint="cs"/>
          <w:color w:val="000000"/>
          <w:rtl/>
        </w:rPr>
        <w:t>עד</w:t>
      </w:r>
      <w:r>
        <w:rPr>
          <w:rFonts w:ascii="David" w:hAnsi="David" w:hint="cs"/>
          <w:color w:val="000000"/>
          <w:rtl/>
        </w:rPr>
        <w:t xml:space="preserve">יין </w:t>
      </w:r>
      <w:r w:rsidR="00A35B90">
        <w:rPr>
          <w:rFonts w:ascii="David" w:hAnsi="David" w:hint="cs"/>
          <w:color w:val="000000"/>
          <w:rtl/>
        </w:rPr>
        <w:t>משמעותיים</w:t>
      </w:r>
      <w:r>
        <w:rPr>
          <w:rFonts w:ascii="David" w:hAnsi="David" w:hint="cs"/>
          <w:color w:val="000000"/>
          <w:rtl/>
        </w:rPr>
        <w:t xml:space="preserve"> מאוד</w:t>
      </w:r>
      <w:r w:rsidR="00A35B90">
        <w:rPr>
          <w:rFonts w:ascii="David" w:hAnsi="David" w:hint="cs"/>
          <w:color w:val="000000"/>
          <w:rtl/>
        </w:rPr>
        <w:t>.</w:t>
      </w:r>
      <w:r w:rsidR="00A35B90">
        <w:rPr>
          <w:rStyle w:val="a8"/>
          <w:rFonts w:ascii="David" w:hAnsi="David"/>
          <w:color w:val="000000"/>
          <w:rtl/>
        </w:rPr>
        <w:footnoteReference w:id="18"/>
      </w:r>
      <w:r w:rsidR="00A35B90">
        <w:rPr>
          <w:rFonts w:ascii="David" w:hAnsi="David" w:hint="cs"/>
          <w:color w:val="000000"/>
          <w:rtl/>
        </w:rPr>
        <w:t xml:space="preserve"> </w:t>
      </w:r>
      <w:r w:rsidR="007A2433" w:rsidRPr="00A51047">
        <w:rPr>
          <w:rFonts w:ascii="David" w:hAnsi="David"/>
          <w:color w:val="000000"/>
          <w:rtl/>
        </w:rPr>
        <w:t xml:space="preserve"> </w:t>
      </w:r>
    </w:p>
    <w:p w:rsidR="006133FC" w:rsidRPr="00374D02" w:rsidRDefault="00374D02" w:rsidP="00E96BD5">
      <w:pPr>
        <w:autoSpaceDE w:val="0"/>
        <w:autoSpaceDN w:val="0"/>
        <w:adjustRightInd w:val="0"/>
        <w:spacing w:after="120" w:line="360" w:lineRule="auto"/>
        <w:jc w:val="both"/>
        <w:rPr>
          <w:rFonts w:ascii="David" w:hAnsi="David"/>
          <w:color w:val="000000"/>
          <w:rtl/>
        </w:rPr>
      </w:pPr>
      <w:r w:rsidRPr="00374D02">
        <w:rPr>
          <w:rFonts w:ascii="David" w:hAnsi="David"/>
          <w:color w:val="000000"/>
          <w:rtl/>
        </w:rPr>
        <w:t xml:space="preserve">הניתוח בתיבה הראה גם את ההשפעה של גורמים </w:t>
      </w:r>
      <w:r w:rsidRPr="00744FC4">
        <w:rPr>
          <w:rFonts w:ascii="David" w:hAnsi="David"/>
          <w:color w:val="000000"/>
          <w:rtl/>
        </w:rPr>
        <w:t xml:space="preserve">מבניים המאפיינים את מערכת הבנקאית –במיוחד של הריכוזיות והתחרות – על עוצמת התמסורת. </w:t>
      </w:r>
      <w:r w:rsidR="00E96BD5">
        <w:rPr>
          <w:rFonts w:ascii="David" w:hAnsi="David" w:hint="cs"/>
          <w:color w:val="000000"/>
          <w:rtl/>
        </w:rPr>
        <w:t xml:space="preserve">להגברת התמסורת תרמו ככל הנראה גם </w:t>
      </w:r>
      <w:r w:rsidRPr="00744FC4">
        <w:rPr>
          <w:rFonts w:ascii="David" w:hAnsi="David"/>
          <w:color w:val="000000"/>
          <w:rtl/>
        </w:rPr>
        <w:t>חלק מהצעדים שננקטו במהלך השנה להגברת התחרות, כגון הנגשה-לציבור של נתוני הריביות שמשלם כל בנק לצורך השוואת מחירים</w:t>
      </w:r>
      <w:r w:rsidR="00E96BD5">
        <w:rPr>
          <w:rFonts w:ascii="David" w:hAnsi="David" w:hint="cs"/>
          <w:color w:val="000000"/>
          <w:rtl/>
        </w:rPr>
        <w:t xml:space="preserve"> ו</w:t>
      </w:r>
      <w:r w:rsidR="00F5756C" w:rsidRPr="00744FC4">
        <w:rPr>
          <w:rFonts w:ascii="David" w:hAnsi="David" w:hint="cs"/>
          <w:color w:val="000000"/>
          <w:rtl/>
        </w:rPr>
        <w:t>שיח</w:t>
      </w:r>
      <w:r w:rsidR="00F5756C" w:rsidRPr="00744FC4">
        <w:rPr>
          <w:rFonts w:ascii="David" w:hAnsi="David"/>
          <w:color w:val="000000"/>
          <w:rtl/>
        </w:rPr>
        <w:t xml:space="preserve"> </w:t>
      </w:r>
      <w:r w:rsidRPr="00744FC4">
        <w:rPr>
          <w:rFonts w:ascii="David" w:hAnsi="David"/>
          <w:color w:val="000000"/>
          <w:rtl/>
        </w:rPr>
        <w:t xml:space="preserve">ציבורי ותקשורתי </w:t>
      </w:r>
      <w:r w:rsidR="00F5756C" w:rsidRPr="00744FC4">
        <w:rPr>
          <w:rFonts w:ascii="David" w:hAnsi="David" w:hint="cs"/>
          <w:color w:val="000000"/>
          <w:rtl/>
        </w:rPr>
        <w:t xml:space="preserve">ער </w:t>
      </w:r>
      <w:r w:rsidRPr="00744FC4">
        <w:rPr>
          <w:rFonts w:ascii="David" w:hAnsi="David"/>
          <w:color w:val="000000"/>
          <w:rtl/>
        </w:rPr>
        <w:t>בנושא.</w:t>
      </w:r>
    </w:p>
    <w:sectPr w:rsidR="006133FC" w:rsidRPr="00374D02" w:rsidSect="001F02D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6E" w:rsidRDefault="000E196E" w:rsidP="00AB46A2">
      <w:pPr>
        <w:spacing w:after="0" w:line="240" w:lineRule="auto"/>
      </w:pPr>
      <w:r>
        <w:separator/>
      </w:r>
    </w:p>
  </w:endnote>
  <w:endnote w:type="continuationSeparator" w:id="0">
    <w:p w:rsidR="000E196E" w:rsidRDefault="000E196E" w:rsidP="00AB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21" w:rsidRDefault="00BA612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51316930"/>
      <w:docPartObj>
        <w:docPartGallery w:val="Page Numbers (Bottom of Page)"/>
        <w:docPartUnique/>
      </w:docPartObj>
    </w:sdtPr>
    <w:sdtEndPr/>
    <w:sdtContent>
      <w:p w:rsidR="00992E72" w:rsidRDefault="00992E72">
        <w:pPr>
          <w:pStyle w:val="af3"/>
          <w:jc w:val="center"/>
          <w:rPr>
            <w:rtl/>
            <w:cs/>
          </w:rPr>
        </w:pPr>
        <w:r>
          <w:fldChar w:fldCharType="begin"/>
        </w:r>
        <w:r>
          <w:rPr>
            <w:rtl/>
            <w:cs/>
          </w:rPr>
          <w:instrText>PAGE   \* MERGEFORMAT</w:instrText>
        </w:r>
        <w:r>
          <w:fldChar w:fldCharType="separate"/>
        </w:r>
        <w:r w:rsidR="005C625E" w:rsidRPr="005C625E">
          <w:rPr>
            <w:noProof/>
            <w:rtl/>
            <w:lang w:val="he-IL"/>
          </w:rPr>
          <w:t>1</w:t>
        </w:r>
        <w:r>
          <w:fldChar w:fldCharType="end"/>
        </w:r>
      </w:p>
    </w:sdtContent>
  </w:sdt>
  <w:p w:rsidR="00992E72" w:rsidRDefault="00992E72">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21" w:rsidRDefault="00BA612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6E" w:rsidRDefault="000E196E" w:rsidP="00AB46A2">
      <w:pPr>
        <w:spacing w:after="0" w:line="240" w:lineRule="auto"/>
      </w:pPr>
      <w:r>
        <w:separator/>
      </w:r>
    </w:p>
  </w:footnote>
  <w:footnote w:type="continuationSeparator" w:id="0">
    <w:p w:rsidR="000E196E" w:rsidRDefault="000E196E" w:rsidP="00AB46A2">
      <w:pPr>
        <w:spacing w:after="0" w:line="240" w:lineRule="auto"/>
      </w:pPr>
      <w:r>
        <w:continuationSeparator/>
      </w:r>
    </w:p>
  </w:footnote>
  <w:footnote w:id="1">
    <w:p w:rsidR="00C45CF3" w:rsidRDefault="00C45CF3" w:rsidP="000B511C">
      <w:pPr>
        <w:pStyle w:val="a6"/>
        <w:jc w:val="both"/>
        <w:rPr>
          <w:rtl/>
        </w:rPr>
      </w:pPr>
      <w:r>
        <w:rPr>
          <w:rStyle w:val="a8"/>
        </w:rPr>
        <w:footnoteRef/>
      </w:r>
      <w:r>
        <w:rPr>
          <w:rtl/>
        </w:rPr>
        <w:t xml:space="preserve"> </w:t>
      </w:r>
      <w:r w:rsidRPr="00285997">
        <w:rPr>
          <w:rtl/>
        </w:rPr>
        <w:t xml:space="preserve">שיעור </w:t>
      </w:r>
      <w:r w:rsidR="005216BD">
        <w:rPr>
          <w:rtl/>
        </w:rPr>
        <w:t>הריבית על הפיקדון מושפע מהתקופה</w:t>
      </w:r>
      <w:r w:rsidR="005216BD">
        <w:rPr>
          <w:rFonts w:hint="cs"/>
          <w:rtl/>
        </w:rPr>
        <w:t>-</w:t>
      </w:r>
      <w:r w:rsidRPr="00285997">
        <w:rPr>
          <w:rtl/>
        </w:rPr>
        <w:t>לפירעון</w:t>
      </w:r>
      <w:r w:rsidR="005216BD">
        <w:rPr>
          <w:rFonts w:hint="cs"/>
          <w:rtl/>
        </w:rPr>
        <w:t xml:space="preserve"> (ככל </w:t>
      </w:r>
      <w:r w:rsidR="002C4CCE">
        <w:rPr>
          <w:rFonts w:hint="cs"/>
          <w:rtl/>
        </w:rPr>
        <w:t>שהתקופה-</w:t>
      </w:r>
      <w:r w:rsidR="005216BD">
        <w:rPr>
          <w:rFonts w:hint="cs"/>
          <w:rtl/>
        </w:rPr>
        <w:t xml:space="preserve">לפירעון ארוכה יותר </w:t>
      </w:r>
      <w:r w:rsidRPr="00285997">
        <w:rPr>
          <w:rFonts w:hint="cs"/>
          <w:rtl/>
        </w:rPr>
        <w:t>הריבית</w:t>
      </w:r>
      <w:r w:rsidR="00FA7150">
        <w:rPr>
          <w:rFonts w:hint="cs"/>
          <w:rtl/>
        </w:rPr>
        <w:t xml:space="preserve"> לרוב גבוהה יותר</w:t>
      </w:r>
      <w:r w:rsidRPr="00285997">
        <w:rPr>
          <w:rFonts w:hint="cs"/>
          <w:rtl/>
        </w:rPr>
        <w:t>)</w:t>
      </w:r>
      <w:r w:rsidRPr="00285997">
        <w:rPr>
          <w:rtl/>
        </w:rPr>
        <w:t xml:space="preserve">, </w:t>
      </w:r>
      <w:r w:rsidRPr="00285997">
        <w:rPr>
          <w:rFonts w:hint="cs"/>
          <w:rtl/>
        </w:rPr>
        <w:t>ממסלול</w:t>
      </w:r>
      <w:r w:rsidRPr="00285997">
        <w:rPr>
          <w:rtl/>
        </w:rPr>
        <w:t xml:space="preserve"> הריבית</w:t>
      </w:r>
      <w:r w:rsidRPr="00285997">
        <w:rPr>
          <w:rFonts w:hint="cs"/>
          <w:rtl/>
        </w:rPr>
        <w:t xml:space="preserve"> וההצמדה</w:t>
      </w:r>
      <w:r w:rsidR="002C4CCE">
        <w:rPr>
          <w:rFonts w:hint="cs"/>
          <w:rtl/>
        </w:rPr>
        <w:t>,</w:t>
      </w:r>
      <w:r w:rsidRPr="00285997">
        <w:rPr>
          <w:rFonts w:hint="cs"/>
          <w:rtl/>
        </w:rPr>
        <w:t xml:space="preserve"> </w:t>
      </w:r>
      <w:r w:rsidR="005216BD">
        <w:rPr>
          <w:rtl/>
        </w:rPr>
        <w:t xml:space="preserve">ולעיתים גם מהיקף הפיקדון. </w:t>
      </w:r>
      <w:r w:rsidR="005216BD">
        <w:rPr>
          <w:rFonts w:hint="cs"/>
          <w:rtl/>
        </w:rPr>
        <w:t>כיוון</w:t>
      </w:r>
      <w:r w:rsidRPr="00285997">
        <w:rPr>
          <w:rtl/>
        </w:rPr>
        <w:t xml:space="preserve"> שריבית בנק ישראל משקפת </w:t>
      </w:r>
      <w:r w:rsidRPr="00285997">
        <w:rPr>
          <w:rFonts w:hint="cs"/>
          <w:rtl/>
        </w:rPr>
        <w:t>את הר</w:t>
      </w:r>
      <w:r w:rsidRPr="00285997">
        <w:rPr>
          <w:rtl/>
        </w:rPr>
        <w:t xml:space="preserve">יבית חסרת </w:t>
      </w:r>
      <w:r w:rsidRPr="00285997">
        <w:rPr>
          <w:rFonts w:hint="cs"/>
          <w:rtl/>
        </w:rPr>
        <w:t>ה</w:t>
      </w:r>
      <w:r w:rsidRPr="00285997">
        <w:rPr>
          <w:rtl/>
        </w:rPr>
        <w:t xml:space="preserve">סיכון </w:t>
      </w:r>
      <w:r w:rsidRPr="00285997">
        <w:rPr>
          <w:rFonts w:hint="cs"/>
          <w:rtl/>
        </w:rPr>
        <w:t>לטווח קצר</w:t>
      </w:r>
      <w:r w:rsidR="00FA7150">
        <w:rPr>
          <w:rFonts w:hint="cs"/>
          <w:rtl/>
        </w:rPr>
        <w:t>,</w:t>
      </w:r>
      <w:r w:rsidRPr="00285997">
        <w:rPr>
          <w:rFonts w:hint="cs"/>
          <w:rtl/>
        </w:rPr>
        <w:t xml:space="preserve"> התמקדנו</w:t>
      </w:r>
      <w:r w:rsidRPr="00285997">
        <w:rPr>
          <w:rtl/>
        </w:rPr>
        <w:t xml:space="preserve"> </w:t>
      </w:r>
      <w:r w:rsidRPr="00285997">
        <w:rPr>
          <w:rFonts w:hint="cs"/>
          <w:rtl/>
        </w:rPr>
        <w:t>בתמסורת</w:t>
      </w:r>
      <w:r w:rsidRPr="00285997">
        <w:rPr>
          <w:rtl/>
        </w:rPr>
        <w:t xml:space="preserve"> של עליית ריבית </w:t>
      </w:r>
      <w:r w:rsidRPr="00285997">
        <w:rPr>
          <w:rFonts w:hint="cs"/>
          <w:rtl/>
        </w:rPr>
        <w:t xml:space="preserve">הבנקים המרכזיים </w:t>
      </w:r>
      <w:r w:rsidR="002C4CCE">
        <w:rPr>
          <w:rFonts w:hint="cs"/>
          <w:rtl/>
        </w:rPr>
        <w:t>אל ה</w:t>
      </w:r>
      <w:r w:rsidR="002C4CCE" w:rsidRPr="00285997">
        <w:rPr>
          <w:rFonts w:hint="cs"/>
          <w:rtl/>
        </w:rPr>
        <w:t xml:space="preserve">פיקדונות </w:t>
      </w:r>
      <w:r w:rsidRPr="00285997">
        <w:rPr>
          <w:rFonts w:hint="cs"/>
          <w:rtl/>
        </w:rPr>
        <w:t>לטווח קצר יחסית של עד שלושה חודשים</w:t>
      </w:r>
      <w:r w:rsidRPr="00285997">
        <w:rPr>
          <w:rtl/>
        </w:rPr>
        <w:t>.</w:t>
      </w:r>
      <w:r w:rsidRPr="00285997">
        <w:rPr>
          <w:rFonts w:hint="cs"/>
          <w:rtl/>
        </w:rPr>
        <w:t xml:space="preserve"> </w:t>
      </w:r>
    </w:p>
  </w:footnote>
  <w:footnote w:id="2">
    <w:p w:rsidR="002460D0" w:rsidRDefault="002460D0" w:rsidP="002460D0">
      <w:pPr>
        <w:pStyle w:val="a6"/>
        <w:rPr>
          <w:rtl/>
        </w:rPr>
      </w:pPr>
      <w:r>
        <w:rPr>
          <w:rStyle w:val="a8"/>
        </w:rPr>
        <w:footnoteRef/>
      </w:r>
      <w:r>
        <w:rPr>
          <w:rtl/>
        </w:rPr>
        <w:t xml:space="preserve"> </w:t>
      </w:r>
      <w:r w:rsidRPr="002460D0">
        <w:rPr>
          <w:rFonts w:hint="cs"/>
          <w:rtl/>
        </w:rPr>
        <w:t>בחינה של הגדרות הסדרה באירופה מעלה כי תנאי הפיקדונו</w:t>
      </w:r>
      <w:r w:rsidRPr="002460D0">
        <w:rPr>
          <w:rFonts w:hint="eastAsia"/>
          <w:rtl/>
        </w:rPr>
        <w:t>ת</w:t>
      </w:r>
      <w:r w:rsidRPr="002460D0">
        <w:rPr>
          <w:rFonts w:hint="cs"/>
          <w:rtl/>
        </w:rPr>
        <w:t xml:space="preserve"> כפי שהם מוגדרים כאן, דומים לפיקדונו</w:t>
      </w:r>
      <w:r w:rsidRPr="002460D0">
        <w:rPr>
          <w:rFonts w:hint="eastAsia"/>
          <w:rtl/>
        </w:rPr>
        <w:t>ת</w:t>
      </w:r>
      <w:r w:rsidRPr="002460D0">
        <w:rPr>
          <w:rFonts w:hint="cs"/>
          <w:rtl/>
        </w:rPr>
        <w:t xml:space="preserve"> המקבילים בישראל</w:t>
      </w:r>
      <w:r>
        <w:rPr>
          <w:rFonts w:hint="cs"/>
          <w:rtl/>
        </w:rPr>
        <w:t>.</w:t>
      </w:r>
    </w:p>
  </w:footnote>
  <w:footnote w:id="3">
    <w:p w:rsidR="00AC4369" w:rsidRDefault="00AC4369" w:rsidP="00744FC4">
      <w:pPr>
        <w:pStyle w:val="a6"/>
        <w:rPr>
          <w:rtl/>
        </w:rPr>
      </w:pPr>
      <w:r>
        <w:rPr>
          <w:rStyle w:val="a8"/>
        </w:rPr>
        <w:footnoteRef/>
      </w:r>
      <w:r>
        <w:rPr>
          <w:rtl/>
        </w:rPr>
        <w:t xml:space="preserve"> </w:t>
      </w:r>
      <w:r w:rsidR="00744FC4">
        <w:rPr>
          <w:rFonts w:hint="cs"/>
          <w:sz w:val="18"/>
          <w:szCs w:val="18"/>
          <w:rtl/>
        </w:rPr>
        <w:t>ראו לדוגמה:</w:t>
      </w:r>
    </w:p>
    <w:p w:rsidR="00AC4369" w:rsidRDefault="002C6C85" w:rsidP="00E534EF">
      <w:pPr>
        <w:pStyle w:val="a6"/>
        <w:numPr>
          <w:ilvl w:val="0"/>
          <w:numId w:val="23"/>
        </w:numPr>
        <w:bidi w:val="0"/>
      </w:pPr>
      <w:r w:rsidRPr="00DD72FF">
        <w:rPr>
          <w:sz w:val="18"/>
          <w:szCs w:val="18"/>
        </w:rPr>
        <w:t>S.</w:t>
      </w:r>
      <w:r>
        <w:rPr>
          <w:sz w:val="18"/>
          <w:szCs w:val="18"/>
        </w:rPr>
        <w:t xml:space="preserve"> </w:t>
      </w:r>
      <w:proofErr w:type="spellStart"/>
      <w:r w:rsidR="00AC4369" w:rsidRPr="00DD72FF">
        <w:rPr>
          <w:sz w:val="18"/>
          <w:szCs w:val="18"/>
        </w:rPr>
        <w:t>Claessens</w:t>
      </w:r>
      <w:proofErr w:type="spellEnd"/>
      <w:r w:rsidR="00AC4369" w:rsidRPr="00DD72FF">
        <w:rPr>
          <w:sz w:val="18"/>
          <w:szCs w:val="18"/>
        </w:rPr>
        <w:t xml:space="preserve">, </w:t>
      </w:r>
      <w:r w:rsidRPr="00DD72FF">
        <w:rPr>
          <w:sz w:val="18"/>
          <w:szCs w:val="18"/>
        </w:rPr>
        <w:t xml:space="preserve">N. </w:t>
      </w:r>
      <w:r w:rsidR="00AC4369" w:rsidRPr="00DD72FF">
        <w:rPr>
          <w:sz w:val="18"/>
          <w:szCs w:val="18"/>
        </w:rPr>
        <w:t xml:space="preserve">Coleman </w:t>
      </w:r>
      <w:r>
        <w:rPr>
          <w:sz w:val="18"/>
          <w:szCs w:val="18"/>
        </w:rPr>
        <w:t>and</w:t>
      </w:r>
      <w:r w:rsidR="00AC4369" w:rsidRPr="00DD72FF">
        <w:rPr>
          <w:sz w:val="18"/>
          <w:szCs w:val="18"/>
        </w:rPr>
        <w:t xml:space="preserve"> </w:t>
      </w:r>
      <w:r w:rsidRPr="00DD72FF">
        <w:rPr>
          <w:sz w:val="18"/>
          <w:szCs w:val="18"/>
        </w:rPr>
        <w:t xml:space="preserve">M. </w:t>
      </w:r>
      <w:r w:rsidR="00AC4369" w:rsidRPr="00DD72FF">
        <w:rPr>
          <w:sz w:val="18"/>
          <w:szCs w:val="18"/>
        </w:rPr>
        <w:t>Donnelly (2018). “</w:t>
      </w:r>
      <w:r>
        <w:rPr>
          <w:sz w:val="18"/>
          <w:szCs w:val="18"/>
        </w:rPr>
        <w:t>’</w:t>
      </w:r>
      <w:r w:rsidR="00AC4369" w:rsidRPr="00DD72FF">
        <w:rPr>
          <w:sz w:val="18"/>
          <w:szCs w:val="18"/>
        </w:rPr>
        <w:t>Low-For-Long</w:t>
      </w:r>
      <w:r>
        <w:rPr>
          <w:sz w:val="18"/>
          <w:szCs w:val="18"/>
        </w:rPr>
        <w:t>’</w:t>
      </w:r>
      <w:r w:rsidR="00AC4369" w:rsidRPr="00DD72FF">
        <w:rPr>
          <w:sz w:val="18"/>
          <w:szCs w:val="18"/>
        </w:rPr>
        <w:t>” interest rates and banks’ interest margins and profitability: Cross-country evidence</w:t>
      </w:r>
      <w:r>
        <w:rPr>
          <w:sz w:val="18"/>
          <w:szCs w:val="18"/>
        </w:rPr>
        <w:t>“,</w:t>
      </w:r>
      <w:r w:rsidRPr="00DD72FF">
        <w:rPr>
          <w:sz w:val="18"/>
          <w:szCs w:val="18"/>
        </w:rPr>
        <w:t xml:space="preserve"> </w:t>
      </w:r>
      <w:r w:rsidR="00AC4369" w:rsidRPr="00F45668">
        <w:rPr>
          <w:i/>
          <w:iCs/>
          <w:sz w:val="18"/>
          <w:szCs w:val="18"/>
        </w:rPr>
        <w:t>Journal of Financial Intermediation</w:t>
      </w:r>
      <w:r w:rsidR="00AC4369" w:rsidRPr="00DD72FF">
        <w:rPr>
          <w:sz w:val="18"/>
          <w:szCs w:val="18"/>
        </w:rPr>
        <w:t>, 35, 1</w:t>
      </w:r>
      <w:r>
        <w:rPr>
          <w:sz w:val="18"/>
          <w:szCs w:val="18"/>
        </w:rPr>
        <w:t>–</w:t>
      </w:r>
      <w:r w:rsidR="00AC4369" w:rsidRPr="00DD72FF">
        <w:rPr>
          <w:sz w:val="18"/>
          <w:szCs w:val="18"/>
        </w:rPr>
        <w:t>16.</w:t>
      </w:r>
      <w:r w:rsidR="00AC4369" w:rsidRPr="00DD72FF">
        <w:rPr>
          <w:sz w:val="18"/>
          <w:szCs w:val="18"/>
          <w:rtl/>
        </w:rPr>
        <w:t>‏</w:t>
      </w:r>
    </w:p>
    <w:p w:rsidR="00AC4369" w:rsidRPr="00F45668" w:rsidRDefault="002C6C85" w:rsidP="00E534EF">
      <w:pPr>
        <w:pStyle w:val="a6"/>
        <w:numPr>
          <w:ilvl w:val="0"/>
          <w:numId w:val="23"/>
        </w:numPr>
        <w:bidi w:val="0"/>
        <w:rPr>
          <w:i/>
          <w:iCs/>
        </w:rPr>
      </w:pPr>
      <w:r w:rsidRPr="00DD72FF">
        <w:rPr>
          <w:sz w:val="18"/>
          <w:szCs w:val="18"/>
        </w:rPr>
        <w:t>N.</w:t>
      </w:r>
      <w:r>
        <w:rPr>
          <w:sz w:val="18"/>
          <w:szCs w:val="18"/>
        </w:rPr>
        <w:t xml:space="preserve"> </w:t>
      </w:r>
      <w:proofErr w:type="spellStart"/>
      <w:r w:rsidR="00AC4369" w:rsidRPr="00DD72FF">
        <w:rPr>
          <w:sz w:val="18"/>
          <w:szCs w:val="18"/>
        </w:rPr>
        <w:t>Segev</w:t>
      </w:r>
      <w:proofErr w:type="spellEnd"/>
      <w:r w:rsidR="00AC4369" w:rsidRPr="00DD72FF">
        <w:rPr>
          <w:sz w:val="18"/>
          <w:szCs w:val="18"/>
        </w:rPr>
        <w:t xml:space="preserve">, </w:t>
      </w:r>
      <w:r w:rsidRPr="00DD72FF">
        <w:rPr>
          <w:sz w:val="18"/>
          <w:szCs w:val="18"/>
        </w:rPr>
        <w:t>S.</w:t>
      </w:r>
      <w:r>
        <w:rPr>
          <w:sz w:val="18"/>
          <w:szCs w:val="18"/>
        </w:rPr>
        <w:t xml:space="preserve"> </w:t>
      </w:r>
      <w:proofErr w:type="spellStart"/>
      <w:r w:rsidR="00AC4369" w:rsidRPr="00DD72FF">
        <w:rPr>
          <w:sz w:val="18"/>
          <w:szCs w:val="18"/>
        </w:rPr>
        <w:t>Ribon</w:t>
      </w:r>
      <w:proofErr w:type="spellEnd"/>
      <w:r w:rsidR="00AC4369" w:rsidRPr="00DD72FF">
        <w:rPr>
          <w:sz w:val="18"/>
          <w:szCs w:val="18"/>
        </w:rPr>
        <w:t xml:space="preserve">, </w:t>
      </w:r>
      <w:r w:rsidRPr="00DD72FF">
        <w:rPr>
          <w:sz w:val="18"/>
          <w:szCs w:val="18"/>
        </w:rPr>
        <w:t>M.</w:t>
      </w:r>
      <w:r w:rsidR="00AC4369" w:rsidRPr="00DD72FF">
        <w:rPr>
          <w:sz w:val="18"/>
          <w:szCs w:val="18"/>
        </w:rPr>
        <w:t xml:space="preserve"> Kahn </w:t>
      </w:r>
      <w:r>
        <w:rPr>
          <w:sz w:val="18"/>
          <w:szCs w:val="18"/>
        </w:rPr>
        <w:t>and</w:t>
      </w:r>
      <w:r w:rsidRPr="002C6C85">
        <w:rPr>
          <w:sz w:val="18"/>
          <w:szCs w:val="18"/>
        </w:rPr>
        <w:t xml:space="preserve"> </w:t>
      </w:r>
      <w:r w:rsidRPr="00DD72FF">
        <w:rPr>
          <w:sz w:val="18"/>
          <w:szCs w:val="18"/>
        </w:rPr>
        <w:t>J.</w:t>
      </w:r>
      <w:r w:rsidR="00AC4369" w:rsidRPr="00DD72FF">
        <w:rPr>
          <w:sz w:val="18"/>
          <w:szCs w:val="18"/>
        </w:rPr>
        <w:t xml:space="preserve"> De </w:t>
      </w:r>
      <w:proofErr w:type="spellStart"/>
      <w:r w:rsidR="00AC4369" w:rsidRPr="00DD72FF">
        <w:rPr>
          <w:sz w:val="18"/>
          <w:szCs w:val="18"/>
        </w:rPr>
        <w:t>Haan</w:t>
      </w:r>
      <w:proofErr w:type="spellEnd"/>
      <w:r w:rsidR="00AC4369" w:rsidRPr="00DD72FF">
        <w:rPr>
          <w:sz w:val="18"/>
          <w:szCs w:val="18"/>
        </w:rPr>
        <w:t xml:space="preserve">, (2022). </w:t>
      </w:r>
      <w:r>
        <w:rPr>
          <w:sz w:val="18"/>
          <w:szCs w:val="18"/>
        </w:rPr>
        <w:t>“</w:t>
      </w:r>
      <w:r w:rsidR="00AC4369" w:rsidRPr="00DD72FF">
        <w:rPr>
          <w:sz w:val="18"/>
          <w:szCs w:val="18"/>
        </w:rPr>
        <w:t>Low Interest Rates and Banks’ Interest Margins: Does Deposit Market Concentration Matter</w:t>
      </w:r>
      <w:r w:rsidR="00584CC7" w:rsidRPr="00DD72FF">
        <w:rPr>
          <w:sz w:val="18"/>
          <w:szCs w:val="18"/>
        </w:rPr>
        <w:t>?</w:t>
      </w:r>
      <w:proofErr w:type="gramStart"/>
      <w:r w:rsidR="00584CC7">
        <w:rPr>
          <w:sz w:val="18"/>
          <w:szCs w:val="18"/>
        </w:rPr>
        <w:t>”,</w:t>
      </w:r>
      <w:proofErr w:type="gramEnd"/>
      <w:r w:rsidR="00584CC7" w:rsidRPr="00DD72FF">
        <w:rPr>
          <w:sz w:val="18"/>
          <w:szCs w:val="18"/>
        </w:rPr>
        <w:t xml:space="preserve"> </w:t>
      </w:r>
      <w:r w:rsidR="00AC4369" w:rsidRPr="00F45668">
        <w:rPr>
          <w:i/>
          <w:iCs/>
          <w:sz w:val="18"/>
          <w:szCs w:val="18"/>
        </w:rPr>
        <w:t>Journal of Financial Services Research</w:t>
      </w:r>
      <w:r w:rsidR="00AC4369" w:rsidRPr="00584CC7">
        <w:rPr>
          <w:sz w:val="18"/>
          <w:szCs w:val="18"/>
        </w:rPr>
        <w:t>, 1</w:t>
      </w:r>
      <w:r w:rsidR="00584CC7">
        <w:rPr>
          <w:sz w:val="18"/>
          <w:szCs w:val="18"/>
        </w:rPr>
        <w:t>–</w:t>
      </w:r>
      <w:r w:rsidR="00AC4369" w:rsidRPr="00584CC7">
        <w:rPr>
          <w:sz w:val="18"/>
          <w:szCs w:val="18"/>
        </w:rPr>
        <w:t>30</w:t>
      </w:r>
      <w:r w:rsidR="00AC4369" w:rsidRPr="00F45668">
        <w:rPr>
          <w:i/>
          <w:iCs/>
          <w:sz w:val="18"/>
          <w:szCs w:val="18"/>
        </w:rPr>
        <w:t>.</w:t>
      </w:r>
      <w:r w:rsidR="00AC4369" w:rsidRPr="00F45668">
        <w:rPr>
          <w:i/>
          <w:iCs/>
          <w:sz w:val="18"/>
          <w:szCs w:val="18"/>
          <w:rtl/>
        </w:rPr>
        <w:t>‏</w:t>
      </w:r>
    </w:p>
  </w:footnote>
  <w:footnote w:id="4">
    <w:p w:rsidR="00A31FF8" w:rsidRDefault="00A31FF8" w:rsidP="00E534EF">
      <w:pPr>
        <w:pStyle w:val="a6"/>
        <w:rPr>
          <w:rtl/>
        </w:rPr>
      </w:pPr>
      <w:r>
        <w:rPr>
          <w:rStyle w:val="a8"/>
        </w:rPr>
        <w:footnoteRef/>
      </w:r>
      <w:r>
        <w:rPr>
          <w:rtl/>
        </w:rPr>
        <w:t xml:space="preserve"> </w:t>
      </w:r>
      <w:r w:rsidR="00EA3B5E">
        <w:rPr>
          <w:rFonts w:hint="cs"/>
          <w:rtl/>
        </w:rPr>
        <w:t>האיור אינו ממשיך לאחר 2015 עקב שינוי בהוראת הדיווח של ריבית הפיקדונות. עם זאת</w:t>
      </w:r>
      <w:r w:rsidR="00584CC7">
        <w:rPr>
          <w:rFonts w:hint="cs"/>
          <w:rtl/>
        </w:rPr>
        <w:t xml:space="preserve"> נציין </w:t>
      </w:r>
      <w:r w:rsidR="00EA3B5E">
        <w:rPr>
          <w:rFonts w:hint="cs"/>
          <w:rtl/>
        </w:rPr>
        <w:t>שלא</w:t>
      </w:r>
      <w:r w:rsidR="009603A2">
        <w:rPr>
          <w:rFonts w:hint="cs"/>
          <w:rtl/>
        </w:rPr>
        <w:t>ו</w:t>
      </w:r>
      <w:r w:rsidR="00EA3B5E">
        <w:rPr>
          <w:rFonts w:hint="cs"/>
          <w:rtl/>
        </w:rPr>
        <w:t xml:space="preserve">רך רוב התקופה </w:t>
      </w:r>
      <w:r w:rsidR="00584CC7">
        <w:rPr>
          <w:rFonts w:hint="cs"/>
          <w:rtl/>
        </w:rPr>
        <w:t xml:space="preserve">שמ-2016 </w:t>
      </w:r>
      <w:r w:rsidR="00EA3B5E">
        <w:rPr>
          <w:rFonts w:hint="cs"/>
          <w:rtl/>
        </w:rPr>
        <w:t>עד אפריל 2022 ריבית הפיקדונו</w:t>
      </w:r>
      <w:r w:rsidR="00EA3B5E">
        <w:rPr>
          <w:rFonts w:hint="eastAsia"/>
          <w:rtl/>
        </w:rPr>
        <w:t>ת</w:t>
      </w:r>
      <w:r w:rsidR="00EA3B5E">
        <w:rPr>
          <w:rFonts w:hint="cs"/>
          <w:rtl/>
        </w:rPr>
        <w:t>, כמו ריבית בנק ישראל</w:t>
      </w:r>
      <w:r w:rsidR="00584CC7">
        <w:rPr>
          <w:rFonts w:hint="cs"/>
          <w:rtl/>
        </w:rPr>
        <w:t>,</w:t>
      </w:r>
      <w:r w:rsidR="00EA3B5E">
        <w:rPr>
          <w:rFonts w:hint="cs"/>
          <w:rtl/>
        </w:rPr>
        <w:t xml:space="preserve"> הייתה אפסית. </w:t>
      </w:r>
    </w:p>
  </w:footnote>
  <w:footnote w:id="5">
    <w:p w:rsidR="001827F3" w:rsidRPr="00744FC4" w:rsidRDefault="001827F3" w:rsidP="001827F3">
      <w:pPr>
        <w:pStyle w:val="a6"/>
      </w:pPr>
      <w:r>
        <w:rPr>
          <w:rStyle w:val="a8"/>
        </w:rPr>
        <w:footnoteRef/>
      </w:r>
      <w:r>
        <w:rPr>
          <w:rtl/>
        </w:rPr>
        <w:t xml:space="preserve"> </w:t>
      </w:r>
      <w:r w:rsidRPr="00744FC4">
        <w:rPr>
          <w:rFonts w:hint="cs"/>
          <w:rtl/>
        </w:rPr>
        <w:t>מקווי מגמה ליניארי</w:t>
      </w:r>
      <w:r w:rsidRPr="00744FC4">
        <w:rPr>
          <w:rFonts w:hint="eastAsia"/>
          <w:rtl/>
        </w:rPr>
        <w:t>ים</w:t>
      </w:r>
      <w:r w:rsidRPr="00744FC4">
        <w:rPr>
          <w:rFonts w:hint="cs"/>
          <w:rtl/>
        </w:rPr>
        <w:t xml:space="preserve"> שאינם מוצגים באיור עולה שיפוע של </w:t>
      </w:r>
      <w:r w:rsidRPr="00744FC4">
        <w:t>-0.3</w:t>
      </w:r>
      <w:r w:rsidRPr="00744FC4">
        <w:rPr>
          <w:rFonts w:hint="cs"/>
          <w:rtl/>
        </w:rPr>
        <w:t xml:space="preserve"> בסביבת ריבית הנמוכה מ2% ושל</w:t>
      </w:r>
      <w:r w:rsidRPr="000B511C">
        <w:rPr>
          <w:rFonts w:ascii="David" w:hAnsi="David"/>
          <w:rtl/>
        </w:rPr>
        <w:t xml:space="preserve"> </w:t>
      </w:r>
      <w:r w:rsidRPr="000B511C">
        <w:rPr>
          <w:rFonts w:ascii="David" w:hAnsi="David"/>
        </w:rPr>
        <w:t>-0.12</w:t>
      </w:r>
      <w:r w:rsidRPr="000B511C">
        <w:rPr>
          <w:rFonts w:ascii="David" w:hAnsi="David"/>
          <w:rtl/>
        </w:rPr>
        <w:t xml:space="preserve"> ב</w:t>
      </w:r>
      <w:r w:rsidRPr="00744FC4">
        <w:rPr>
          <w:rFonts w:hint="cs"/>
          <w:rtl/>
        </w:rPr>
        <w:t>סביבת ריבית הגבוהה מ2%.</w:t>
      </w:r>
    </w:p>
  </w:footnote>
  <w:footnote w:id="6">
    <w:p w:rsidR="00410C04" w:rsidRPr="00744FC4" w:rsidRDefault="00410C04" w:rsidP="00744FC4">
      <w:pPr>
        <w:pStyle w:val="a6"/>
      </w:pPr>
      <w:r w:rsidRPr="00744FC4">
        <w:rPr>
          <w:rStyle w:val="a8"/>
        </w:rPr>
        <w:footnoteRef/>
      </w:r>
      <w:r w:rsidRPr="00744FC4">
        <w:rPr>
          <w:rtl/>
        </w:rPr>
        <w:t xml:space="preserve"> </w:t>
      </w:r>
      <w:r w:rsidR="00735B45" w:rsidRPr="00744FC4">
        <w:rPr>
          <w:rFonts w:hint="cs"/>
          <w:rtl/>
        </w:rPr>
        <w:t>ל</w:t>
      </w:r>
      <w:r w:rsidR="00BB6C3D" w:rsidRPr="00744FC4">
        <w:rPr>
          <w:rFonts w:hint="cs"/>
          <w:rtl/>
        </w:rPr>
        <w:t xml:space="preserve">צמצום שיעור </w:t>
      </w:r>
      <w:r w:rsidR="00BB6C3D" w:rsidRPr="00744FC4">
        <w:rPr>
          <w:rFonts w:hint="eastAsia"/>
          <w:rtl/>
        </w:rPr>
        <w:t>הנזילות</w:t>
      </w:r>
      <w:r w:rsidR="00BB6C3D" w:rsidRPr="00744FC4">
        <w:rPr>
          <w:rtl/>
        </w:rPr>
        <w:t xml:space="preserve"> </w:t>
      </w:r>
      <w:r w:rsidR="00735B45" w:rsidRPr="00744FC4">
        <w:rPr>
          <w:rFonts w:hint="eastAsia"/>
          <w:rtl/>
        </w:rPr>
        <w:t>תרמה</w:t>
      </w:r>
      <w:r w:rsidR="00BB6C3D" w:rsidRPr="00744FC4">
        <w:rPr>
          <w:rtl/>
        </w:rPr>
        <w:t xml:space="preserve"> בין היתר, </w:t>
      </w:r>
      <w:r w:rsidR="00744FC4" w:rsidRPr="00744FC4">
        <w:rPr>
          <w:rFonts w:hint="cs"/>
          <w:rtl/>
        </w:rPr>
        <w:t>ה</w:t>
      </w:r>
      <w:r w:rsidRPr="00744FC4">
        <w:rPr>
          <w:rtl/>
        </w:rPr>
        <w:t xml:space="preserve">עלייה בהנפקות </w:t>
      </w:r>
      <w:proofErr w:type="spellStart"/>
      <w:r w:rsidRPr="00744FC4">
        <w:rPr>
          <w:rtl/>
        </w:rPr>
        <w:t>המק"</w:t>
      </w:r>
      <w:r w:rsidR="00735B45" w:rsidRPr="00744FC4">
        <w:rPr>
          <w:rFonts w:hint="cs"/>
          <w:rtl/>
        </w:rPr>
        <w:t>ם</w:t>
      </w:r>
      <w:proofErr w:type="spellEnd"/>
      <w:r w:rsidR="00735B45" w:rsidRPr="00744FC4">
        <w:rPr>
          <w:rFonts w:hint="cs"/>
          <w:rtl/>
        </w:rPr>
        <w:t xml:space="preserve">. </w:t>
      </w:r>
      <w:r w:rsidR="00BB6C3D" w:rsidRPr="00744FC4">
        <w:rPr>
          <w:rFonts w:hint="cs"/>
          <w:rtl/>
        </w:rPr>
        <w:t>(</w:t>
      </w:r>
      <w:r w:rsidRPr="00744FC4">
        <w:rPr>
          <w:rFonts w:hint="cs"/>
          <w:rtl/>
        </w:rPr>
        <w:t>ראו פרק ג' בדוח זה</w:t>
      </w:r>
      <w:r w:rsidR="00735B45" w:rsidRPr="00744FC4">
        <w:rPr>
          <w:rFonts w:hint="cs"/>
          <w:rtl/>
        </w:rPr>
        <w:t>.</w:t>
      </w:r>
      <w:r w:rsidR="00BB6C3D" w:rsidRPr="00744FC4">
        <w:rPr>
          <w:rFonts w:hint="cs"/>
          <w:rtl/>
        </w:rPr>
        <w:t>)</w:t>
      </w:r>
    </w:p>
  </w:footnote>
  <w:footnote w:id="7">
    <w:p w:rsidR="000C5A58" w:rsidRDefault="000C5A58" w:rsidP="000C5A58">
      <w:pPr>
        <w:pStyle w:val="a6"/>
      </w:pPr>
      <w:r w:rsidRPr="00744FC4">
        <w:rPr>
          <w:rStyle w:val="a8"/>
        </w:rPr>
        <w:footnoteRef/>
      </w:r>
      <w:r w:rsidRPr="00744FC4">
        <w:rPr>
          <w:rtl/>
        </w:rPr>
        <w:t xml:space="preserve"> </w:t>
      </w:r>
      <w:r w:rsidRPr="00744FC4">
        <w:rPr>
          <w:rFonts w:hint="cs"/>
          <w:rtl/>
        </w:rPr>
        <w:t>לפירוט על אופן חישוב והשחיקה ביחס כיסוי</w:t>
      </w:r>
      <w:r>
        <w:rPr>
          <w:rFonts w:hint="cs"/>
          <w:rtl/>
        </w:rPr>
        <w:t xml:space="preserve"> הנזילות ראו עמוד 43 ב</w:t>
      </w:r>
      <w:r w:rsidRPr="009F5285">
        <w:rPr>
          <w:rtl/>
        </w:rPr>
        <w:t xml:space="preserve">סקירת מערכת הבנקאות </w:t>
      </w:r>
      <w:r w:rsidR="00735B45">
        <w:rPr>
          <w:rFonts w:hint="cs"/>
          <w:rtl/>
        </w:rPr>
        <w:t>ל</w:t>
      </w:r>
      <w:r w:rsidRPr="009F5285">
        <w:rPr>
          <w:rtl/>
        </w:rPr>
        <w:t xml:space="preserve">מחצית </w:t>
      </w:r>
      <w:r w:rsidR="00735B45">
        <w:rPr>
          <w:rFonts w:hint="cs"/>
          <w:rtl/>
        </w:rPr>
        <w:t>ה</w:t>
      </w:r>
      <w:r w:rsidRPr="009F5285">
        <w:rPr>
          <w:rtl/>
        </w:rPr>
        <w:t xml:space="preserve">ראשונה </w:t>
      </w:r>
      <w:r w:rsidR="00735B45">
        <w:rPr>
          <w:rFonts w:hint="cs"/>
          <w:rtl/>
        </w:rPr>
        <w:t xml:space="preserve"> של </w:t>
      </w:r>
      <w:r w:rsidRPr="009F5285">
        <w:rPr>
          <w:rtl/>
        </w:rPr>
        <w:t>202</w:t>
      </w:r>
      <w:r>
        <w:rPr>
          <w:rFonts w:hint="cs"/>
          <w:rtl/>
        </w:rPr>
        <w:t>2</w:t>
      </w:r>
      <w:r w:rsidR="00735B45">
        <w:rPr>
          <w:rFonts w:hint="cs"/>
          <w:rtl/>
        </w:rPr>
        <w:t xml:space="preserve"> .</w:t>
      </w:r>
    </w:p>
  </w:footnote>
  <w:footnote w:id="8">
    <w:p w:rsidR="003562FA" w:rsidRDefault="003562FA" w:rsidP="00595296">
      <w:pPr>
        <w:pStyle w:val="a6"/>
        <w:rPr>
          <w:rtl/>
        </w:rPr>
      </w:pPr>
      <w:r>
        <w:rPr>
          <w:rStyle w:val="a8"/>
        </w:rPr>
        <w:footnoteRef/>
      </w:r>
      <w:r>
        <w:rPr>
          <w:rtl/>
        </w:rPr>
        <w:t xml:space="preserve"> </w:t>
      </w:r>
      <w:r>
        <w:rPr>
          <w:rFonts w:ascii="David" w:hAnsi="David" w:hint="cs"/>
          <w:color w:val="000000"/>
          <w:rtl/>
        </w:rPr>
        <w:t xml:space="preserve">אמנם האיור משווה בין פיקדונות לתקופה של עד שלושה חודשים בריבית קבועה לא צמודה לכל המגזרים אך </w:t>
      </w:r>
      <w:r w:rsidR="00595296">
        <w:rPr>
          <w:rFonts w:ascii="David" w:hAnsi="David" w:hint="cs"/>
          <w:color w:val="000000"/>
          <w:rtl/>
        </w:rPr>
        <w:t xml:space="preserve">סביר שהפיקדונות העסקיים גדולים מאלה של משקי הבית, </w:t>
      </w:r>
      <w:r>
        <w:rPr>
          <w:rFonts w:ascii="David" w:hAnsi="David" w:hint="cs"/>
          <w:color w:val="000000"/>
          <w:rtl/>
        </w:rPr>
        <w:t>ולכן</w:t>
      </w:r>
      <w:r w:rsidR="00595296">
        <w:rPr>
          <w:rFonts w:ascii="David" w:hAnsi="David" w:hint="cs"/>
          <w:color w:val="000000"/>
          <w:rtl/>
        </w:rPr>
        <w:t xml:space="preserve"> הלקוחות העסקיים</w:t>
      </w:r>
      <w:r>
        <w:rPr>
          <w:rFonts w:ascii="David" w:hAnsi="David" w:hint="cs"/>
          <w:color w:val="000000"/>
          <w:rtl/>
        </w:rPr>
        <w:t xml:space="preserve"> נהנים מריבית גבוהה יותר.</w:t>
      </w:r>
    </w:p>
  </w:footnote>
  <w:footnote w:id="9">
    <w:p w:rsidR="00F563F5" w:rsidRDefault="00F563F5" w:rsidP="000B511C">
      <w:pPr>
        <w:pStyle w:val="a6"/>
        <w:jc w:val="both"/>
        <w:rPr>
          <w:rtl/>
        </w:rPr>
      </w:pPr>
      <w:r>
        <w:rPr>
          <w:rStyle w:val="a8"/>
        </w:rPr>
        <w:footnoteRef/>
      </w:r>
      <w:r>
        <w:rPr>
          <w:rtl/>
        </w:rPr>
        <w:t xml:space="preserve"> </w:t>
      </w:r>
      <w:r>
        <w:rPr>
          <w:rFonts w:hint="cs"/>
          <w:rtl/>
        </w:rPr>
        <w:t xml:space="preserve">מדינות </w:t>
      </w:r>
      <w:r>
        <w:rPr>
          <w:rFonts w:hint="cs"/>
        </w:rPr>
        <w:t>OECD</w:t>
      </w:r>
      <w:r w:rsidR="003E0A48">
        <w:rPr>
          <w:rFonts w:hint="cs"/>
          <w:rtl/>
        </w:rPr>
        <w:t xml:space="preserve"> שאינן נכללות בא</w:t>
      </w:r>
      <w:r>
        <w:rPr>
          <w:rFonts w:hint="cs"/>
          <w:rtl/>
        </w:rPr>
        <w:t>מידה עקב מחסור בנתונים הן: איסלנד, אסטוניה, הונגריה, טורקיה, יפן, לוקסמבורג, צ</w:t>
      </w:r>
      <w:r w:rsidR="003E0A48">
        <w:rPr>
          <w:rFonts w:hint="cs"/>
          <w:rtl/>
        </w:rPr>
        <w:t>'</w:t>
      </w:r>
      <w:r>
        <w:rPr>
          <w:rFonts w:hint="cs"/>
          <w:rtl/>
        </w:rPr>
        <w:t xml:space="preserve">ילה וקוסטה ריקה. </w:t>
      </w:r>
    </w:p>
  </w:footnote>
  <w:footnote w:id="10">
    <w:p w:rsidR="00F563F5" w:rsidRDefault="00F563F5" w:rsidP="000B511C">
      <w:pPr>
        <w:pStyle w:val="a6"/>
        <w:jc w:val="both"/>
        <w:rPr>
          <w:rtl/>
        </w:rPr>
      </w:pPr>
      <w:r>
        <w:rPr>
          <w:rStyle w:val="a8"/>
        </w:rPr>
        <w:footnoteRef/>
      </w:r>
      <w:r>
        <w:rPr>
          <w:rtl/>
        </w:rPr>
        <w:t xml:space="preserve"> </w:t>
      </w:r>
      <w:r w:rsidR="000C1150">
        <w:rPr>
          <w:rFonts w:hint="cs"/>
          <w:rtl/>
        </w:rPr>
        <w:t>ה</w:t>
      </w:r>
      <w:r>
        <w:rPr>
          <w:rFonts w:hint="cs"/>
          <w:rtl/>
        </w:rPr>
        <w:t>ריבית האפקטיבית מוגדרת כ</w:t>
      </w:r>
      <w:r w:rsidRPr="0058319E">
        <w:rPr>
          <w:rtl/>
        </w:rPr>
        <w:t xml:space="preserve">סך הוצאות הריבית חלקי סך </w:t>
      </w:r>
      <w:r w:rsidR="000C1150">
        <w:rPr>
          <w:rFonts w:hint="cs"/>
          <w:rtl/>
        </w:rPr>
        <w:t>ה</w:t>
      </w:r>
      <w:r w:rsidRPr="0058319E">
        <w:rPr>
          <w:rtl/>
        </w:rPr>
        <w:t xml:space="preserve">התחייבויות </w:t>
      </w:r>
      <w:r w:rsidR="000C1150">
        <w:rPr>
          <w:rFonts w:hint="cs"/>
          <w:rtl/>
        </w:rPr>
        <w:t>ה</w:t>
      </w:r>
      <w:r w:rsidRPr="0058319E">
        <w:rPr>
          <w:rtl/>
        </w:rPr>
        <w:t>נושאות ריבית</w:t>
      </w:r>
      <w:r w:rsidR="000C1150">
        <w:rPr>
          <w:rFonts w:hint="cs"/>
          <w:rtl/>
        </w:rPr>
        <w:t>. שימוש בריבית זו אמנם לא מביא</w:t>
      </w:r>
      <w:r>
        <w:rPr>
          <w:rFonts w:hint="cs"/>
          <w:rtl/>
        </w:rPr>
        <w:t xml:space="preserve"> בחשבון</w:t>
      </w:r>
      <w:r w:rsidR="000C1150">
        <w:rPr>
          <w:rFonts w:hint="cs"/>
          <w:rtl/>
        </w:rPr>
        <w:t xml:space="preserve"> </w:t>
      </w:r>
      <w:r>
        <w:rPr>
          <w:rFonts w:hint="cs"/>
          <w:rtl/>
        </w:rPr>
        <w:t>הבדלים בסוגי ההתחייבויות השונים</w:t>
      </w:r>
      <w:r w:rsidR="000C1150">
        <w:rPr>
          <w:rFonts w:hint="cs"/>
          <w:rtl/>
        </w:rPr>
        <w:t>,</w:t>
      </w:r>
      <w:r>
        <w:rPr>
          <w:rFonts w:hint="cs"/>
          <w:rtl/>
        </w:rPr>
        <w:t xml:space="preserve"> אך השימוש בו מקובל מאוד בספרות. ראו לדוגמה:</w:t>
      </w:r>
    </w:p>
    <w:p w:rsidR="00F563F5" w:rsidRPr="00663BEB" w:rsidRDefault="00EE0780" w:rsidP="003607E9">
      <w:pPr>
        <w:pStyle w:val="a6"/>
        <w:numPr>
          <w:ilvl w:val="0"/>
          <w:numId w:val="24"/>
        </w:numPr>
        <w:bidi w:val="0"/>
      </w:pPr>
      <w:r w:rsidRPr="00BB6B16">
        <w:rPr>
          <w:rFonts w:ascii="Arial" w:hAnsi="Arial" w:cs="Arial"/>
          <w:color w:val="222222"/>
          <w:sz w:val="18"/>
          <w:szCs w:val="18"/>
          <w:shd w:val="clear" w:color="auto" w:fill="FFFFFF"/>
        </w:rPr>
        <w:t>J. A.</w:t>
      </w:r>
      <w:r>
        <w:rPr>
          <w:rFonts w:ascii="Arial" w:hAnsi="Arial" w:cs="Arial"/>
          <w:color w:val="222222"/>
          <w:sz w:val="18"/>
          <w:szCs w:val="18"/>
          <w:shd w:val="clear" w:color="auto" w:fill="FFFFFF"/>
        </w:rPr>
        <w:t xml:space="preserve"> </w:t>
      </w:r>
      <w:r w:rsidR="00F563F5" w:rsidRPr="00BB6B16">
        <w:rPr>
          <w:rFonts w:ascii="Arial" w:hAnsi="Arial" w:cs="Arial"/>
          <w:color w:val="222222"/>
          <w:sz w:val="18"/>
          <w:szCs w:val="18"/>
          <w:shd w:val="clear" w:color="auto" w:fill="FFFFFF"/>
        </w:rPr>
        <w:t>Lopez</w:t>
      </w:r>
      <w:proofErr w:type="gramStart"/>
      <w:r w:rsidR="00F563F5" w:rsidRPr="00BB6B16">
        <w:rPr>
          <w:rFonts w:ascii="Arial" w:hAnsi="Arial" w:cs="Arial"/>
          <w:color w:val="222222"/>
          <w:sz w:val="18"/>
          <w:szCs w:val="18"/>
          <w:shd w:val="clear" w:color="auto" w:fill="FFFFFF"/>
        </w:rPr>
        <w:t xml:space="preserve">,  </w:t>
      </w:r>
      <w:r w:rsidR="00C60945" w:rsidRPr="00BB6B16">
        <w:rPr>
          <w:rFonts w:ascii="Arial" w:hAnsi="Arial" w:cs="Arial"/>
          <w:color w:val="222222"/>
          <w:sz w:val="18"/>
          <w:szCs w:val="18"/>
          <w:shd w:val="clear" w:color="auto" w:fill="FFFFFF"/>
        </w:rPr>
        <w:t>A</w:t>
      </w:r>
      <w:proofErr w:type="gramEnd"/>
      <w:r w:rsidR="00C60945" w:rsidRPr="00BB6B16">
        <w:rPr>
          <w:rFonts w:ascii="Arial" w:hAnsi="Arial" w:cs="Arial"/>
          <w:color w:val="222222"/>
          <w:sz w:val="18"/>
          <w:szCs w:val="18"/>
          <w:shd w:val="clear" w:color="auto" w:fill="FFFFFF"/>
        </w:rPr>
        <w:t>. K</w:t>
      </w:r>
      <w:r w:rsidR="00C60945">
        <w:rPr>
          <w:rFonts w:ascii="Arial" w:hAnsi="Arial" w:cs="Arial"/>
          <w:color w:val="222222"/>
          <w:sz w:val="18"/>
          <w:szCs w:val="18"/>
          <w:shd w:val="clear" w:color="auto" w:fill="FFFFFF"/>
        </w:rPr>
        <w:t>.</w:t>
      </w:r>
      <w:r w:rsidR="00C60945" w:rsidRPr="00BB6B16">
        <w:rPr>
          <w:rFonts w:ascii="Arial" w:hAnsi="Arial" w:cs="Arial"/>
          <w:color w:val="222222"/>
          <w:sz w:val="18"/>
          <w:szCs w:val="18"/>
          <w:shd w:val="clear" w:color="auto" w:fill="FFFFFF"/>
        </w:rPr>
        <w:t xml:space="preserve"> </w:t>
      </w:r>
      <w:r w:rsidR="00F563F5" w:rsidRPr="00BB6B16">
        <w:rPr>
          <w:rFonts w:ascii="Arial" w:hAnsi="Arial" w:cs="Arial"/>
          <w:color w:val="222222"/>
          <w:sz w:val="18"/>
          <w:szCs w:val="18"/>
          <w:shd w:val="clear" w:color="auto" w:fill="FFFFFF"/>
        </w:rPr>
        <w:t xml:space="preserve">Rose </w:t>
      </w:r>
      <w:r w:rsidR="00C60945">
        <w:rPr>
          <w:rFonts w:ascii="Arial" w:hAnsi="Arial" w:cs="Arial"/>
          <w:color w:val="222222"/>
          <w:sz w:val="18"/>
          <w:szCs w:val="18"/>
          <w:shd w:val="clear" w:color="auto" w:fill="FFFFFF"/>
        </w:rPr>
        <w:t>and</w:t>
      </w:r>
      <w:r w:rsidR="00C60945" w:rsidRPr="00BB6B16">
        <w:rPr>
          <w:rFonts w:ascii="Arial" w:hAnsi="Arial" w:cs="Arial"/>
          <w:color w:val="222222"/>
          <w:sz w:val="18"/>
          <w:szCs w:val="18"/>
          <w:shd w:val="clear" w:color="auto" w:fill="FFFFFF"/>
        </w:rPr>
        <w:t xml:space="preserve"> M. M. </w:t>
      </w:r>
      <w:r w:rsidR="00F563F5" w:rsidRPr="00BB6B16">
        <w:rPr>
          <w:rFonts w:ascii="Arial" w:hAnsi="Arial" w:cs="Arial"/>
          <w:color w:val="222222"/>
          <w:sz w:val="18"/>
          <w:szCs w:val="18"/>
          <w:shd w:val="clear" w:color="auto" w:fill="FFFFFF"/>
        </w:rPr>
        <w:t xml:space="preserve">Spiegel (2020). </w:t>
      </w:r>
      <w:r w:rsidR="00C60945">
        <w:rPr>
          <w:rFonts w:ascii="Arial" w:hAnsi="Arial" w:cs="Arial"/>
          <w:color w:val="222222"/>
          <w:sz w:val="18"/>
          <w:szCs w:val="18"/>
          <w:shd w:val="clear" w:color="auto" w:fill="FFFFFF"/>
        </w:rPr>
        <w:t>“</w:t>
      </w:r>
      <w:r w:rsidR="00F563F5" w:rsidRPr="00BB6B16">
        <w:rPr>
          <w:rFonts w:ascii="Arial" w:hAnsi="Arial" w:cs="Arial"/>
          <w:color w:val="222222"/>
          <w:sz w:val="18"/>
          <w:szCs w:val="18"/>
          <w:shd w:val="clear" w:color="auto" w:fill="FFFFFF"/>
        </w:rPr>
        <w:t>Why have negative nominal interest rates had such a small effect on bank performance? Cross country evidence</w:t>
      </w:r>
      <w:r w:rsidR="00C60945">
        <w:rPr>
          <w:rFonts w:ascii="Arial" w:hAnsi="Arial" w:cs="Arial"/>
          <w:color w:val="222222"/>
          <w:sz w:val="18"/>
          <w:szCs w:val="18"/>
          <w:shd w:val="clear" w:color="auto" w:fill="FFFFFF"/>
        </w:rPr>
        <w:t>”,</w:t>
      </w:r>
      <w:r w:rsidR="00C60945" w:rsidRPr="00BB6B16">
        <w:rPr>
          <w:rFonts w:ascii="Arial" w:hAnsi="Arial" w:cs="Arial"/>
          <w:color w:val="222222"/>
          <w:sz w:val="18"/>
          <w:szCs w:val="18"/>
          <w:shd w:val="clear" w:color="auto" w:fill="FFFFFF"/>
        </w:rPr>
        <w:t> </w:t>
      </w:r>
      <w:r w:rsidR="00F563F5" w:rsidRPr="00BB6B16">
        <w:rPr>
          <w:rFonts w:ascii="Arial" w:hAnsi="Arial" w:cs="Arial"/>
          <w:i/>
          <w:iCs/>
          <w:color w:val="222222"/>
          <w:sz w:val="18"/>
          <w:szCs w:val="18"/>
          <w:shd w:val="clear" w:color="auto" w:fill="FFFFFF"/>
        </w:rPr>
        <w:t>European Economic Review</w:t>
      </w:r>
      <w:r w:rsidR="00F563F5" w:rsidRPr="00BB6B16">
        <w:rPr>
          <w:rFonts w:ascii="Arial" w:hAnsi="Arial" w:cs="Arial"/>
          <w:color w:val="222222"/>
          <w:sz w:val="18"/>
          <w:szCs w:val="18"/>
          <w:shd w:val="clear" w:color="auto" w:fill="FFFFFF"/>
        </w:rPr>
        <w:t>, </w:t>
      </w:r>
      <w:r w:rsidR="00F563F5" w:rsidRPr="00BB6B16">
        <w:rPr>
          <w:rFonts w:ascii="Arial" w:hAnsi="Arial" w:cs="Arial"/>
          <w:i/>
          <w:iCs/>
          <w:color w:val="222222"/>
          <w:sz w:val="18"/>
          <w:szCs w:val="18"/>
          <w:shd w:val="clear" w:color="auto" w:fill="FFFFFF"/>
        </w:rPr>
        <w:t>124</w:t>
      </w:r>
      <w:r w:rsidR="00F563F5" w:rsidRPr="00BB6B16">
        <w:rPr>
          <w:rFonts w:ascii="Arial" w:hAnsi="Arial" w:cs="Arial"/>
          <w:color w:val="222222"/>
          <w:sz w:val="18"/>
          <w:szCs w:val="18"/>
          <w:shd w:val="clear" w:color="auto" w:fill="FFFFFF"/>
        </w:rPr>
        <w:t>, 103402.</w:t>
      </w:r>
      <w:r w:rsidR="00F563F5" w:rsidRPr="00BB6B16">
        <w:rPr>
          <w:rFonts w:ascii="Arial" w:hAnsi="Arial" w:cs="Arial"/>
          <w:color w:val="222222"/>
          <w:sz w:val="18"/>
          <w:szCs w:val="18"/>
          <w:shd w:val="clear" w:color="auto" w:fill="FFFFFF"/>
          <w:rtl/>
        </w:rPr>
        <w:t>‏</w:t>
      </w:r>
    </w:p>
    <w:p w:rsidR="00F563F5" w:rsidRPr="00A51047" w:rsidRDefault="00C60945" w:rsidP="003607E9">
      <w:pPr>
        <w:pStyle w:val="a6"/>
        <w:numPr>
          <w:ilvl w:val="0"/>
          <w:numId w:val="24"/>
        </w:numPr>
        <w:bidi w:val="0"/>
        <w:rPr>
          <w:rFonts w:asciiTheme="minorBidi" w:hAnsiTheme="minorBidi" w:cstheme="minorBidi"/>
          <w:sz w:val="18"/>
          <w:szCs w:val="18"/>
        </w:rPr>
      </w:pPr>
      <w:r w:rsidRPr="00A51047">
        <w:rPr>
          <w:rFonts w:asciiTheme="minorBidi" w:hAnsiTheme="minorBidi" w:cstheme="minorBidi"/>
          <w:sz w:val="18"/>
          <w:szCs w:val="18"/>
        </w:rPr>
        <w:t>A.</w:t>
      </w:r>
      <w:r>
        <w:rPr>
          <w:rFonts w:asciiTheme="minorBidi" w:hAnsiTheme="minorBidi" w:cstheme="minorBidi"/>
          <w:sz w:val="18"/>
          <w:szCs w:val="18"/>
        </w:rPr>
        <w:t xml:space="preserve"> </w:t>
      </w:r>
      <w:r w:rsidR="00F563F5" w:rsidRPr="00A51047">
        <w:rPr>
          <w:rFonts w:asciiTheme="minorBidi" w:hAnsiTheme="minorBidi" w:cstheme="minorBidi"/>
          <w:sz w:val="18"/>
          <w:szCs w:val="18"/>
        </w:rPr>
        <w:t>Kang-</w:t>
      </w:r>
      <w:proofErr w:type="spellStart"/>
      <w:proofErr w:type="gramStart"/>
      <w:r w:rsidR="00F563F5" w:rsidRPr="00A51047">
        <w:rPr>
          <w:rFonts w:asciiTheme="minorBidi" w:hAnsiTheme="minorBidi" w:cstheme="minorBidi"/>
          <w:sz w:val="18"/>
          <w:szCs w:val="18"/>
        </w:rPr>
        <w:t>Landsberg</w:t>
      </w:r>
      <w:proofErr w:type="spellEnd"/>
      <w:r w:rsidR="00F563F5" w:rsidRPr="00A51047">
        <w:rPr>
          <w:rFonts w:asciiTheme="minorBidi" w:hAnsiTheme="minorBidi" w:cstheme="minorBidi"/>
          <w:sz w:val="18"/>
          <w:szCs w:val="18"/>
        </w:rPr>
        <w:t xml:space="preserve">  </w:t>
      </w:r>
      <w:r>
        <w:rPr>
          <w:rFonts w:asciiTheme="minorBidi" w:hAnsiTheme="minorBidi" w:cstheme="minorBidi"/>
          <w:sz w:val="18"/>
          <w:szCs w:val="18"/>
        </w:rPr>
        <w:t>and</w:t>
      </w:r>
      <w:proofErr w:type="gramEnd"/>
      <w:r w:rsidRPr="00A51047">
        <w:rPr>
          <w:rFonts w:asciiTheme="minorBidi" w:hAnsiTheme="minorBidi" w:cstheme="minorBidi"/>
          <w:sz w:val="18"/>
          <w:szCs w:val="18"/>
        </w:rPr>
        <w:t xml:space="preserve"> M.</w:t>
      </w:r>
      <w:r>
        <w:rPr>
          <w:rFonts w:asciiTheme="minorBidi" w:hAnsiTheme="minorBidi" w:cstheme="minorBidi"/>
          <w:sz w:val="18"/>
          <w:szCs w:val="18"/>
        </w:rPr>
        <w:t xml:space="preserve"> </w:t>
      </w:r>
      <w:proofErr w:type="spellStart"/>
      <w:r w:rsidR="00F563F5" w:rsidRPr="00A51047">
        <w:rPr>
          <w:rFonts w:asciiTheme="minorBidi" w:hAnsiTheme="minorBidi" w:cstheme="minorBidi"/>
          <w:sz w:val="18"/>
          <w:szCs w:val="18"/>
        </w:rPr>
        <w:t>Plosser</w:t>
      </w:r>
      <w:proofErr w:type="spellEnd"/>
      <w:r w:rsidR="00F563F5" w:rsidRPr="00A51047">
        <w:rPr>
          <w:rFonts w:asciiTheme="minorBidi" w:hAnsiTheme="minorBidi" w:cstheme="minorBidi"/>
          <w:sz w:val="18"/>
          <w:szCs w:val="18"/>
        </w:rPr>
        <w:t xml:space="preserve"> (2022). How Do Deposit Rates Respond to Monetary Policy? (No. 20221121). Federal Reserve Bank of New York.</w:t>
      </w:r>
      <w:r w:rsidR="00F563F5" w:rsidRPr="00A51047">
        <w:rPr>
          <w:rFonts w:asciiTheme="minorBidi" w:hAnsiTheme="minorBidi" w:cstheme="minorBidi"/>
          <w:sz w:val="18"/>
          <w:szCs w:val="18"/>
          <w:rtl/>
        </w:rPr>
        <w:t>‏</w:t>
      </w:r>
    </w:p>
  </w:footnote>
  <w:footnote w:id="11">
    <w:p w:rsidR="00F563F5" w:rsidRPr="00D46E80" w:rsidRDefault="00F563F5" w:rsidP="00BB6D54">
      <w:pPr>
        <w:pStyle w:val="a6"/>
        <w:jc w:val="both"/>
        <w:rPr>
          <w:rtl/>
        </w:rPr>
      </w:pPr>
      <w:r>
        <w:rPr>
          <w:rStyle w:val="a8"/>
        </w:rPr>
        <w:footnoteRef/>
      </w:r>
      <w:r>
        <w:rPr>
          <w:rtl/>
        </w:rPr>
        <w:t xml:space="preserve"> </w:t>
      </w:r>
      <w:r>
        <w:rPr>
          <w:rFonts w:hint="cs"/>
          <w:rtl/>
        </w:rPr>
        <w:t>עקב הבדלים בין מדינות בהגדרת "ריבית הבנק המרכזי" ובהתאם למקובל בספרות נשתמש בריבית השוק הקצרה ש</w:t>
      </w:r>
      <w:r w:rsidR="00BB6D54">
        <w:rPr>
          <w:rFonts w:hint="cs"/>
          <w:rtl/>
        </w:rPr>
        <w:t>מפרסם</w:t>
      </w:r>
      <w:r>
        <w:rPr>
          <w:rFonts w:hint="cs"/>
          <w:rtl/>
        </w:rPr>
        <w:t xml:space="preserve"> ה</w:t>
      </w:r>
      <w:r>
        <w:rPr>
          <w:rFonts w:hint="cs"/>
        </w:rPr>
        <w:t xml:space="preserve">OECD </w:t>
      </w:r>
      <w:r>
        <w:rPr>
          <w:rFonts w:hint="cs"/>
          <w:rtl/>
        </w:rPr>
        <w:t xml:space="preserve"> (ראו</w:t>
      </w:r>
      <w:hyperlink r:id="rId1" w:history="1">
        <w:r w:rsidRPr="00D46E80">
          <w:rPr>
            <w:rStyle w:val="Hyperlink"/>
          </w:rPr>
          <w:t>https://data.oecd.org/interest/short-term-interest-rates.htm</w:t>
        </w:r>
      </w:hyperlink>
      <w:r>
        <w:rPr>
          <w:rFonts w:hint="cs"/>
          <w:rtl/>
        </w:rPr>
        <w:t xml:space="preserve"> ). </w:t>
      </w:r>
    </w:p>
  </w:footnote>
  <w:footnote w:id="12">
    <w:p w:rsidR="00F563F5" w:rsidRPr="00663BEB" w:rsidRDefault="00F563F5" w:rsidP="007618BA">
      <w:pPr>
        <w:pStyle w:val="a6"/>
        <w:jc w:val="both"/>
      </w:pPr>
      <w:r>
        <w:rPr>
          <w:rStyle w:val="a8"/>
        </w:rPr>
        <w:footnoteRef/>
      </w:r>
      <w:r>
        <w:rPr>
          <w:rtl/>
        </w:rPr>
        <w:t xml:space="preserve"> </w:t>
      </w:r>
      <w:r w:rsidR="00BB6D54">
        <w:rPr>
          <w:rFonts w:hint="cs"/>
          <w:rtl/>
        </w:rPr>
        <w:t>בהתאם לשיטתם</w:t>
      </w:r>
      <w:r>
        <w:rPr>
          <w:rFonts w:hint="cs"/>
          <w:rtl/>
        </w:rPr>
        <w:t xml:space="preserve"> של </w:t>
      </w:r>
      <w:r>
        <w:t>Lopez et al. (2020)</w:t>
      </w:r>
      <w:r w:rsidR="00BB6D54">
        <w:rPr>
          <w:rFonts w:hint="cs"/>
          <w:rtl/>
        </w:rPr>
        <w:t xml:space="preserve"> </w:t>
      </w:r>
      <w:r w:rsidR="002E3118">
        <w:rPr>
          <w:rFonts w:hint="cs"/>
          <w:rtl/>
        </w:rPr>
        <w:t>שהשתמשו במסד נתונים דומה כדי</w:t>
      </w:r>
      <w:r>
        <w:rPr>
          <w:rFonts w:hint="cs"/>
          <w:rtl/>
        </w:rPr>
        <w:t xml:space="preserve"> לבחון כיצד ריביות שליליות משפיעות על הרווחיות של הבנקים</w:t>
      </w:r>
      <w:r w:rsidR="002E3118">
        <w:rPr>
          <w:rFonts w:hint="cs"/>
          <w:rtl/>
        </w:rPr>
        <w:t>,</w:t>
      </w:r>
      <w:r>
        <w:rPr>
          <w:rFonts w:hint="cs"/>
          <w:rtl/>
        </w:rPr>
        <w:t xml:space="preserve"> הרגרסיה הבסיסית לא כוללת משתני בקרה נוספים. עם זאת התוצאות עמידות להוספה של משתני בקרה ברמת </w:t>
      </w:r>
      <w:r w:rsidR="00BB6D54">
        <w:rPr>
          <w:rFonts w:hint="cs"/>
          <w:rtl/>
        </w:rPr>
        <w:t>ה</w:t>
      </w:r>
      <w:r>
        <w:rPr>
          <w:rFonts w:hint="cs"/>
          <w:rtl/>
        </w:rPr>
        <w:t xml:space="preserve">בנק בפיגור של תקופה אחת (בפרט יחס הלימות </w:t>
      </w:r>
      <w:r w:rsidR="00BB6D54">
        <w:rPr>
          <w:rFonts w:hint="cs"/>
          <w:rtl/>
        </w:rPr>
        <w:t>ה</w:t>
      </w:r>
      <w:r>
        <w:rPr>
          <w:rFonts w:hint="cs"/>
          <w:rtl/>
        </w:rPr>
        <w:t xml:space="preserve">הון ויחס </w:t>
      </w:r>
      <w:r w:rsidR="00BB6D54">
        <w:rPr>
          <w:rFonts w:hint="cs"/>
          <w:rtl/>
        </w:rPr>
        <w:t>ה</w:t>
      </w:r>
      <w:r>
        <w:rPr>
          <w:rFonts w:hint="cs"/>
          <w:rtl/>
        </w:rPr>
        <w:t xml:space="preserve">פיקדונות להתחייבויות) ומשתני בקרה ברמת המדינה (בפרט </w:t>
      </w:r>
      <w:r w:rsidR="00BB6D54">
        <w:rPr>
          <w:rFonts w:hint="cs"/>
          <w:rtl/>
        </w:rPr>
        <w:t>ה</w:t>
      </w:r>
      <w:r>
        <w:rPr>
          <w:rFonts w:hint="cs"/>
          <w:rtl/>
        </w:rPr>
        <w:t>אינפלציה ו</w:t>
      </w:r>
      <w:r w:rsidR="00BB6D54">
        <w:rPr>
          <w:rFonts w:hint="cs"/>
          <w:rtl/>
        </w:rPr>
        <w:t>ה</w:t>
      </w:r>
      <w:r>
        <w:rPr>
          <w:rFonts w:hint="cs"/>
          <w:rtl/>
        </w:rPr>
        <w:t xml:space="preserve">צמיחה של התוצר). </w:t>
      </w:r>
    </w:p>
  </w:footnote>
  <w:footnote w:id="13">
    <w:p w:rsidR="00A51047" w:rsidRDefault="00A51047" w:rsidP="000B511C">
      <w:pPr>
        <w:pStyle w:val="a6"/>
        <w:jc w:val="both"/>
        <w:rPr>
          <w:rtl/>
        </w:rPr>
      </w:pPr>
      <w:r>
        <w:rPr>
          <w:rStyle w:val="a8"/>
        </w:rPr>
        <w:footnoteRef/>
      </w:r>
      <w:r>
        <w:rPr>
          <w:rtl/>
        </w:rPr>
        <w:t xml:space="preserve"> </w:t>
      </w:r>
      <w:r w:rsidR="007618BA" w:rsidRPr="007618BA">
        <w:rPr>
          <w:rtl/>
        </w:rPr>
        <w:t>גובה הריבית שמייצגת סביבת ריבית נמוכה נבחר בהתאם למקובל בספרות.</w:t>
      </w:r>
      <w:r w:rsidR="007618BA">
        <w:rPr>
          <w:rFonts w:hint="cs"/>
          <w:rtl/>
        </w:rPr>
        <w:t xml:space="preserve"> </w:t>
      </w:r>
      <w:r>
        <w:rPr>
          <w:rFonts w:hint="cs"/>
          <w:rtl/>
        </w:rPr>
        <w:t xml:space="preserve">ראו לדוגמה את ההפניות בהערת שוליים </w:t>
      </w:r>
      <w:r w:rsidR="002460D0">
        <w:rPr>
          <w:rFonts w:hint="cs"/>
          <w:rtl/>
        </w:rPr>
        <w:t>3</w:t>
      </w:r>
      <w:r>
        <w:rPr>
          <w:rFonts w:hint="cs"/>
          <w:rtl/>
        </w:rPr>
        <w:t xml:space="preserve"> ו:</w:t>
      </w:r>
    </w:p>
    <w:p w:rsidR="00A51047" w:rsidRPr="00A51047" w:rsidRDefault="00C60945" w:rsidP="00A51047">
      <w:pPr>
        <w:pStyle w:val="a6"/>
        <w:bidi w:val="0"/>
        <w:rPr>
          <w:rFonts w:asciiTheme="minorBidi" w:hAnsiTheme="minorBidi" w:cstheme="minorBidi"/>
          <w:sz w:val="18"/>
          <w:szCs w:val="18"/>
        </w:rPr>
      </w:pPr>
      <w:r w:rsidRPr="00A51047">
        <w:rPr>
          <w:rFonts w:asciiTheme="minorBidi" w:hAnsiTheme="minorBidi" w:cstheme="minorBidi"/>
          <w:sz w:val="18"/>
          <w:szCs w:val="18"/>
        </w:rPr>
        <w:t>C.</w:t>
      </w:r>
      <w:r>
        <w:rPr>
          <w:rFonts w:asciiTheme="minorBidi" w:hAnsiTheme="minorBidi" w:cstheme="minorBidi"/>
          <w:sz w:val="18"/>
          <w:szCs w:val="18"/>
        </w:rPr>
        <w:t xml:space="preserve"> </w:t>
      </w:r>
      <w:proofErr w:type="spellStart"/>
      <w:proofErr w:type="gramStart"/>
      <w:r w:rsidR="00A51047" w:rsidRPr="00A51047">
        <w:rPr>
          <w:rFonts w:asciiTheme="minorBidi" w:hAnsiTheme="minorBidi" w:cstheme="minorBidi"/>
          <w:sz w:val="18"/>
          <w:szCs w:val="18"/>
        </w:rPr>
        <w:t>Borio</w:t>
      </w:r>
      <w:proofErr w:type="spellEnd"/>
      <w:r w:rsidR="00A51047" w:rsidRPr="00A51047">
        <w:rPr>
          <w:rFonts w:asciiTheme="minorBidi" w:hAnsiTheme="minorBidi" w:cstheme="minorBidi"/>
          <w:sz w:val="18"/>
          <w:szCs w:val="18"/>
        </w:rPr>
        <w:t xml:space="preserve">  </w:t>
      </w:r>
      <w:r>
        <w:rPr>
          <w:rFonts w:asciiTheme="minorBidi" w:hAnsiTheme="minorBidi" w:cstheme="minorBidi"/>
          <w:sz w:val="18"/>
          <w:szCs w:val="18"/>
        </w:rPr>
        <w:t>and</w:t>
      </w:r>
      <w:proofErr w:type="gramEnd"/>
      <w:r w:rsidRPr="00A51047">
        <w:rPr>
          <w:rFonts w:asciiTheme="minorBidi" w:hAnsiTheme="minorBidi" w:cstheme="minorBidi"/>
          <w:sz w:val="18"/>
          <w:szCs w:val="18"/>
        </w:rPr>
        <w:t xml:space="preserve">  L. </w:t>
      </w:r>
      <w:proofErr w:type="spellStart"/>
      <w:r w:rsidR="00A51047" w:rsidRPr="00A51047">
        <w:rPr>
          <w:rFonts w:asciiTheme="minorBidi" w:hAnsiTheme="minorBidi" w:cstheme="minorBidi"/>
          <w:sz w:val="18"/>
          <w:szCs w:val="18"/>
        </w:rPr>
        <w:t>Gambacorta</w:t>
      </w:r>
      <w:proofErr w:type="spellEnd"/>
      <w:r w:rsidR="00A51047" w:rsidRPr="00A51047">
        <w:rPr>
          <w:rFonts w:asciiTheme="minorBidi" w:hAnsiTheme="minorBidi" w:cstheme="minorBidi"/>
          <w:sz w:val="18"/>
          <w:szCs w:val="18"/>
        </w:rPr>
        <w:t xml:space="preserve"> (2017). </w:t>
      </w:r>
      <w:r>
        <w:rPr>
          <w:rFonts w:asciiTheme="minorBidi" w:hAnsiTheme="minorBidi" w:cstheme="minorBidi"/>
          <w:sz w:val="18"/>
          <w:szCs w:val="18"/>
        </w:rPr>
        <w:t>“</w:t>
      </w:r>
      <w:r w:rsidR="00A51047" w:rsidRPr="00A51047">
        <w:rPr>
          <w:rFonts w:asciiTheme="minorBidi" w:hAnsiTheme="minorBidi" w:cstheme="minorBidi"/>
          <w:sz w:val="18"/>
          <w:szCs w:val="18"/>
        </w:rPr>
        <w:t>Monetary policy and bank lending in a low interest rate environment: diminishing effectiveness</w:t>
      </w:r>
      <w:r w:rsidRPr="00A51047">
        <w:rPr>
          <w:rFonts w:asciiTheme="minorBidi" w:hAnsiTheme="minorBidi" w:cstheme="minorBidi"/>
          <w:sz w:val="18"/>
          <w:szCs w:val="18"/>
        </w:rPr>
        <w:t>?</w:t>
      </w:r>
      <w:proofErr w:type="gramStart"/>
      <w:r>
        <w:rPr>
          <w:rFonts w:asciiTheme="minorBidi" w:hAnsiTheme="minorBidi" w:cstheme="minorBidi"/>
          <w:sz w:val="18"/>
          <w:szCs w:val="18"/>
        </w:rPr>
        <w:t>”,</w:t>
      </w:r>
      <w:proofErr w:type="gramEnd"/>
      <w:r w:rsidRPr="00A51047">
        <w:rPr>
          <w:rFonts w:asciiTheme="minorBidi" w:hAnsiTheme="minorBidi" w:cstheme="minorBidi"/>
          <w:sz w:val="18"/>
          <w:szCs w:val="18"/>
        </w:rPr>
        <w:t> </w:t>
      </w:r>
      <w:r w:rsidR="00A51047" w:rsidRPr="00A51047">
        <w:rPr>
          <w:rFonts w:asciiTheme="minorBidi" w:hAnsiTheme="minorBidi" w:cstheme="minorBidi"/>
          <w:i/>
          <w:iCs/>
          <w:sz w:val="18"/>
          <w:szCs w:val="18"/>
        </w:rPr>
        <w:t>Journal of Macroeconomics</w:t>
      </w:r>
      <w:r w:rsidR="00A51047" w:rsidRPr="00A51047">
        <w:rPr>
          <w:rFonts w:asciiTheme="minorBidi" w:hAnsiTheme="minorBidi" w:cstheme="minorBidi"/>
          <w:sz w:val="18"/>
          <w:szCs w:val="18"/>
        </w:rPr>
        <w:t>, </w:t>
      </w:r>
      <w:r w:rsidR="00A51047" w:rsidRPr="00A51047">
        <w:rPr>
          <w:rFonts w:asciiTheme="minorBidi" w:hAnsiTheme="minorBidi" w:cstheme="minorBidi"/>
          <w:i/>
          <w:iCs/>
          <w:sz w:val="18"/>
          <w:szCs w:val="18"/>
        </w:rPr>
        <w:t>54</w:t>
      </w:r>
      <w:r w:rsidR="00A51047" w:rsidRPr="00A51047">
        <w:rPr>
          <w:rFonts w:asciiTheme="minorBidi" w:hAnsiTheme="minorBidi" w:cstheme="minorBidi"/>
          <w:sz w:val="18"/>
          <w:szCs w:val="18"/>
        </w:rPr>
        <w:t>, 217</w:t>
      </w:r>
      <w:r>
        <w:rPr>
          <w:rFonts w:asciiTheme="minorBidi" w:hAnsiTheme="minorBidi" w:cstheme="minorBidi"/>
          <w:sz w:val="18"/>
          <w:szCs w:val="18"/>
        </w:rPr>
        <w:t>–</w:t>
      </w:r>
      <w:r w:rsidR="00A51047" w:rsidRPr="00A51047">
        <w:rPr>
          <w:rFonts w:asciiTheme="minorBidi" w:hAnsiTheme="minorBidi" w:cstheme="minorBidi"/>
          <w:sz w:val="18"/>
          <w:szCs w:val="18"/>
        </w:rPr>
        <w:t>231.</w:t>
      </w:r>
      <w:r w:rsidR="00A51047" w:rsidRPr="00A51047">
        <w:rPr>
          <w:rFonts w:asciiTheme="minorBidi" w:hAnsiTheme="minorBidi" w:cstheme="minorBidi"/>
          <w:sz w:val="18"/>
          <w:szCs w:val="18"/>
          <w:rtl/>
        </w:rPr>
        <w:t>‏</w:t>
      </w:r>
    </w:p>
  </w:footnote>
  <w:footnote w:id="14">
    <w:p w:rsidR="00C420B4" w:rsidRDefault="00C420B4" w:rsidP="000B511C">
      <w:pPr>
        <w:pStyle w:val="a6"/>
        <w:jc w:val="both"/>
      </w:pPr>
      <w:r>
        <w:rPr>
          <w:rStyle w:val="a8"/>
        </w:rPr>
        <w:footnoteRef/>
      </w:r>
      <w:r>
        <w:rPr>
          <w:rtl/>
        </w:rPr>
        <w:t xml:space="preserve"> </w:t>
      </w:r>
      <w:r w:rsidR="00BB6D54">
        <w:rPr>
          <w:rFonts w:hint="cs"/>
          <w:rtl/>
        </w:rPr>
        <w:t xml:space="preserve">מדד </w:t>
      </w:r>
      <w:proofErr w:type="spellStart"/>
      <w:r w:rsidR="00BB6D54">
        <w:rPr>
          <w:rFonts w:hint="cs"/>
          <w:rtl/>
        </w:rPr>
        <w:t>ה</w:t>
      </w:r>
      <w:r>
        <w:rPr>
          <w:rFonts w:hint="cs"/>
          <w:rtl/>
        </w:rPr>
        <w:t>רפינדל</w:t>
      </w:r>
      <w:proofErr w:type="spellEnd"/>
      <w:r>
        <w:rPr>
          <w:rFonts w:hint="cs"/>
          <w:rtl/>
        </w:rPr>
        <w:t xml:space="preserve"> חושב עבור כל מערכת בנקאית בכל שנה. המדד מוגדר כסכום ריבועי נתח ש</w:t>
      </w:r>
      <w:r w:rsidR="00BB6D54">
        <w:rPr>
          <w:rFonts w:hint="cs"/>
          <w:rtl/>
        </w:rPr>
        <w:t xml:space="preserve">וק הפיקדונות של כל בנק. </w:t>
      </w:r>
    </w:p>
  </w:footnote>
  <w:footnote w:id="15">
    <w:p w:rsidR="00443011" w:rsidRDefault="00443011" w:rsidP="000B511C">
      <w:pPr>
        <w:pStyle w:val="a6"/>
        <w:jc w:val="both"/>
      </w:pPr>
      <w:r>
        <w:rPr>
          <w:rStyle w:val="a8"/>
        </w:rPr>
        <w:footnoteRef/>
      </w:r>
      <w:r>
        <w:rPr>
          <w:rtl/>
        </w:rPr>
        <w:t xml:space="preserve"> </w:t>
      </w:r>
      <w:r>
        <w:rPr>
          <w:rFonts w:hint="cs"/>
          <w:rtl/>
        </w:rPr>
        <w:t>שאר המש</w:t>
      </w:r>
      <w:r w:rsidR="006B0556">
        <w:rPr>
          <w:rFonts w:hint="cs"/>
          <w:rtl/>
        </w:rPr>
        <w:t>ת</w:t>
      </w:r>
      <w:r>
        <w:rPr>
          <w:rFonts w:hint="cs"/>
          <w:rtl/>
        </w:rPr>
        <w:t>נים</w:t>
      </w:r>
      <w:r w:rsidR="00C60945">
        <w:rPr>
          <w:rFonts w:hint="cs"/>
          <w:rtl/>
        </w:rPr>
        <w:t>,</w:t>
      </w:r>
      <w:r>
        <w:rPr>
          <w:rFonts w:hint="cs"/>
          <w:rtl/>
        </w:rPr>
        <w:t xml:space="preserve"> כגון </w:t>
      </w:r>
      <w:r w:rsidR="00C60945">
        <w:rPr>
          <w:rFonts w:hint="cs"/>
          <w:rtl/>
        </w:rPr>
        <w:t>ה-</w:t>
      </w:r>
      <w:r w:rsidR="00C60945">
        <w:rPr>
          <w:rFonts w:hint="cs"/>
        </w:rPr>
        <w:t>HHI</w:t>
      </w:r>
      <w:r>
        <w:rPr>
          <w:rFonts w:hint="cs"/>
          <w:rtl/>
        </w:rPr>
        <w:t>, יחס הרזרבה והדמי לריבית נמוכה</w:t>
      </w:r>
      <w:r w:rsidR="00C60945">
        <w:rPr>
          <w:rFonts w:hint="cs"/>
          <w:rtl/>
        </w:rPr>
        <w:t>,</w:t>
      </w:r>
      <w:r>
        <w:rPr>
          <w:rFonts w:hint="cs"/>
          <w:rtl/>
        </w:rPr>
        <w:t xml:space="preserve"> חושבו כחלק מאמידת הרגרסיה</w:t>
      </w:r>
      <w:r w:rsidR="00EE0780">
        <w:rPr>
          <w:rFonts w:hint="cs"/>
          <w:rtl/>
        </w:rPr>
        <w:t>,</w:t>
      </w:r>
      <w:r>
        <w:rPr>
          <w:rFonts w:hint="cs"/>
          <w:rtl/>
        </w:rPr>
        <w:t xml:space="preserve"> אך אינם מוצגים.</w:t>
      </w:r>
      <w:r w:rsidR="006B0556">
        <w:rPr>
          <w:rFonts w:hint="cs"/>
          <w:rtl/>
        </w:rPr>
        <w:t xml:space="preserve"> </w:t>
      </w:r>
      <w:r w:rsidR="006B0556">
        <w:rPr>
          <w:rFonts w:hint="cs"/>
        </w:rPr>
        <w:t>HHI</w:t>
      </w:r>
      <w:r w:rsidR="006B0556">
        <w:rPr>
          <w:rFonts w:hint="cs"/>
          <w:rtl/>
        </w:rPr>
        <w:t xml:space="preserve"> </w:t>
      </w:r>
      <w:r w:rsidR="006B0556" w:rsidRPr="00744FC4">
        <w:rPr>
          <w:rFonts w:hint="cs"/>
          <w:rtl/>
        </w:rPr>
        <w:t xml:space="preserve">ויחס הרזרבה </w:t>
      </w:r>
      <w:r w:rsidR="00EE0780" w:rsidRPr="00744FC4">
        <w:rPr>
          <w:rFonts w:hint="eastAsia"/>
          <w:rtl/>
        </w:rPr>
        <w:t>הם</w:t>
      </w:r>
      <w:r w:rsidR="00EE0780" w:rsidRPr="00744FC4">
        <w:rPr>
          <w:rFonts w:hint="cs"/>
          <w:rtl/>
        </w:rPr>
        <w:t xml:space="preserve"> </w:t>
      </w:r>
      <w:r w:rsidR="006B0556" w:rsidRPr="00744FC4">
        <w:rPr>
          <w:rFonts w:hint="cs"/>
          <w:rtl/>
        </w:rPr>
        <w:t>משתנים</w:t>
      </w:r>
      <w:r w:rsidR="006B0556">
        <w:rPr>
          <w:rFonts w:hint="cs"/>
          <w:rtl/>
        </w:rPr>
        <w:t xml:space="preserve"> רציפים חיוביים וקטנים מאחד.</w:t>
      </w:r>
    </w:p>
  </w:footnote>
  <w:footnote w:id="16">
    <w:p w:rsidR="003252D4" w:rsidRDefault="003252D4" w:rsidP="000B511C">
      <w:pPr>
        <w:pStyle w:val="a6"/>
        <w:jc w:val="both"/>
        <w:rPr>
          <w:rtl/>
        </w:rPr>
      </w:pPr>
      <w:r>
        <w:rPr>
          <w:rStyle w:val="a8"/>
        </w:rPr>
        <w:footnoteRef/>
      </w:r>
      <w:r>
        <w:rPr>
          <w:rtl/>
        </w:rPr>
        <w:t xml:space="preserve"> </w:t>
      </w:r>
      <w:r>
        <w:rPr>
          <w:rFonts w:ascii="David" w:hAnsi="David" w:hint="cs"/>
          <w:color w:val="000000"/>
          <w:rtl/>
        </w:rPr>
        <w:t>אמנם המשתנה הקבוע עבור כל בנק אמור לצמצם את ההשפעה של הבדלים קבועים בין הבנקים</w:t>
      </w:r>
      <w:r w:rsidR="00BB6D54">
        <w:rPr>
          <w:rFonts w:ascii="David" w:hAnsi="David" w:hint="cs"/>
          <w:color w:val="000000"/>
          <w:rtl/>
        </w:rPr>
        <w:t>, אך ייתכן</w:t>
      </w:r>
      <w:r>
        <w:rPr>
          <w:rFonts w:ascii="David" w:hAnsi="David" w:hint="cs"/>
          <w:color w:val="000000"/>
          <w:rtl/>
        </w:rPr>
        <w:t xml:space="preserve"> </w:t>
      </w:r>
      <w:r w:rsidR="00BB6D54">
        <w:rPr>
          <w:rFonts w:ascii="David" w:hAnsi="David" w:hint="cs"/>
          <w:color w:val="000000"/>
          <w:rtl/>
        </w:rPr>
        <w:t>ש</w:t>
      </w:r>
      <w:r>
        <w:rPr>
          <w:rFonts w:ascii="David" w:hAnsi="David" w:hint="cs"/>
          <w:color w:val="000000"/>
          <w:rtl/>
        </w:rPr>
        <w:t xml:space="preserve">לפחות </w:t>
      </w:r>
      <w:r w:rsidR="00C60945">
        <w:rPr>
          <w:rFonts w:ascii="David" w:hAnsi="David" w:hint="cs"/>
          <w:color w:val="000000"/>
          <w:rtl/>
        </w:rPr>
        <w:t>ב</w:t>
      </w:r>
      <w:r>
        <w:rPr>
          <w:rFonts w:ascii="David" w:hAnsi="David" w:hint="cs"/>
          <w:color w:val="000000"/>
          <w:rtl/>
        </w:rPr>
        <w:t xml:space="preserve">חלק מהבנקים חל </w:t>
      </w:r>
      <w:r w:rsidR="00C60945">
        <w:rPr>
          <w:rFonts w:ascii="David" w:hAnsi="David" w:hint="cs"/>
          <w:color w:val="000000"/>
          <w:rtl/>
        </w:rPr>
        <w:t xml:space="preserve">לאורך התקופה </w:t>
      </w:r>
      <w:r>
        <w:rPr>
          <w:rFonts w:ascii="David" w:hAnsi="David" w:hint="cs"/>
          <w:color w:val="000000"/>
          <w:rtl/>
        </w:rPr>
        <w:t>שינוי בסוג מ</w:t>
      </w:r>
      <w:r w:rsidR="00BB6D54">
        <w:rPr>
          <w:rFonts w:ascii="David" w:hAnsi="David" w:hint="cs"/>
          <w:color w:val="000000"/>
          <w:rtl/>
        </w:rPr>
        <w:t>קורות המימון. זאת ועוד</w:t>
      </w:r>
      <w:r w:rsidR="00032698">
        <w:rPr>
          <w:rFonts w:ascii="David" w:hAnsi="David" w:hint="cs"/>
          <w:color w:val="000000"/>
          <w:rtl/>
        </w:rPr>
        <w:t>,</w:t>
      </w:r>
      <w:r w:rsidR="004154DB">
        <w:rPr>
          <w:rFonts w:ascii="David" w:hAnsi="David" w:hint="cs"/>
          <w:color w:val="000000"/>
          <w:rtl/>
        </w:rPr>
        <w:t xml:space="preserve"> </w:t>
      </w:r>
      <w:r>
        <w:rPr>
          <w:rFonts w:ascii="David" w:hAnsi="David" w:hint="cs"/>
          <w:color w:val="000000"/>
          <w:rtl/>
        </w:rPr>
        <w:t>הנתונים הם ברמה שנתית</w:t>
      </w:r>
      <w:r w:rsidR="00032698">
        <w:rPr>
          <w:rFonts w:ascii="David" w:hAnsi="David" w:hint="cs"/>
          <w:color w:val="000000"/>
          <w:rtl/>
        </w:rPr>
        <w:t>,</w:t>
      </w:r>
      <w:r>
        <w:rPr>
          <w:rFonts w:ascii="David" w:hAnsi="David" w:hint="cs"/>
          <w:color w:val="000000"/>
          <w:rtl/>
        </w:rPr>
        <w:t xml:space="preserve"> </w:t>
      </w:r>
      <w:r w:rsidR="004154DB">
        <w:rPr>
          <w:rFonts w:ascii="David" w:hAnsi="David" w:hint="cs"/>
          <w:color w:val="000000"/>
          <w:rtl/>
        </w:rPr>
        <w:t>ו</w:t>
      </w:r>
      <w:r>
        <w:rPr>
          <w:rFonts w:ascii="David" w:hAnsi="David" w:hint="cs"/>
          <w:color w:val="000000"/>
          <w:rtl/>
        </w:rPr>
        <w:t xml:space="preserve">סביר </w:t>
      </w:r>
      <w:r w:rsidR="00032698">
        <w:rPr>
          <w:rFonts w:ascii="David" w:hAnsi="David" w:hint="cs"/>
          <w:color w:val="000000"/>
          <w:rtl/>
        </w:rPr>
        <w:t xml:space="preserve">שחלק </w:t>
      </w:r>
      <w:r>
        <w:rPr>
          <w:rFonts w:ascii="David" w:hAnsi="David" w:hint="cs"/>
          <w:color w:val="000000"/>
          <w:rtl/>
        </w:rPr>
        <w:t>גדול יחסית מהפיקדונות יתחדשו בכל תקופה</w:t>
      </w:r>
      <w:r w:rsidR="004154DB">
        <w:rPr>
          <w:rFonts w:ascii="David" w:hAnsi="David" w:hint="cs"/>
          <w:color w:val="000000"/>
          <w:rtl/>
        </w:rPr>
        <w:t>,</w:t>
      </w:r>
      <w:r>
        <w:rPr>
          <w:rFonts w:ascii="David" w:hAnsi="David" w:hint="cs"/>
          <w:color w:val="000000"/>
          <w:rtl/>
        </w:rPr>
        <w:t xml:space="preserve"> מה ש</w:t>
      </w:r>
      <w:r w:rsidR="00455438">
        <w:rPr>
          <w:rFonts w:ascii="David" w:hAnsi="David" w:hint="cs"/>
          <w:color w:val="000000"/>
          <w:rtl/>
        </w:rPr>
        <w:t>אמור לה</w:t>
      </w:r>
      <w:r>
        <w:rPr>
          <w:rFonts w:ascii="David" w:hAnsi="David" w:hint="cs"/>
          <w:color w:val="000000"/>
          <w:rtl/>
        </w:rPr>
        <w:t xml:space="preserve">קטין את ההטיה. </w:t>
      </w:r>
    </w:p>
  </w:footnote>
  <w:footnote w:id="17">
    <w:p w:rsidR="0011039C" w:rsidRDefault="0011039C" w:rsidP="0011039C">
      <w:pPr>
        <w:pStyle w:val="a6"/>
        <w:rPr>
          <w:rtl/>
        </w:rPr>
      </w:pPr>
      <w:r>
        <w:rPr>
          <w:rStyle w:val="a8"/>
        </w:rPr>
        <w:footnoteRef/>
      </w:r>
      <w:r>
        <w:rPr>
          <w:rtl/>
        </w:rPr>
        <w:t xml:space="preserve"> </w:t>
      </w:r>
      <w:r>
        <w:rPr>
          <w:rFonts w:hint="cs"/>
          <w:rtl/>
        </w:rPr>
        <w:t>מכיוון שאין עדיין נתוני מאזנים של סוף 2022 לרוב המוחלט של הבנקים במדגם לא ניתן לבדוק השערה זו.</w:t>
      </w:r>
    </w:p>
  </w:footnote>
  <w:footnote w:id="18">
    <w:p w:rsidR="00A35B90" w:rsidRDefault="00A35B90">
      <w:pPr>
        <w:pStyle w:val="a6"/>
        <w:rPr>
          <w:rtl/>
        </w:rPr>
      </w:pPr>
      <w:r>
        <w:rPr>
          <w:rStyle w:val="a8"/>
        </w:rPr>
        <w:footnoteRef/>
      </w:r>
      <w:r>
        <w:rPr>
          <w:rtl/>
        </w:rPr>
        <w:t xml:space="preserve"> </w:t>
      </w:r>
      <w:r>
        <w:rPr>
          <w:rFonts w:hint="cs"/>
          <w:rtl/>
        </w:rPr>
        <w:t xml:space="preserve">ראו לדוגמה: </w:t>
      </w:r>
    </w:p>
    <w:p w:rsidR="00A35B90" w:rsidRDefault="00A35B90" w:rsidP="00F45668">
      <w:pPr>
        <w:pStyle w:val="a6"/>
        <w:numPr>
          <w:ilvl w:val="0"/>
          <w:numId w:val="33"/>
        </w:numPr>
        <w:bidi w:val="0"/>
      </w:pPr>
      <w:r w:rsidRPr="00A35B90">
        <w:t>Kang-</w:t>
      </w:r>
      <w:proofErr w:type="spellStart"/>
      <w:r w:rsidRPr="00A35B90">
        <w:t>Landsberg</w:t>
      </w:r>
      <w:proofErr w:type="spellEnd"/>
      <w:r w:rsidR="00F86FF3">
        <w:t xml:space="preserve"> and </w:t>
      </w:r>
      <w:r w:rsidRPr="00A35B90">
        <w:t xml:space="preserve">  </w:t>
      </w:r>
      <w:r w:rsidR="00F86FF3" w:rsidRPr="00A35B90">
        <w:t>M.</w:t>
      </w:r>
      <w:r w:rsidR="00F86FF3">
        <w:t xml:space="preserve"> </w:t>
      </w:r>
      <w:proofErr w:type="spellStart"/>
      <w:r w:rsidRPr="00A35B90">
        <w:t>Plosser</w:t>
      </w:r>
      <w:proofErr w:type="spellEnd"/>
      <w:r w:rsidRPr="00A35B90">
        <w:t>, (2022). How Do Deposit Rates Respond to Monetary Policy? (No. 20221121). Federal Reserve Bank of New York.</w:t>
      </w:r>
      <w:r w:rsidRPr="00A35B90">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21" w:rsidRDefault="00BA612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21" w:rsidRDefault="00BA612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121" w:rsidRDefault="00BA612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B3D"/>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C201A4"/>
    <w:multiLevelType w:val="multilevel"/>
    <w:tmpl w:val="57EC5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CF79F0"/>
    <w:multiLevelType w:val="hybridMultilevel"/>
    <w:tmpl w:val="9E64E798"/>
    <w:lvl w:ilvl="0" w:tplc="E28006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77F16"/>
    <w:multiLevelType w:val="hybridMultilevel"/>
    <w:tmpl w:val="FEA49FF6"/>
    <w:lvl w:ilvl="0" w:tplc="22CEA5BE">
      <w:start w:val="1"/>
      <w:numFmt w:val="decimal"/>
      <w:lvlText w:val="%1."/>
      <w:lvlJc w:val="left"/>
      <w:pPr>
        <w:ind w:left="1080" w:hanging="360"/>
      </w:pPr>
      <w:rPr>
        <w:rFonts w:ascii="David" w:eastAsiaTheme="minorHAnsi" w:hAnsi="David" w:cs="David"/>
      </w:rPr>
    </w:lvl>
    <w:lvl w:ilvl="1" w:tplc="01EC0A1E">
      <w:start w:val="1"/>
      <w:numFmt w:val="bullet"/>
      <w:lvlText w:val="-"/>
      <w:lvlJc w:val="left"/>
      <w:pPr>
        <w:ind w:left="1800" w:hanging="360"/>
      </w:pPr>
      <w:rPr>
        <w:rFonts w:ascii="Courier New" w:hAnsi="Courier New" w:hint="default"/>
        <w:bCs w:val="0"/>
        <w:iCs w:val="0"/>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743CB"/>
    <w:multiLevelType w:val="hybridMultilevel"/>
    <w:tmpl w:val="9A8C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F66C8A"/>
    <w:multiLevelType w:val="hybridMultilevel"/>
    <w:tmpl w:val="6612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C0AB6"/>
    <w:multiLevelType w:val="hybridMultilevel"/>
    <w:tmpl w:val="47EC76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13B61"/>
    <w:multiLevelType w:val="hybridMultilevel"/>
    <w:tmpl w:val="8820C8BE"/>
    <w:lvl w:ilvl="0" w:tplc="6DA84BC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F2279"/>
    <w:multiLevelType w:val="hybridMultilevel"/>
    <w:tmpl w:val="10166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351AE"/>
    <w:multiLevelType w:val="hybridMultilevel"/>
    <w:tmpl w:val="3B546E02"/>
    <w:lvl w:ilvl="0" w:tplc="B60EE3B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12041"/>
    <w:multiLevelType w:val="hybridMultilevel"/>
    <w:tmpl w:val="DBB4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7319D"/>
    <w:multiLevelType w:val="hybridMultilevel"/>
    <w:tmpl w:val="21865874"/>
    <w:lvl w:ilvl="0" w:tplc="A552CB6A">
      <w:start w:val="1"/>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80A26EE"/>
    <w:multiLevelType w:val="hybridMultilevel"/>
    <w:tmpl w:val="339E9EC2"/>
    <w:lvl w:ilvl="0" w:tplc="19B20604">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F47D3"/>
    <w:multiLevelType w:val="multilevel"/>
    <w:tmpl w:val="9BEC56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3F247B7E"/>
    <w:multiLevelType w:val="hybridMultilevel"/>
    <w:tmpl w:val="E1A065EA"/>
    <w:lvl w:ilvl="0" w:tplc="4DD65E48">
      <w:start w:val="1"/>
      <w:numFmt w:val="hebrew1"/>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27A89"/>
    <w:multiLevelType w:val="hybridMultilevel"/>
    <w:tmpl w:val="B484B276"/>
    <w:lvl w:ilvl="0" w:tplc="3CDE5908">
      <w:start w:val="1"/>
      <w:numFmt w:val="hebrew1"/>
      <w:lvlText w:val="%1."/>
      <w:lvlJc w:val="left"/>
      <w:pPr>
        <w:ind w:left="1440" w:hanging="360"/>
      </w:pPr>
      <w:rPr>
        <w:rFonts w:hint="default"/>
      </w:rPr>
    </w:lvl>
    <w:lvl w:ilvl="1" w:tplc="CBAE6C4A">
      <w:start w:val="1"/>
      <w:numFmt w:val="hebrew1"/>
      <w:lvlText w:val="%2."/>
      <w:lvlJc w:val="left"/>
      <w:pPr>
        <w:ind w:left="2160" w:hanging="360"/>
      </w:pPr>
      <w:rPr>
        <w:rFonts w:ascii="David" w:eastAsiaTheme="minorHAnsi" w:hAnsi="David" w:cs="David"/>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FF31E3"/>
    <w:multiLevelType w:val="hybridMultilevel"/>
    <w:tmpl w:val="9006B30C"/>
    <w:lvl w:ilvl="0" w:tplc="64C2C852">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C26BD"/>
    <w:multiLevelType w:val="hybridMultilevel"/>
    <w:tmpl w:val="C21A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352AB"/>
    <w:multiLevelType w:val="hybridMultilevel"/>
    <w:tmpl w:val="3D900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F52A52"/>
    <w:multiLevelType w:val="hybridMultilevel"/>
    <w:tmpl w:val="37CE5BB8"/>
    <w:lvl w:ilvl="0" w:tplc="32C4DD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EF392F"/>
    <w:multiLevelType w:val="multilevel"/>
    <w:tmpl w:val="E176E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BF7CCC"/>
    <w:multiLevelType w:val="hybridMultilevel"/>
    <w:tmpl w:val="0E5E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0084E"/>
    <w:multiLevelType w:val="multilevel"/>
    <w:tmpl w:val="8F1817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00C012F"/>
    <w:multiLevelType w:val="hybridMultilevel"/>
    <w:tmpl w:val="20F601FC"/>
    <w:lvl w:ilvl="0" w:tplc="797623C2">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16A68"/>
    <w:multiLevelType w:val="multilevel"/>
    <w:tmpl w:val="BA3883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7602CD3"/>
    <w:multiLevelType w:val="hybridMultilevel"/>
    <w:tmpl w:val="AC3603AA"/>
    <w:lvl w:ilvl="0" w:tplc="9EC0C5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A0BCE"/>
    <w:multiLevelType w:val="multilevel"/>
    <w:tmpl w:val="3A0EAE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AFD2D9B"/>
    <w:multiLevelType w:val="hybridMultilevel"/>
    <w:tmpl w:val="F94C7ADE"/>
    <w:lvl w:ilvl="0" w:tplc="AE3008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E13AC"/>
    <w:multiLevelType w:val="hybridMultilevel"/>
    <w:tmpl w:val="CFEE84C4"/>
    <w:lvl w:ilvl="0" w:tplc="7E70185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06E1D"/>
    <w:multiLevelType w:val="hybridMultilevel"/>
    <w:tmpl w:val="6482410A"/>
    <w:lvl w:ilvl="0" w:tplc="375A04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73091E"/>
    <w:multiLevelType w:val="multilevel"/>
    <w:tmpl w:val="CBCC08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69731D"/>
    <w:multiLevelType w:val="hybridMultilevel"/>
    <w:tmpl w:val="4AB8C6FC"/>
    <w:lvl w:ilvl="0" w:tplc="6840F51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D346F6"/>
    <w:multiLevelType w:val="hybridMultilevel"/>
    <w:tmpl w:val="3AF2BEF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
  </w:num>
  <w:num w:numId="3">
    <w:abstractNumId w:val="2"/>
  </w:num>
  <w:num w:numId="4">
    <w:abstractNumId w:val="9"/>
  </w:num>
  <w:num w:numId="5">
    <w:abstractNumId w:val="28"/>
  </w:num>
  <w:num w:numId="6">
    <w:abstractNumId w:val="12"/>
  </w:num>
  <w:num w:numId="7">
    <w:abstractNumId w:val="15"/>
  </w:num>
  <w:num w:numId="8">
    <w:abstractNumId w:val="13"/>
  </w:num>
  <w:num w:numId="9">
    <w:abstractNumId w:val="14"/>
  </w:num>
  <w:num w:numId="10">
    <w:abstractNumId w:val="27"/>
  </w:num>
  <w:num w:numId="11">
    <w:abstractNumId w:val="21"/>
  </w:num>
  <w:num w:numId="12">
    <w:abstractNumId w:val="25"/>
  </w:num>
  <w:num w:numId="13">
    <w:abstractNumId w:val="23"/>
  </w:num>
  <w:num w:numId="14">
    <w:abstractNumId w:val="19"/>
  </w:num>
  <w:num w:numId="15">
    <w:abstractNumId w:val="29"/>
  </w:num>
  <w:num w:numId="16">
    <w:abstractNumId w:val="11"/>
  </w:num>
  <w:num w:numId="17">
    <w:abstractNumId w:val="5"/>
  </w:num>
  <w:num w:numId="18">
    <w:abstractNumId w:val="32"/>
  </w:num>
  <w:num w:numId="19">
    <w:abstractNumId w:val="7"/>
  </w:num>
  <w:num w:numId="20">
    <w:abstractNumId w:val="0"/>
  </w:num>
  <w:num w:numId="21">
    <w:abstractNumId w:val="30"/>
  </w:num>
  <w:num w:numId="22">
    <w:abstractNumId w:val="20"/>
  </w:num>
  <w:num w:numId="23">
    <w:abstractNumId w:val="31"/>
  </w:num>
  <w:num w:numId="24">
    <w:abstractNumId w:val="10"/>
  </w:num>
  <w:num w:numId="25">
    <w:abstractNumId w:val="6"/>
  </w:num>
  <w:num w:numId="26">
    <w:abstractNumId w:val="18"/>
  </w:num>
  <w:num w:numId="27">
    <w:abstractNumId w:val="24"/>
  </w:num>
  <w:num w:numId="28">
    <w:abstractNumId w:val="22"/>
  </w:num>
  <w:num w:numId="29">
    <w:abstractNumId w:val="26"/>
  </w:num>
  <w:num w:numId="30">
    <w:abstractNumId w:val="1"/>
  </w:num>
  <w:num w:numId="31">
    <w:abstractNumId w:val="4"/>
  </w:num>
  <w:num w:numId="32">
    <w:abstractNumId w:val="1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2NzY0sTAxtLC0MDFQ0lEKTi0uzszPAykwrgUAMvUFWCwAAAA="/>
  </w:docVars>
  <w:rsids>
    <w:rsidRoot w:val="00A17EAE"/>
    <w:rsid w:val="000027A6"/>
    <w:rsid w:val="0000346D"/>
    <w:rsid w:val="000037B4"/>
    <w:rsid w:val="00004662"/>
    <w:rsid w:val="00004DA7"/>
    <w:rsid w:val="00004F98"/>
    <w:rsid w:val="000067D2"/>
    <w:rsid w:val="00006825"/>
    <w:rsid w:val="0001133A"/>
    <w:rsid w:val="00014FEB"/>
    <w:rsid w:val="0001545A"/>
    <w:rsid w:val="00015690"/>
    <w:rsid w:val="0001601F"/>
    <w:rsid w:val="0001618E"/>
    <w:rsid w:val="0001668F"/>
    <w:rsid w:val="00021322"/>
    <w:rsid w:val="00023940"/>
    <w:rsid w:val="00024766"/>
    <w:rsid w:val="00024D64"/>
    <w:rsid w:val="0003107E"/>
    <w:rsid w:val="00031236"/>
    <w:rsid w:val="00032698"/>
    <w:rsid w:val="000326DB"/>
    <w:rsid w:val="000326E2"/>
    <w:rsid w:val="00034259"/>
    <w:rsid w:val="000363C3"/>
    <w:rsid w:val="000409DF"/>
    <w:rsid w:val="00042E57"/>
    <w:rsid w:val="00043895"/>
    <w:rsid w:val="00043E16"/>
    <w:rsid w:val="000444F9"/>
    <w:rsid w:val="00045D8F"/>
    <w:rsid w:val="0004788F"/>
    <w:rsid w:val="00050439"/>
    <w:rsid w:val="00050467"/>
    <w:rsid w:val="00053BC1"/>
    <w:rsid w:val="000541F0"/>
    <w:rsid w:val="000542FF"/>
    <w:rsid w:val="00054442"/>
    <w:rsid w:val="00054656"/>
    <w:rsid w:val="00054B27"/>
    <w:rsid w:val="00056D8D"/>
    <w:rsid w:val="00057632"/>
    <w:rsid w:val="00060FFB"/>
    <w:rsid w:val="00061979"/>
    <w:rsid w:val="00062E78"/>
    <w:rsid w:val="00063634"/>
    <w:rsid w:val="00064457"/>
    <w:rsid w:val="000656D5"/>
    <w:rsid w:val="00070096"/>
    <w:rsid w:val="000707A5"/>
    <w:rsid w:val="00070BD3"/>
    <w:rsid w:val="00070C45"/>
    <w:rsid w:val="00071CBC"/>
    <w:rsid w:val="0007350A"/>
    <w:rsid w:val="00075593"/>
    <w:rsid w:val="00075A14"/>
    <w:rsid w:val="00075FB1"/>
    <w:rsid w:val="00076E93"/>
    <w:rsid w:val="00080383"/>
    <w:rsid w:val="0008070F"/>
    <w:rsid w:val="00083244"/>
    <w:rsid w:val="000835A5"/>
    <w:rsid w:val="00083655"/>
    <w:rsid w:val="00083FF1"/>
    <w:rsid w:val="00084991"/>
    <w:rsid w:val="00085CD8"/>
    <w:rsid w:val="00087208"/>
    <w:rsid w:val="000906B0"/>
    <w:rsid w:val="00091A92"/>
    <w:rsid w:val="0009536D"/>
    <w:rsid w:val="000A1910"/>
    <w:rsid w:val="000A55C4"/>
    <w:rsid w:val="000A6323"/>
    <w:rsid w:val="000B0855"/>
    <w:rsid w:val="000B0A4A"/>
    <w:rsid w:val="000B38A7"/>
    <w:rsid w:val="000B48E8"/>
    <w:rsid w:val="000B511C"/>
    <w:rsid w:val="000B7904"/>
    <w:rsid w:val="000C1150"/>
    <w:rsid w:val="000C2EFD"/>
    <w:rsid w:val="000C5363"/>
    <w:rsid w:val="000C5A58"/>
    <w:rsid w:val="000C745C"/>
    <w:rsid w:val="000D0F57"/>
    <w:rsid w:val="000D2451"/>
    <w:rsid w:val="000D2781"/>
    <w:rsid w:val="000D3CB5"/>
    <w:rsid w:val="000D4F21"/>
    <w:rsid w:val="000D7B11"/>
    <w:rsid w:val="000D7F9A"/>
    <w:rsid w:val="000E053C"/>
    <w:rsid w:val="000E0B6A"/>
    <w:rsid w:val="000E1807"/>
    <w:rsid w:val="000E196E"/>
    <w:rsid w:val="000E39A2"/>
    <w:rsid w:val="000E4313"/>
    <w:rsid w:val="000E61CE"/>
    <w:rsid w:val="000E65DF"/>
    <w:rsid w:val="000F0347"/>
    <w:rsid w:val="000F0645"/>
    <w:rsid w:val="000F3DCB"/>
    <w:rsid w:val="000F472D"/>
    <w:rsid w:val="000F4E30"/>
    <w:rsid w:val="0010117E"/>
    <w:rsid w:val="001021D1"/>
    <w:rsid w:val="0010279A"/>
    <w:rsid w:val="00102A2E"/>
    <w:rsid w:val="00105EDC"/>
    <w:rsid w:val="0010621A"/>
    <w:rsid w:val="0011039C"/>
    <w:rsid w:val="00110421"/>
    <w:rsid w:val="00111ABC"/>
    <w:rsid w:val="00111D70"/>
    <w:rsid w:val="001126DB"/>
    <w:rsid w:val="00112731"/>
    <w:rsid w:val="00113064"/>
    <w:rsid w:val="00113822"/>
    <w:rsid w:val="00114CD4"/>
    <w:rsid w:val="001152BB"/>
    <w:rsid w:val="00115A62"/>
    <w:rsid w:val="00116868"/>
    <w:rsid w:val="00121B8E"/>
    <w:rsid w:val="001223EB"/>
    <w:rsid w:val="001232F5"/>
    <w:rsid w:val="001255F4"/>
    <w:rsid w:val="00125CD0"/>
    <w:rsid w:val="001309DA"/>
    <w:rsid w:val="00136752"/>
    <w:rsid w:val="0014090F"/>
    <w:rsid w:val="0014479C"/>
    <w:rsid w:val="001474E7"/>
    <w:rsid w:val="00150643"/>
    <w:rsid w:val="0015089F"/>
    <w:rsid w:val="00152FFD"/>
    <w:rsid w:val="001532F0"/>
    <w:rsid w:val="00154D0B"/>
    <w:rsid w:val="00162243"/>
    <w:rsid w:val="00164831"/>
    <w:rsid w:val="00165A34"/>
    <w:rsid w:val="001662B4"/>
    <w:rsid w:val="001700F2"/>
    <w:rsid w:val="0017230B"/>
    <w:rsid w:val="001734CB"/>
    <w:rsid w:val="00176119"/>
    <w:rsid w:val="00176CA4"/>
    <w:rsid w:val="001818F4"/>
    <w:rsid w:val="0018252B"/>
    <w:rsid w:val="001827F3"/>
    <w:rsid w:val="00185EE4"/>
    <w:rsid w:val="00187238"/>
    <w:rsid w:val="0019015B"/>
    <w:rsid w:val="001916B6"/>
    <w:rsid w:val="00193596"/>
    <w:rsid w:val="00193E36"/>
    <w:rsid w:val="0019483D"/>
    <w:rsid w:val="00195F3E"/>
    <w:rsid w:val="00196454"/>
    <w:rsid w:val="001A0E49"/>
    <w:rsid w:val="001A57A1"/>
    <w:rsid w:val="001A5FFA"/>
    <w:rsid w:val="001A657E"/>
    <w:rsid w:val="001B1461"/>
    <w:rsid w:val="001B215D"/>
    <w:rsid w:val="001B3AD5"/>
    <w:rsid w:val="001B5DD8"/>
    <w:rsid w:val="001C00B2"/>
    <w:rsid w:val="001C1BBF"/>
    <w:rsid w:val="001C1DB3"/>
    <w:rsid w:val="001C40FC"/>
    <w:rsid w:val="001C57EB"/>
    <w:rsid w:val="001C5D4F"/>
    <w:rsid w:val="001D075E"/>
    <w:rsid w:val="001D26D4"/>
    <w:rsid w:val="001D4105"/>
    <w:rsid w:val="001D49BE"/>
    <w:rsid w:val="001D526B"/>
    <w:rsid w:val="001D7CE4"/>
    <w:rsid w:val="001E1AFB"/>
    <w:rsid w:val="001E3455"/>
    <w:rsid w:val="001E4446"/>
    <w:rsid w:val="001E790E"/>
    <w:rsid w:val="001F0127"/>
    <w:rsid w:val="001F02DF"/>
    <w:rsid w:val="001F0D17"/>
    <w:rsid w:val="001F25FA"/>
    <w:rsid w:val="001F2A79"/>
    <w:rsid w:val="001F3E12"/>
    <w:rsid w:val="001F5E0F"/>
    <w:rsid w:val="0020024D"/>
    <w:rsid w:val="002010D7"/>
    <w:rsid w:val="002016BD"/>
    <w:rsid w:val="00202314"/>
    <w:rsid w:val="00202FF9"/>
    <w:rsid w:val="00205AC0"/>
    <w:rsid w:val="00206FBA"/>
    <w:rsid w:val="002071F4"/>
    <w:rsid w:val="00207D81"/>
    <w:rsid w:val="00214114"/>
    <w:rsid w:val="002145A3"/>
    <w:rsid w:val="00214A6F"/>
    <w:rsid w:val="00216733"/>
    <w:rsid w:val="002174D7"/>
    <w:rsid w:val="00222242"/>
    <w:rsid w:val="00223C51"/>
    <w:rsid w:val="002242E5"/>
    <w:rsid w:val="00230255"/>
    <w:rsid w:val="00230389"/>
    <w:rsid w:val="002306B0"/>
    <w:rsid w:val="00232402"/>
    <w:rsid w:val="0023457A"/>
    <w:rsid w:val="0023563C"/>
    <w:rsid w:val="00236FFA"/>
    <w:rsid w:val="00237FEC"/>
    <w:rsid w:val="0024015C"/>
    <w:rsid w:val="00241AD8"/>
    <w:rsid w:val="002460D0"/>
    <w:rsid w:val="00246D5E"/>
    <w:rsid w:val="00250440"/>
    <w:rsid w:val="002517A3"/>
    <w:rsid w:val="00251A7D"/>
    <w:rsid w:val="00251EC2"/>
    <w:rsid w:val="002524A5"/>
    <w:rsid w:val="002539D2"/>
    <w:rsid w:val="002544A7"/>
    <w:rsid w:val="00256498"/>
    <w:rsid w:val="00256597"/>
    <w:rsid w:val="002611D1"/>
    <w:rsid w:val="0026123F"/>
    <w:rsid w:val="00261BD6"/>
    <w:rsid w:val="00262549"/>
    <w:rsid w:val="0026425F"/>
    <w:rsid w:val="00264601"/>
    <w:rsid w:val="00265890"/>
    <w:rsid w:val="00266AFB"/>
    <w:rsid w:val="00267DEA"/>
    <w:rsid w:val="00271303"/>
    <w:rsid w:val="002737BE"/>
    <w:rsid w:val="00274A6E"/>
    <w:rsid w:val="002754DF"/>
    <w:rsid w:val="00281735"/>
    <w:rsid w:val="00283C24"/>
    <w:rsid w:val="002845B3"/>
    <w:rsid w:val="00285997"/>
    <w:rsid w:val="00292CEB"/>
    <w:rsid w:val="0029423C"/>
    <w:rsid w:val="0029434C"/>
    <w:rsid w:val="00294D60"/>
    <w:rsid w:val="002964FA"/>
    <w:rsid w:val="00297FDB"/>
    <w:rsid w:val="002A0B57"/>
    <w:rsid w:val="002A0C3A"/>
    <w:rsid w:val="002A1A7B"/>
    <w:rsid w:val="002A2D85"/>
    <w:rsid w:val="002A30AC"/>
    <w:rsid w:val="002A434A"/>
    <w:rsid w:val="002A521D"/>
    <w:rsid w:val="002A53BA"/>
    <w:rsid w:val="002A6C9D"/>
    <w:rsid w:val="002B07AC"/>
    <w:rsid w:val="002B408A"/>
    <w:rsid w:val="002B753D"/>
    <w:rsid w:val="002C33EF"/>
    <w:rsid w:val="002C4CCE"/>
    <w:rsid w:val="002C4EE3"/>
    <w:rsid w:val="002C6C85"/>
    <w:rsid w:val="002C728A"/>
    <w:rsid w:val="002C7ECE"/>
    <w:rsid w:val="002D04D9"/>
    <w:rsid w:val="002D05FC"/>
    <w:rsid w:val="002D153E"/>
    <w:rsid w:val="002D20E5"/>
    <w:rsid w:val="002D746D"/>
    <w:rsid w:val="002E3118"/>
    <w:rsid w:val="002E41BB"/>
    <w:rsid w:val="002E6CFC"/>
    <w:rsid w:val="002E71EB"/>
    <w:rsid w:val="002F4798"/>
    <w:rsid w:val="002F4FDC"/>
    <w:rsid w:val="002F5844"/>
    <w:rsid w:val="002F6523"/>
    <w:rsid w:val="00305568"/>
    <w:rsid w:val="00305BEB"/>
    <w:rsid w:val="00306C91"/>
    <w:rsid w:val="00310D9A"/>
    <w:rsid w:val="003112B9"/>
    <w:rsid w:val="003122B3"/>
    <w:rsid w:val="00315211"/>
    <w:rsid w:val="00317E1E"/>
    <w:rsid w:val="00320B5B"/>
    <w:rsid w:val="00322306"/>
    <w:rsid w:val="0032303D"/>
    <w:rsid w:val="00324BF9"/>
    <w:rsid w:val="003252D4"/>
    <w:rsid w:val="00326101"/>
    <w:rsid w:val="00326417"/>
    <w:rsid w:val="00326BBE"/>
    <w:rsid w:val="00327B1F"/>
    <w:rsid w:val="00327B64"/>
    <w:rsid w:val="00330576"/>
    <w:rsid w:val="003318E0"/>
    <w:rsid w:val="0033384B"/>
    <w:rsid w:val="003342CA"/>
    <w:rsid w:val="003356B5"/>
    <w:rsid w:val="00340185"/>
    <w:rsid w:val="00340982"/>
    <w:rsid w:val="003426FF"/>
    <w:rsid w:val="00345DE3"/>
    <w:rsid w:val="00347D14"/>
    <w:rsid w:val="00353859"/>
    <w:rsid w:val="00353CB9"/>
    <w:rsid w:val="00353DF5"/>
    <w:rsid w:val="003562FA"/>
    <w:rsid w:val="003604C3"/>
    <w:rsid w:val="003607E9"/>
    <w:rsid w:val="00360A5B"/>
    <w:rsid w:val="003626F9"/>
    <w:rsid w:val="0036454A"/>
    <w:rsid w:val="00364AB7"/>
    <w:rsid w:val="00365720"/>
    <w:rsid w:val="00373BB7"/>
    <w:rsid w:val="00373D67"/>
    <w:rsid w:val="00374D02"/>
    <w:rsid w:val="00375EF5"/>
    <w:rsid w:val="003766A0"/>
    <w:rsid w:val="00376AAC"/>
    <w:rsid w:val="003772C2"/>
    <w:rsid w:val="0038293A"/>
    <w:rsid w:val="003843A6"/>
    <w:rsid w:val="003852F0"/>
    <w:rsid w:val="00386296"/>
    <w:rsid w:val="00386E4A"/>
    <w:rsid w:val="0038756E"/>
    <w:rsid w:val="00387D6C"/>
    <w:rsid w:val="003904D6"/>
    <w:rsid w:val="003924C5"/>
    <w:rsid w:val="00394697"/>
    <w:rsid w:val="00394D78"/>
    <w:rsid w:val="00396515"/>
    <w:rsid w:val="00397B36"/>
    <w:rsid w:val="00397FC0"/>
    <w:rsid w:val="003A0679"/>
    <w:rsid w:val="003A1C6F"/>
    <w:rsid w:val="003A1ED6"/>
    <w:rsid w:val="003A4608"/>
    <w:rsid w:val="003A4F82"/>
    <w:rsid w:val="003A549F"/>
    <w:rsid w:val="003A54B2"/>
    <w:rsid w:val="003A6AB8"/>
    <w:rsid w:val="003B5663"/>
    <w:rsid w:val="003B5E5E"/>
    <w:rsid w:val="003B7A88"/>
    <w:rsid w:val="003C0F1F"/>
    <w:rsid w:val="003C1EF4"/>
    <w:rsid w:val="003E0A48"/>
    <w:rsid w:val="003E3533"/>
    <w:rsid w:val="003E69D2"/>
    <w:rsid w:val="003E6DEF"/>
    <w:rsid w:val="003F0A40"/>
    <w:rsid w:val="003F119C"/>
    <w:rsid w:val="003F24CA"/>
    <w:rsid w:val="003F2DCA"/>
    <w:rsid w:val="003F3E67"/>
    <w:rsid w:val="003F5BAA"/>
    <w:rsid w:val="003F674E"/>
    <w:rsid w:val="003F6E21"/>
    <w:rsid w:val="00403568"/>
    <w:rsid w:val="00410C04"/>
    <w:rsid w:val="00411734"/>
    <w:rsid w:val="00412AE7"/>
    <w:rsid w:val="00414C4E"/>
    <w:rsid w:val="004154DB"/>
    <w:rsid w:val="00415E5F"/>
    <w:rsid w:val="004163D5"/>
    <w:rsid w:val="00416504"/>
    <w:rsid w:val="0042092B"/>
    <w:rsid w:val="004233B6"/>
    <w:rsid w:val="00424199"/>
    <w:rsid w:val="00424A30"/>
    <w:rsid w:val="00427408"/>
    <w:rsid w:val="0043077F"/>
    <w:rsid w:val="00430E60"/>
    <w:rsid w:val="004421F5"/>
    <w:rsid w:val="00442BF9"/>
    <w:rsid w:val="00443011"/>
    <w:rsid w:val="0044458B"/>
    <w:rsid w:val="00444EC4"/>
    <w:rsid w:val="00445813"/>
    <w:rsid w:val="00445BD9"/>
    <w:rsid w:val="0045057C"/>
    <w:rsid w:val="00451C54"/>
    <w:rsid w:val="00451DC5"/>
    <w:rsid w:val="004533F8"/>
    <w:rsid w:val="00453414"/>
    <w:rsid w:val="00455438"/>
    <w:rsid w:val="00455CF8"/>
    <w:rsid w:val="00457746"/>
    <w:rsid w:val="00462762"/>
    <w:rsid w:val="004648F1"/>
    <w:rsid w:val="00465D2D"/>
    <w:rsid w:val="004746BF"/>
    <w:rsid w:val="00475ED2"/>
    <w:rsid w:val="00476609"/>
    <w:rsid w:val="00480E74"/>
    <w:rsid w:val="00481180"/>
    <w:rsid w:val="0048296C"/>
    <w:rsid w:val="00484F33"/>
    <w:rsid w:val="00485352"/>
    <w:rsid w:val="00485804"/>
    <w:rsid w:val="00486BE9"/>
    <w:rsid w:val="00491128"/>
    <w:rsid w:val="00491282"/>
    <w:rsid w:val="00492392"/>
    <w:rsid w:val="004926BF"/>
    <w:rsid w:val="00495F09"/>
    <w:rsid w:val="0049730C"/>
    <w:rsid w:val="004A0B63"/>
    <w:rsid w:val="004A408D"/>
    <w:rsid w:val="004A5EC6"/>
    <w:rsid w:val="004B08EC"/>
    <w:rsid w:val="004B283B"/>
    <w:rsid w:val="004B2C30"/>
    <w:rsid w:val="004B37A3"/>
    <w:rsid w:val="004B3A1E"/>
    <w:rsid w:val="004B5571"/>
    <w:rsid w:val="004B6DFB"/>
    <w:rsid w:val="004C0C33"/>
    <w:rsid w:val="004C0DC7"/>
    <w:rsid w:val="004C188A"/>
    <w:rsid w:val="004C2130"/>
    <w:rsid w:val="004C4C36"/>
    <w:rsid w:val="004C5360"/>
    <w:rsid w:val="004C6EB3"/>
    <w:rsid w:val="004C74B2"/>
    <w:rsid w:val="004D028D"/>
    <w:rsid w:val="004D10D6"/>
    <w:rsid w:val="004D1884"/>
    <w:rsid w:val="004D2FB5"/>
    <w:rsid w:val="004D3A5C"/>
    <w:rsid w:val="004D414F"/>
    <w:rsid w:val="004D45A8"/>
    <w:rsid w:val="004D4669"/>
    <w:rsid w:val="004E0D8D"/>
    <w:rsid w:val="004E2092"/>
    <w:rsid w:val="004E2424"/>
    <w:rsid w:val="004E3FC0"/>
    <w:rsid w:val="004E59B0"/>
    <w:rsid w:val="004E5EFB"/>
    <w:rsid w:val="004E66F8"/>
    <w:rsid w:val="004F13E6"/>
    <w:rsid w:val="004F4049"/>
    <w:rsid w:val="004F41E9"/>
    <w:rsid w:val="004F5371"/>
    <w:rsid w:val="004F54CD"/>
    <w:rsid w:val="005008DE"/>
    <w:rsid w:val="00507B8D"/>
    <w:rsid w:val="00510758"/>
    <w:rsid w:val="00510AED"/>
    <w:rsid w:val="00512424"/>
    <w:rsid w:val="0051250F"/>
    <w:rsid w:val="00512575"/>
    <w:rsid w:val="005145A8"/>
    <w:rsid w:val="00514768"/>
    <w:rsid w:val="00514882"/>
    <w:rsid w:val="005216BD"/>
    <w:rsid w:val="0052560C"/>
    <w:rsid w:val="0052771B"/>
    <w:rsid w:val="00531484"/>
    <w:rsid w:val="0053236B"/>
    <w:rsid w:val="00536058"/>
    <w:rsid w:val="00536704"/>
    <w:rsid w:val="005433DA"/>
    <w:rsid w:val="00545717"/>
    <w:rsid w:val="00545745"/>
    <w:rsid w:val="0054595B"/>
    <w:rsid w:val="00546299"/>
    <w:rsid w:val="00547471"/>
    <w:rsid w:val="00550598"/>
    <w:rsid w:val="00550A03"/>
    <w:rsid w:val="005510BF"/>
    <w:rsid w:val="005516E6"/>
    <w:rsid w:val="00551721"/>
    <w:rsid w:val="00551F5D"/>
    <w:rsid w:val="005525E2"/>
    <w:rsid w:val="00552B74"/>
    <w:rsid w:val="00557EFA"/>
    <w:rsid w:val="005608E5"/>
    <w:rsid w:val="00562011"/>
    <w:rsid w:val="00562B9C"/>
    <w:rsid w:val="00573421"/>
    <w:rsid w:val="0057370D"/>
    <w:rsid w:val="00574B1B"/>
    <w:rsid w:val="005811C2"/>
    <w:rsid w:val="0058173E"/>
    <w:rsid w:val="0058319E"/>
    <w:rsid w:val="0058331C"/>
    <w:rsid w:val="00584CC7"/>
    <w:rsid w:val="005868A4"/>
    <w:rsid w:val="00587CF1"/>
    <w:rsid w:val="00590BB2"/>
    <w:rsid w:val="00591BC2"/>
    <w:rsid w:val="005931D1"/>
    <w:rsid w:val="00594577"/>
    <w:rsid w:val="00595296"/>
    <w:rsid w:val="00596DA4"/>
    <w:rsid w:val="005A1D7D"/>
    <w:rsid w:val="005A1FB7"/>
    <w:rsid w:val="005B017D"/>
    <w:rsid w:val="005B09A4"/>
    <w:rsid w:val="005B3777"/>
    <w:rsid w:val="005B43AF"/>
    <w:rsid w:val="005B49B1"/>
    <w:rsid w:val="005B744F"/>
    <w:rsid w:val="005B795E"/>
    <w:rsid w:val="005B7BBD"/>
    <w:rsid w:val="005B7CDB"/>
    <w:rsid w:val="005C21A2"/>
    <w:rsid w:val="005C3135"/>
    <w:rsid w:val="005C3D22"/>
    <w:rsid w:val="005C4083"/>
    <w:rsid w:val="005C5999"/>
    <w:rsid w:val="005C625E"/>
    <w:rsid w:val="005D1176"/>
    <w:rsid w:val="005D4567"/>
    <w:rsid w:val="005D569F"/>
    <w:rsid w:val="005E1E81"/>
    <w:rsid w:val="005E32E0"/>
    <w:rsid w:val="005E468F"/>
    <w:rsid w:val="005E55DC"/>
    <w:rsid w:val="005E64AB"/>
    <w:rsid w:val="005F4DDF"/>
    <w:rsid w:val="005F5F32"/>
    <w:rsid w:val="005F6BA0"/>
    <w:rsid w:val="005F7ABE"/>
    <w:rsid w:val="0060056F"/>
    <w:rsid w:val="00603039"/>
    <w:rsid w:val="00603C02"/>
    <w:rsid w:val="00605FC7"/>
    <w:rsid w:val="006070A7"/>
    <w:rsid w:val="00610349"/>
    <w:rsid w:val="006133FC"/>
    <w:rsid w:val="0061399E"/>
    <w:rsid w:val="006147E6"/>
    <w:rsid w:val="00615566"/>
    <w:rsid w:val="0061637E"/>
    <w:rsid w:val="0062018D"/>
    <w:rsid w:val="00622DA7"/>
    <w:rsid w:val="00622DC9"/>
    <w:rsid w:val="006230BB"/>
    <w:rsid w:val="00623A3A"/>
    <w:rsid w:val="00624921"/>
    <w:rsid w:val="00624DF5"/>
    <w:rsid w:val="00625162"/>
    <w:rsid w:val="0063054E"/>
    <w:rsid w:val="0063466A"/>
    <w:rsid w:val="00635C4C"/>
    <w:rsid w:val="006403A2"/>
    <w:rsid w:val="00643A05"/>
    <w:rsid w:val="00643E8E"/>
    <w:rsid w:val="006526FE"/>
    <w:rsid w:val="006539B2"/>
    <w:rsid w:val="0065557F"/>
    <w:rsid w:val="006556C5"/>
    <w:rsid w:val="00655F08"/>
    <w:rsid w:val="00657088"/>
    <w:rsid w:val="006613AC"/>
    <w:rsid w:val="0066371B"/>
    <w:rsid w:val="00663BEB"/>
    <w:rsid w:val="00663E57"/>
    <w:rsid w:val="00666075"/>
    <w:rsid w:val="006660C7"/>
    <w:rsid w:val="006734B7"/>
    <w:rsid w:val="00673CB1"/>
    <w:rsid w:val="00681F71"/>
    <w:rsid w:val="00682267"/>
    <w:rsid w:val="00682E24"/>
    <w:rsid w:val="00682F14"/>
    <w:rsid w:val="0068487F"/>
    <w:rsid w:val="00685582"/>
    <w:rsid w:val="00690987"/>
    <w:rsid w:val="00690AF4"/>
    <w:rsid w:val="00690B1B"/>
    <w:rsid w:val="006A03C6"/>
    <w:rsid w:val="006A04B4"/>
    <w:rsid w:val="006A05C3"/>
    <w:rsid w:val="006A5779"/>
    <w:rsid w:val="006A58E8"/>
    <w:rsid w:val="006B0556"/>
    <w:rsid w:val="006B1337"/>
    <w:rsid w:val="006B2611"/>
    <w:rsid w:val="006B28F8"/>
    <w:rsid w:val="006B711F"/>
    <w:rsid w:val="006C2693"/>
    <w:rsid w:val="006C2AD6"/>
    <w:rsid w:val="006D0FE5"/>
    <w:rsid w:val="006D2AEA"/>
    <w:rsid w:val="006D4D6F"/>
    <w:rsid w:val="006D7A3F"/>
    <w:rsid w:val="006E0A7E"/>
    <w:rsid w:val="006E16F0"/>
    <w:rsid w:val="006E2588"/>
    <w:rsid w:val="006E39B2"/>
    <w:rsid w:val="006E4224"/>
    <w:rsid w:val="006E500A"/>
    <w:rsid w:val="006E5AFC"/>
    <w:rsid w:val="006E79E6"/>
    <w:rsid w:val="006F0770"/>
    <w:rsid w:val="006F0AE7"/>
    <w:rsid w:val="006F3882"/>
    <w:rsid w:val="006F471A"/>
    <w:rsid w:val="006F527E"/>
    <w:rsid w:val="006F5783"/>
    <w:rsid w:val="006F5F08"/>
    <w:rsid w:val="006F6DD8"/>
    <w:rsid w:val="006F779E"/>
    <w:rsid w:val="007116DE"/>
    <w:rsid w:val="00713701"/>
    <w:rsid w:val="00715313"/>
    <w:rsid w:val="00717534"/>
    <w:rsid w:val="00717F47"/>
    <w:rsid w:val="00717FC7"/>
    <w:rsid w:val="00724571"/>
    <w:rsid w:val="00730970"/>
    <w:rsid w:val="00732687"/>
    <w:rsid w:val="0073385A"/>
    <w:rsid w:val="00734E79"/>
    <w:rsid w:val="0073502C"/>
    <w:rsid w:val="00735B45"/>
    <w:rsid w:val="007407AB"/>
    <w:rsid w:val="007418CC"/>
    <w:rsid w:val="00743471"/>
    <w:rsid w:val="00744610"/>
    <w:rsid w:val="00744C6E"/>
    <w:rsid w:val="00744FC4"/>
    <w:rsid w:val="00745F0A"/>
    <w:rsid w:val="00746ECD"/>
    <w:rsid w:val="00753613"/>
    <w:rsid w:val="0075524C"/>
    <w:rsid w:val="00761038"/>
    <w:rsid w:val="007618BA"/>
    <w:rsid w:val="00762B01"/>
    <w:rsid w:val="0076416F"/>
    <w:rsid w:val="007658CD"/>
    <w:rsid w:val="0076680F"/>
    <w:rsid w:val="007704F8"/>
    <w:rsid w:val="00771831"/>
    <w:rsid w:val="0077344B"/>
    <w:rsid w:val="007758C9"/>
    <w:rsid w:val="0077659A"/>
    <w:rsid w:val="00780B7B"/>
    <w:rsid w:val="007810D8"/>
    <w:rsid w:val="00783550"/>
    <w:rsid w:val="00783657"/>
    <w:rsid w:val="00786F15"/>
    <w:rsid w:val="007907C6"/>
    <w:rsid w:val="0079085D"/>
    <w:rsid w:val="0079206A"/>
    <w:rsid w:val="00792F36"/>
    <w:rsid w:val="0079351C"/>
    <w:rsid w:val="00794D5E"/>
    <w:rsid w:val="007A0C77"/>
    <w:rsid w:val="007A2433"/>
    <w:rsid w:val="007A2ADD"/>
    <w:rsid w:val="007A3B8A"/>
    <w:rsid w:val="007A4033"/>
    <w:rsid w:val="007A73A3"/>
    <w:rsid w:val="007A752B"/>
    <w:rsid w:val="007A7887"/>
    <w:rsid w:val="007B0B46"/>
    <w:rsid w:val="007B13DC"/>
    <w:rsid w:val="007B22C8"/>
    <w:rsid w:val="007B4090"/>
    <w:rsid w:val="007B5E75"/>
    <w:rsid w:val="007B76AD"/>
    <w:rsid w:val="007B7751"/>
    <w:rsid w:val="007C07E6"/>
    <w:rsid w:val="007C1004"/>
    <w:rsid w:val="007C3385"/>
    <w:rsid w:val="007C431A"/>
    <w:rsid w:val="007C7836"/>
    <w:rsid w:val="007D0025"/>
    <w:rsid w:val="007D04FB"/>
    <w:rsid w:val="007D39F3"/>
    <w:rsid w:val="007D3FD3"/>
    <w:rsid w:val="007D6A43"/>
    <w:rsid w:val="007D785C"/>
    <w:rsid w:val="007E0240"/>
    <w:rsid w:val="007E1802"/>
    <w:rsid w:val="007E1B8D"/>
    <w:rsid w:val="007E2DAA"/>
    <w:rsid w:val="007E34B2"/>
    <w:rsid w:val="007E6B3D"/>
    <w:rsid w:val="007E6B67"/>
    <w:rsid w:val="007F0602"/>
    <w:rsid w:val="007F2053"/>
    <w:rsid w:val="007F2F0C"/>
    <w:rsid w:val="007F5490"/>
    <w:rsid w:val="007F6435"/>
    <w:rsid w:val="007F7BC6"/>
    <w:rsid w:val="0080066E"/>
    <w:rsid w:val="008014D8"/>
    <w:rsid w:val="00801B22"/>
    <w:rsid w:val="00802660"/>
    <w:rsid w:val="00803163"/>
    <w:rsid w:val="0080335B"/>
    <w:rsid w:val="00803948"/>
    <w:rsid w:val="008061AD"/>
    <w:rsid w:val="008062F0"/>
    <w:rsid w:val="008074F3"/>
    <w:rsid w:val="008142C6"/>
    <w:rsid w:val="00814792"/>
    <w:rsid w:val="00820941"/>
    <w:rsid w:val="008245FE"/>
    <w:rsid w:val="0082634D"/>
    <w:rsid w:val="00826843"/>
    <w:rsid w:val="00827502"/>
    <w:rsid w:val="00831D3E"/>
    <w:rsid w:val="008330D0"/>
    <w:rsid w:val="00833C81"/>
    <w:rsid w:val="00836F27"/>
    <w:rsid w:val="0084162A"/>
    <w:rsid w:val="00841B5A"/>
    <w:rsid w:val="0084456B"/>
    <w:rsid w:val="0084650B"/>
    <w:rsid w:val="00850B49"/>
    <w:rsid w:val="00851ABC"/>
    <w:rsid w:val="00851B55"/>
    <w:rsid w:val="00857487"/>
    <w:rsid w:val="00861EDC"/>
    <w:rsid w:val="00864D1A"/>
    <w:rsid w:val="00866AFA"/>
    <w:rsid w:val="0087057A"/>
    <w:rsid w:val="0087351C"/>
    <w:rsid w:val="0087554F"/>
    <w:rsid w:val="00882BCE"/>
    <w:rsid w:val="00885F3C"/>
    <w:rsid w:val="0088740F"/>
    <w:rsid w:val="008921FA"/>
    <w:rsid w:val="008A1AFF"/>
    <w:rsid w:val="008A216E"/>
    <w:rsid w:val="008A38FA"/>
    <w:rsid w:val="008A3AF7"/>
    <w:rsid w:val="008A4D3A"/>
    <w:rsid w:val="008A6C2E"/>
    <w:rsid w:val="008A76A4"/>
    <w:rsid w:val="008B14F1"/>
    <w:rsid w:val="008B18AF"/>
    <w:rsid w:val="008B1C31"/>
    <w:rsid w:val="008B217F"/>
    <w:rsid w:val="008B2E54"/>
    <w:rsid w:val="008B5229"/>
    <w:rsid w:val="008B60F4"/>
    <w:rsid w:val="008B62AE"/>
    <w:rsid w:val="008B62B3"/>
    <w:rsid w:val="008B7D46"/>
    <w:rsid w:val="008C0166"/>
    <w:rsid w:val="008C0530"/>
    <w:rsid w:val="008C09DC"/>
    <w:rsid w:val="008C1FD7"/>
    <w:rsid w:val="008C70A3"/>
    <w:rsid w:val="008C724B"/>
    <w:rsid w:val="008D0E4E"/>
    <w:rsid w:val="008D1642"/>
    <w:rsid w:val="008D4147"/>
    <w:rsid w:val="008D4309"/>
    <w:rsid w:val="008D435D"/>
    <w:rsid w:val="008D6781"/>
    <w:rsid w:val="008D68C2"/>
    <w:rsid w:val="008E30EE"/>
    <w:rsid w:val="008E47A5"/>
    <w:rsid w:val="008E4D0C"/>
    <w:rsid w:val="008E6DC5"/>
    <w:rsid w:val="008E74EC"/>
    <w:rsid w:val="008E77B8"/>
    <w:rsid w:val="008F05C8"/>
    <w:rsid w:val="008F0FDD"/>
    <w:rsid w:val="008F3E75"/>
    <w:rsid w:val="008F44ED"/>
    <w:rsid w:val="008F5AA8"/>
    <w:rsid w:val="0090085C"/>
    <w:rsid w:val="00900F1D"/>
    <w:rsid w:val="00903626"/>
    <w:rsid w:val="00903DD9"/>
    <w:rsid w:val="009055F9"/>
    <w:rsid w:val="0090591C"/>
    <w:rsid w:val="00906F91"/>
    <w:rsid w:val="0090745B"/>
    <w:rsid w:val="00910079"/>
    <w:rsid w:val="009102CF"/>
    <w:rsid w:val="009103D8"/>
    <w:rsid w:val="00911133"/>
    <w:rsid w:val="00912961"/>
    <w:rsid w:val="00912F07"/>
    <w:rsid w:val="009130BC"/>
    <w:rsid w:val="009159C7"/>
    <w:rsid w:val="00915FAF"/>
    <w:rsid w:val="009168E5"/>
    <w:rsid w:val="00916935"/>
    <w:rsid w:val="00922CB2"/>
    <w:rsid w:val="00922E55"/>
    <w:rsid w:val="009243A6"/>
    <w:rsid w:val="00925CFF"/>
    <w:rsid w:val="00926945"/>
    <w:rsid w:val="00930515"/>
    <w:rsid w:val="00930B46"/>
    <w:rsid w:val="00932940"/>
    <w:rsid w:val="0093334F"/>
    <w:rsid w:val="0093494D"/>
    <w:rsid w:val="00934965"/>
    <w:rsid w:val="00935C6B"/>
    <w:rsid w:val="00935DB3"/>
    <w:rsid w:val="0093665F"/>
    <w:rsid w:val="00936AA1"/>
    <w:rsid w:val="00936DAD"/>
    <w:rsid w:val="00936DFD"/>
    <w:rsid w:val="00937849"/>
    <w:rsid w:val="00940964"/>
    <w:rsid w:val="00940CFB"/>
    <w:rsid w:val="009465F1"/>
    <w:rsid w:val="00953AB6"/>
    <w:rsid w:val="00955FE1"/>
    <w:rsid w:val="00956B3B"/>
    <w:rsid w:val="00957ED9"/>
    <w:rsid w:val="009603A2"/>
    <w:rsid w:val="00960F31"/>
    <w:rsid w:val="0096188D"/>
    <w:rsid w:val="00961B6B"/>
    <w:rsid w:val="00962702"/>
    <w:rsid w:val="00967253"/>
    <w:rsid w:val="00970331"/>
    <w:rsid w:val="00970874"/>
    <w:rsid w:val="009721B0"/>
    <w:rsid w:val="00977029"/>
    <w:rsid w:val="0098169E"/>
    <w:rsid w:val="00983004"/>
    <w:rsid w:val="0098599B"/>
    <w:rsid w:val="00985AA9"/>
    <w:rsid w:val="00991423"/>
    <w:rsid w:val="009919A9"/>
    <w:rsid w:val="00992E72"/>
    <w:rsid w:val="009977FA"/>
    <w:rsid w:val="009A144C"/>
    <w:rsid w:val="009A2A61"/>
    <w:rsid w:val="009A7DBC"/>
    <w:rsid w:val="009B07FE"/>
    <w:rsid w:val="009B3E3A"/>
    <w:rsid w:val="009B405E"/>
    <w:rsid w:val="009B5128"/>
    <w:rsid w:val="009B6508"/>
    <w:rsid w:val="009C029E"/>
    <w:rsid w:val="009C4015"/>
    <w:rsid w:val="009C52B4"/>
    <w:rsid w:val="009D0880"/>
    <w:rsid w:val="009D2DA5"/>
    <w:rsid w:val="009E1B00"/>
    <w:rsid w:val="009E2416"/>
    <w:rsid w:val="009E718F"/>
    <w:rsid w:val="009F1B14"/>
    <w:rsid w:val="009F2F87"/>
    <w:rsid w:val="009F4620"/>
    <w:rsid w:val="009F5285"/>
    <w:rsid w:val="009F55E4"/>
    <w:rsid w:val="009F6438"/>
    <w:rsid w:val="00A00AA3"/>
    <w:rsid w:val="00A011FF"/>
    <w:rsid w:val="00A0244B"/>
    <w:rsid w:val="00A029B5"/>
    <w:rsid w:val="00A0308E"/>
    <w:rsid w:val="00A03964"/>
    <w:rsid w:val="00A05A3E"/>
    <w:rsid w:val="00A105C6"/>
    <w:rsid w:val="00A11F20"/>
    <w:rsid w:val="00A14B79"/>
    <w:rsid w:val="00A1679E"/>
    <w:rsid w:val="00A170EB"/>
    <w:rsid w:val="00A17EAE"/>
    <w:rsid w:val="00A22523"/>
    <w:rsid w:val="00A22911"/>
    <w:rsid w:val="00A23C56"/>
    <w:rsid w:val="00A26963"/>
    <w:rsid w:val="00A26DE9"/>
    <w:rsid w:val="00A301E9"/>
    <w:rsid w:val="00A308A0"/>
    <w:rsid w:val="00A31D42"/>
    <w:rsid w:val="00A31FF8"/>
    <w:rsid w:val="00A32FC5"/>
    <w:rsid w:val="00A32FF5"/>
    <w:rsid w:val="00A336C8"/>
    <w:rsid w:val="00A33F56"/>
    <w:rsid w:val="00A35B90"/>
    <w:rsid w:val="00A35C19"/>
    <w:rsid w:val="00A4055A"/>
    <w:rsid w:val="00A40616"/>
    <w:rsid w:val="00A42113"/>
    <w:rsid w:val="00A43B06"/>
    <w:rsid w:val="00A44802"/>
    <w:rsid w:val="00A448FB"/>
    <w:rsid w:val="00A44DFA"/>
    <w:rsid w:val="00A461F2"/>
    <w:rsid w:val="00A471FF"/>
    <w:rsid w:val="00A51047"/>
    <w:rsid w:val="00A5156B"/>
    <w:rsid w:val="00A52A10"/>
    <w:rsid w:val="00A52D66"/>
    <w:rsid w:val="00A53171"/>
    <w:rsid w:val="00A535B9"/>
    <w:rsid w:val="00A546EF"/>
    <w:rsid w:val="00A551FD"/>
    <w:rsid w:val="00A55978"/>
    <w:rsid w:val="00A61EE7"/>
    <w:rsid w:val="00A620D7"/>
    <w:rsid w:val="00A624EE"/>
    <w:rsid w:val="00A636F3"/>
    <w:rsid w:val="00A6436A"/>
    <w:rsid w:val="00A64707"/>
    <w:rsid w:val="00A72386"/>
    <w:rsid w:val="00A72AE3"/>
    <w:rsid w:val="00A75852"/>
    <w:rsid w:val="00A814B2"/>
    <w:rsid w:val="00A82C49"/>
    <w:rsid w:val="00A8331F"/>
    <w:rsid w:val="00A8370A"/>
    <w:rsid w:val="00A846D0"/>
    <w:rsid w:val="00A858EC"/>
    <w:rsid w:val="00A900A2"/>
    <w:rsid w:val="00A909B6"/>
    <w:rsid w:val="00A90AD4"/>
    <w:rsid w:val="00A91184"/>
    <w:rsid w:val="00A92095"/>
    <w:rsid w:val="00A9555E"/>
    <w:rsid w:val="00AA0D95"/>
    <w:rsid w:val="00AA3FEE"/>
    <w:rsid w:val="00AA54F0"/>
    <w:rsid w:val="00AA60A9"/>
    <w:rsid w:val="00AA654B"/>
    <w:rsid w:val="00AA77C9"/>
    <w:rsid w:val="00AB096B"/>
    <w:rsid w:val="00AB1092"/>
    <w:rsid w:val="00AB1627"/>
    <w:rsid w:val="00AB2B72"/>
    <w:rsid w:val="00AB2C14"/>
    <w:rsid w:val="00AB320C"/>
    <w:rsid w:val="00AB3AE5"/>
    <w:rsid w:val="00AB3EF4"/>
    <w:rsid w:val="00AB46A2"/>
    <w:rsid w:val="00AC22B5"/>
    <w:rsid w:val="00AC22C3"/>
    <w:rsid w:val="00AC26B1"/>
    <w:rsid w:val="00AC2DC9"/>
    <w:rsid w:val="00AC31B9"/>
    <w:rsid w:val="00AC4369"/>
    <w:rsid w:val="00AD6671"/>
    <w:rsid w:val="00AE45B4"/>
    <w:rsid w:val="00AF126F"/>
    <w:rsid w:val="00AF38B2"/>
    <w:rsid w:val="00AF5478"/>
    <w:rsid w:val="00AF75E5"/>
    <w:rsid w:val="00B0163B"/>
    <w:rsid w:val="00B01F80"/>
    <w:rsid w:val="00B025F0"/>
    <w:rsid w:val="00B0351D"/>
    <w:rsid w:val="00B05E9D"/>
    <w:rsid w:val="00B101FC"/>
    <w:rsid w:val="00B13775"/>
    <w:rsid w:val="00B1459B"/>
    <w:rsid w:val="00B14E2D"/>
    <w:rsid w:val="00B14FC2"/>
    <w:rsid w:val="00B20B77"/>
    <w:rsid w:val="00B20DB8"/>
    <w:rsid w:val="00B22B8D"/>
    <w:rsid w:val="00B2342F"/>
    <w:rsid w:val="00B237DD"/>
    <w:rsid w:val="00B24EFB"/>
    <w:rsid w:val="00B24F1C"/>
    <w:rsid w:val="00B25584"/>
    <w:rsid w:val="00B266DB"/>
    <w:rsid w:val="00B35A64"/>
    <w:rsid w:val="00B3613C"/>
    <w:rsid w:val="00B36885"/>
    <w:rsid w:val="00B40744"/>
    <w:rsid w:val="00B436FB"/>
    <w:rsid w:val="00B4485B"/>
    <w:rsid w:val="00B50F2E"/>
    <w:rsid w:val="00B51F89"/>
    <w:rsid w:val="00B526F7"/>
    <w:rsid w:val="00B5279D"/>
    <w:rsid w:val="00B53820"/>
    <w:rsid w:val="00B6128D"/>
    <w:rsid w:val="00B62B91"/>
    <w:rsid w:val="00B63556"/>
    <w:rsid w:val="00B638C1"/>
    <w:rsid w:val="00B6620B"/>
    <w:rsid w:val="00B67380"/>
    <w:rsid w:val="00B71C71"/>
    <w:rsid w:val="00B72317"/>
    <w:rsid w:val="00B74341"/>
    <w:rsid w:val="00B778AB"/>
    <w:rsid w:val="00B8451B"/>
    <w:rsid w:val="00B864B1"/>
    <w:rsid w:val="00B94337"/>
    <w:rsid w:val="00B95EDB"/>
    <w:rsid w:val="00B97670"/>
    <w:rsid w:val="00BA105B"/>
    <w:rsid w:val="00BA14C7"/>
    <w:rsid w:val="00BA19B7"/>
    <w:rsid w:val="00BA6121"/>
    <w:rsid w:val="00BA6A54"/>
    <w:rsid w:val="00BB0B39"/>
    <w:rsid w:val="00BB3971"/>
    <w:rsid w:val="00BB4C52"/>
    <w:rsid w:val="00BB60D5"/>
    <w:rsid w:val="00BB696B"/>
    <w:rsid w:val="00BB6B16"/>
    <w:rsid w:val="00BB6C3D"/>
    <w:rsid w:val="00BB6D54"/>
    <w:rsid w:val="00BB7770"/>
    <w:rsid w:val="00BC23E6"/>
    <w:rsid w:val="00BC253C"/>
    <w:rsid w:val="00BC423C"/>
    <w:rsid w:val="00BC4DF7"/>
    <w:rsid w:val="00BC6E5F"/>
    <w:rsid w:val="00BD1A56"/>
    <w:rsid w:val="00BD1D6E"/>
    <w:rsid w:val="00BD2B7D"/>
    <w:rsid w:val="00BD50C1"/>
    <w:rsid w:val="00BE19A5"/>
    <w:rsid w:val="00BE313C"/>
    <w:rsid w:val="00BE6AFA"/>
    <w:rsid w:val="00BE7D5D"/>
    <w:rsid w:val="00BF1BA1"/>
    <w:rsid w:val="00BF2F54"/>
    <w:rsid w:val="00BF3FAE"/>
    <w:rsid w:val="00BF5191"/>
    <w:rsid w:val="00BF52B9"/>
    <w:rsid w:val="00BF662B"/>
    <w:rsid w:val="00BF6937"/>
    <w:rsid w:val="00C00A86"/>
    <w:rsid w:val="00C01554"/>
    <w:rsid w:val="00C01CCF"/>
    <w:rsid w:val="00C034C5"/>
    <w:rsid w:val="00C04CFF"/>
    <w:rsid w:val="00C0536E"/>
    <w:rsid w:val="00C12A76"/>
    <w:rsid w:val="00C13B66"/>
    <w:rsid w:val="00C14F9F"/>
    <w:rsid w:val="00C15E72"/>
    <w:rsid w:val="00C16122"/>
    <w:rsid w:val="00C16522"/>
    <w:rsid w:val="00C20B69"/>
    <w:rsid w:val="00C31282"/>
    <w:rsid w:val="00C3148F"/>
    <w:rsid w:val="00C3352E"/>
    <w:rsid w:val="00C34834"/>
    <w:rsid w:val="00C348E6"/>
    <w:rsid w:val="00C408F1"/>
    <w:rsid w:val="00C40939"/>
    <w:rsid w:val="00C420B4"/>
    <w:rsid w:val="00C45BF7"/>
    <w:rsid w:val="00C45CF3"/>
    <w:rsid w:val="00C460FC"/>
    <w:rsid w:val="00C476DB"/>
    <w:rsid w:val="00C479D2"/>
    <w:rsid w:val="00C55224"/>
    <w:rsid w:val="00C60945"/>
    <w:rsid w:val="00C6401E"/>
    <w:rsid w:val="00C650A6"/>
    <w:rsid w:val="00C65E62"/>
    <w:rsid w:val="00C66630"/>
    <w:rsid w:val="00C66A3A"/>
    <w:rsid w:val="00C67383"/>
    <w:rsid w:val="00C70021"/>
    <w:rsid w:val="00C70040"/>
    <w:rsid w:val="00C70375"/>
    <w:rsid w:val="00C71DF5"/>
    <w:rsid w:val="00C74C4D"/>
    <w:rsid w:val="00C75296"/>
    <w:rsid w:val="00C76C1B"/>
    <w:rsid w:val="00C77909"/>
    <w:rsid w:val="00C80088"/>
    <w:rsid w:val="00C814B2"/>
    <w:rsid w:val="00C82CE8"/>
    <w:rsid w:val="00C833D2"/>
    <w:rsid w:val="00C84367"/>
    <w:rsid w:val="00C866AE"/>
    <w:rsid w:val="00C873F0"/>
    <w:rsid w:val="00C877F9"/>
    <w:rsid w:val="00C91622"/>
    <w:rsid w:val="00C91CF8"/>
    <w:rsid w:val="00C926D3"/>
    <w:rsid w:val="00C9453D"/>
    <w:rsid w:val="00C971E9"/>
    <w:rsid w:val="00C97DB9"/>
    <w:rsid w:val="00CA7969"/>
    <w:rsid w:val="00CB2100"/>
    <w:rsid w:val="00CB32A0"/>
    <w:rsid w:val="00CB35D4"/>
    <w:rsid w:val="00CB380C"/>
    <w:rsid w:val="00CB434D"/>
    <w:rsid w:val="00CB43D2"/>
    <w:rsid w:val="00CB5929"/>
    <w:rsid w:val="00CC0B64"/>
    <w:rsid w:val="00CC286A"/>
    <w:rsid w:val="00CC5096"/>
    <w:rsid w:val="00CD2080"/>
    <w:rsid w:val="00CD2BC4"/>
    <w:rsid w:val="00CD2E00"/>
    <w:rsid w:val="00CD4136"/>
    <w:rsid w:val="00CD453F"/>
    <w:rsid w:val="00CD5978"/>
    <w:rsid w:val="00CD6975"/>
    <w:rsid w:val="00CD7C43"/>
    <w:rsid w:val="00CE1426"/>
    <w:rsid w:val="00CE25CF"/>
    <w:rsid w:val="00CE4C72"/>
    <w:rsid w:val="00CE5321"/>
    <w:rsid w:val="00CE6F96"/>
    <w:rsid w:val="00CE7936"/>
    <w:rsid w:val="00CF0F3B"/>
    <w:rsid w:val="00CF1EB7"/>
    <w:rsid w:val="00CF38AE"/>
    <w:rsid w:val="00CF6019"/>
    <w:rsid w:val="00CF6720"/>
    <w:rsid w:val="00CF7718"/>
    <w:rsid w:val="00D017AD"/>
    <w:rsid w:val="00D02A70"/>
    <w:rsid w:val="00D0355E"/>
    <w:rsid w:val="00D05040"/>
    <w:rsid w:val="00D051D8"/>
    <w:rsid w:val="00D11290"/>
    <w:rsid w:val="00D12788"/>
    <w:rsid w:val="00D20C75"/>
    <w:rsid w:val="00D21DBD"/>
    <w:rsid w:val="00D22086"/>
    <w:rsid w:val="00D22889"/>
    <w:rsid w:val="00D23FFF"/>
    <w:rsid w:val="00D27493"/>
    <w:rsid w:val="00D305D7"/>
    <w:rsid w:val="00D3175B"/>
    <w:rsid w:val="00D36386"/>
    <w:rsid w:val="00D3772E"/>
    <w:rsid w:val="00D40227"/>
    <w:rsid w:val="00D41679"/>
    <w:rsid w:val="00D416E1"/>
    <w:rsid w:val="00D4341A"/>
    <w:rsid w:val="00D438B6"/>
    <w:rsid w:val="00D46E80"/>
    <w:rsid w:val="00D47253"/>
    <w:rsid w:val="00D472B9"/>
    <w:rsid w:val="00D5085C"/>
    <w:rsid w:val="00D542F0"/>
    <w:rsid w:val="00D54B74"/>
    <w:rsid w:val="00D5581E"/>
    <w:rsid w:val="00D55D88"/>
    <w:rsid w:val="00D60342"/>
    <w:rsid w:val="00D61847"/>
    <w:rsid w:val="00D6601C"/>
    <w:rsid w:val="00D66FB4"/>
    <w:rsid w:val="00D67335"/>
    <w:rsid w:val="00D678D2"/>
    <w:rsid w:val="00D706B2"/>
    <w:rsid w:val="00D715DB"/>
    <w:rsid w:val="00D73146"/>
    <w:rsid w:val="00D73D13"/>
    <w:rsid w:val="00D75367"/>
    <w:rsid w:val="00D7798C"/>
    <w:rsid w:val="00D8401C"/>
    <w:rsid w:val="00D84E91"/>
    <w:rsid w:val="00D858A3"/>
    <w:rsid w:val="00D862C8"/>
    <w:rsid w:val="00D86B31"/>
    <w:rsid w:val="00D8737E"/>
    <w:rsid w:val="00D9125C"/>
    <w:rsid w:val="00D91753"/>
    <w:rsid w:val="00D918DF"/>
    <w:rsid w:val="00D96630"/>
    <w:rsid w:val="00DA1B5D"/>
    <w:rsid w:val="00DA33FD"/>
    <w:rsid w:val="00DB08CC"/>
    <w:rsid w:val="00DB0F4E"/>
    <w:rsid w:val="00DB2C71"/>
    <w:rsid w:val="00DB490C"/>
    <w:rsid w:val="00DB5FED"/>
    <w:rsid w:val="00DC21C0"/>
    <w:rsid w:val="00DC30CB"/>
    <w:rsid w:val="00DD164C"/>
    <w:rsid w:val="00DD3767"/>
    <w:rsid w:val="00DD60EB"/>
    <w:rsid w:val="00DD71D8"/>
    <w:rsid w:val="00DD72FF"/>
    <w:rsid w:val="00DD7D85"/>
    <w:rsid w:val="00DE1076"/>
    <w:rsid w:val="00DE301B"/>
    <w:rsid w:val="00DE3376"/>
    <w:rsid w:val="00DE3FFA"/>
    <w:rsid w:val="00DE5AAE"/>
    <w:rsid w:val="00DF12E6"/>
    <w:rsid w:val="00DF217B"/>
    <w:rsid w:val="00DF4684"/>
    <w:rsid w:val="00DF54D4"/>
    <w:rsid w:val="00DF7FF2"/>
    <w:rsid w:val="00E00A2E"/>
    <w:rsid w:val="00E02F0E"/>
    <w:rsid w:val="00E07C86"/>
    <w:rsid w:val="00E10598"/>
    <w:rsid w:val="00E13D7F"/>
    <w:rsid w:val="00E14F1A"/>
    <w:rsid w:val="00E176C8"/>
    <w:rsid w:val="00E20F22"/>
    <w:rsid w:val="00E32D36"/>
    <w:rsid w:val="00E418D5"/>
    <w:rsid w:val="00E425A9"/>
    <w:rsid w:val="00E43F6C"/>
    <w:rsid w:val="00E45209"/>
    <w:rsid w:val="00E46725"/>
    <w:rsid w:val="00E470A5"/>
    <w:rsid w:val="00E50F7D"/>
    <w:rsid w:val="00E514AE"/>
    <w:rsid w:val="00E534EF"/>
    <w:rsid w:val="00E54749"/>
    <w:rsid w:val="00E572CF"/>
    <w:rsid w:val="00E60880"/>
    <w:rsid w:val="00E615A0"/>
    <w:rsid w:val="00E66804"/>
    <w:rsid w:val="00E670F0"/>
    <w:rsid w:val="00E67315"/>
    <w:rsid w:val="00E71D70"/>
    <w:rsid w:val="00E72258"/>
    <w:rsid w:val="00E73BFD"/>
    <w:rsid w:val="00E80AFB"/>
    <w:rsid w:val="00E82B82"/>
    <w:rsid w:val="00E831BB"/>
    <w:rsid w:val="00E8388D"/>
    <w:rsid w:val="00E855A2"/>
    <w:rsid w:val="00E9049E"/>
    <w:rsid w:val="00E91920"/>
    <w:rsid w:val="00E92C4D"/>
    <w:rsid w:val="00E9546E"/>
    <w:rsid w:val="00E96BD5"/>
    <w:rsid w:val="00E97BED"/>
    <w:rsid w:val="00EA0507"/>
    <w:rsid w:val="00EA09EF"/>
    <w:rsid w:val="00EA3B5E"/>
    <w:rsid w:val="00EA5F1D"/>
    <w:rsid w:val="00EA6715"/>
    <w:rsid w:val="00EA7A28"/>
    <w:rsid w:val="00EB1CB4"/>
    <w:rsid w:val="00EB329B"/>
    <w:rsid w:val="00EB336D"/>
    <w:rsid w:val="00EB4E37"/>
    <w:rsid w:val="00EB5F97"/>
    <w:rsid w:val="00EB6592"/>
    <w:rsid w:val="00EB6E66"/>
    <w:rsid w:val="00EC19C2"/>
    <w:rsid w:val="00EC1E1C"/>
    <w:rsid w:val="00EC2F74"/>
    <w:rsid w:val="00EC6F20"/>
    <w:rsid w:val="00EC721B"/>
    <w:rsid w:val="00EC7307"/>
    <w:rsid w:val="00EC735A"/>
    <w:rsid w:val="00ED0013"/>
    <w:rsid w:val="00ED1057"/>
    <w:rsid w:val="00ED4456"/>
    <w:rsid w:val="00ED60D9"/>
    <w:rsid w:val="00EE0334"/>
    <w:rsid w:val="00EE0780"/>
    <w:rsid w:val="00EE3EAE"/>
    <w:rsid w:val="00EE5CAE"/>
    <w:rsid w:val="00EE6619"/>
    <w:rsid w:val="00EE6C3F"/>
    <w:rsid w:val="00EF013F"/>
    <w:rsid w:val="00EF0203"/>
    <w:rsid w:val="00EF5EB5"/>
    <w:rsid w:val="00EF60F3"/>
    <w:rsid w:val="00EF73FF"/>
    <w:rsid w:val="00F02300"/>
    <w:rsid w:val="00F0293A"/>
    <w:rsid w:val="00F02C19"/>
    <w:rsid w:val="00F05B91"/>
    <w:rsid w:val="00F05B95"/>
    <w:rsid w:val="00F05F38"/>
    <w:rsid w:val="00F12178"/>
    <w:rsid w:val="00F12D8A"/>
    <w:rsid w:val="00F15ECA"/>
    <w:rsid w:val="00F16C77"/>
    <w:rsid w:val="00F1778F"/>
    <w:rsid w:val="00F26E83"/>
    <w:rsid w:val="00F30AA1"/>
    <w:rsid w:val="00F31CB2"/>
    <w:rsid w:val="00F33C87"/>
    <w:rsid w:val="00F34404"/>
    <w:rsid w:val="00F34BB2"/>
    <w:rsid w:val="00F35119"/>
    <w:rsid w:val="00F370A3"/>
    <w:rsid w:val="00F37C79"/>
    <w:rsid w:val="00F41A70"/>
    <w:rsid w:val="00F42273"/>
    <w:rsid w:val="00F443EB"/>
    <w:rsid w:val="00F45668"/>
    <w:rsid w:val="00F47376"/>
    <w:rsid w:val="00F50FCE"/>
    <w:rsid w:val="00F51F7E"/>
    <w:rsid w:val="00F563F5"/>
    <w:rsid w:val="00F5756C"/>
    <w:rsid w:val="00F62D10"/>
    <w:rsid w:val="00F62D17"/>
    <w:rsid w:val="00F65385"/>
    <w:rsid w:val="00F66856"/>
    <w:rsid w:val="00F6713C"/>
    <w:rsid w:val="00F714AC"/>
    <w:rsid w:val="00F71EC3"/>
    <w:rsid w:val="00F722F7"/>
    <w:rsid w:val="00F7289A"/>
    <w:rsid w:val="00F74E5D"/>
    <w:rsid w:val="00F772CE"/>
    <w:rsid w:val="00F815CD"/>
    <w:rsid w:val="00F815EE"/>
    <w:rsid w:val="00F817E2"/>
    <w:rsid w:val="00F82F00"/>
    <w:rsid w:val="00F84B35"/>
    <w:rsid w:val="00F858E3"/>
    <w:rsid w:val="00F86FF3"/>
    <w:rsid w:val="00F87432"/>
    <w:rsid w:val="00F910E7"/>
    <w:rsid w:val="00F936BA"/>
    <w:rsid w:val="00F940B7"/>
    <w:rsid w:val="00F94EEB"/>
    <w:rsid w:val="00FA01E4"/>
    <w:rsid w:val="00FA56EE"/>
    <w:rsid w:val="00FA7150"/>
    <w:rsid w:val="00FB0754"/>
    <w:rsid w:val="00FB49D9"/>
    <w:rsid w:val="00FB4CF6"/>
    <w:rsid w:val="00FB55A0"/>
    <w:rsid w:val="00FC06CD"/>
    <w:rsid w:val="00FC0A54"/>
    <w:rsid w:val="00FC3C76"/>
    <w:rsid w:val="00FC4264"/>
    <w:rsid w:val="00FC75B7"/>
    <w:rsid w:val="00FD098D"/>
    <w:rsid w:val="00FD111E"/>
    <w:rsid w:val="00FD44A1"/>
    <w:rsid w:val="00FD4906"/>
    <w:rsid w:val="00FD6BBD"/>
    <w:rsid w:val="00FD72E1"/>
    <w:rsid w:val="00FE05A8"/>
    <w:rsid w:val="00FE0EC9"/>
    <w:rsid w:val="00FE271C"/>
    <w:rsid w:val="00FE2D72"/>
    <w:rsid w:val="00FE3335"/>
    <w:rsid w:val="00FE6940"/>
    <w:rsid w:val="00FF3C67"/>
    <w:rsid w:val="00FF45B7"/>
    <w:rsid w:val="00FF6A62"/>
    <w:rsid w:val="00FF79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15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 w:val="24"/>
        <w:szCs w:val="24"/>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79"/>
    <w:pPr>
      <w:ind w:left="720"/>
      <w:contextualSpacing/>
    </w:pPr>
  </w:style>
  <w:style w:type="paragraph" w:styleId="a4">
    <w:name w:val="Balloon Text"/>
    <w:basedOn w:val="a"/>
    <w:link w:val="a5"/>
    <w:uiPriority w:val="99"/>
    <w:semiHidden/>
    <w:unhideWhenUsed/>
    <w:rsid w:val="005F5F3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5F5F32"/>
    <w:rPr>
      <w:rFonts w:ascii="Tahoma" w:hAnsi="Tahoma" w:cs="Tahoma"/>
      <w:sz w:val="18"/>
      <w:szCs w:val="18"/>
    </w:rPr>
  </w:style>
  <w:style w:type="paragraph" w:styleId="a6">
    <w:name w:val="footnote text"/>
    <w:basedOn w:val="a"/>
    <w:link w:val="a7"/>
    <w:uiPriority w:val="99"/>
    <w:unhideWhenUsed/>
    <w:rsid w:val="00AB46A2"/>
    <w:pPr>
      <w:spacing w:after="0" w:line="240" w:lineRule="auto"/>
    </w:pPr>
    <w:rPr>
      <w:sz w:val="20"/>
      <w:szCs w:val="20"/>
    </w:rPr>
  </w:style>
  <w:style w:type="character" w:customStyle="1" w:styleId="a7">
    <w:name w:val="טקסט הערת שוליים תו"/>
    <w:basedOn w:val="a0"/>
    <w:link w:val="a6"/>
    <w:uiPriority w:val="99"/>
    <w:rsid w:val="00AB46A2"/>
    <w:rPr>
      <w:sz w:val="20"/>
      <w:szCs w:val="20"/>
    </w:rPr>
  </w:style>
  <w:style w:type="character" w:styleId="a8">
    <w:name w:val="footnote reference"/>
    <w:basedOn w:val="a0"/>
    <w:uiPriority w:val="99"/>
    <w:semiHidden/>
    <w:unhideWhenUsed/>
    <w:rsid w:val="00AB46A2"/>
    <w:rPr>
      <w:vertAlign w:val="superscript"/>
    </w:rPr>
  </w:style>
  <w:style w:type="table" w:styleId="a9">
    <w:name w:val="Table Grid"/>
    <w:basedOn w:val="a1"/>
    <w:uiPriority w:val="59"/>
    <w:rsid w:val="00F8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6F527E"/>
    <w:rPr>
      <w:color w:val="0000FF" w:themeColor="hyperlink"/>
      <w:u w:val="single"/>
    </w:rPr>
  </w:style>
  <w:style w:type="table" w:customStyle="1" w:styleId="2">
    <w:name w:val="רשת טבלה2"/>
    <w:basedOn w:val="a1"/>
    <w:next w:val="a9"/>
    <w:uiPriority w:val="39"/>
    <w:rsid w:val="002C4EE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A72AE3"/>
    <w:rPr>
      <w:color w:val="808080"/>
    </w:rPr>
  </w:style>
  <w:style w:type="character" w:styleId="ab">
    <w:name w:val="annotation reference"/>
    <w:basedOn w:val="a0"/>
    <w:uiPriority w:val="99"/>
    <w:semiHidden/>
    <w:unhideWhenUsed/>
    <w:rsid w:val="00625162"/>
    <w:rPr>
      <w:sz w:val="16"/>
      <w:szCs w:val="16"/>
    </w:rPr>
  </w:style>
  <w:style w:type="paragraph" w:styleId="ac">
    <w:name w:val="annotation text"/>
    <w:basedOn w:val="a"/>
    <w:link w:val="ad"/>
    <w:uiPriority w:val="99"/>
    <w:unhideWhenUsed/>
    <w:rsid w:val="00625162"/>
    <w:pPr>
      <w:spacing w:line="240" w:lineRule="auto"/>
    </w:pPr>
    <w:rPr>
      <w:sz w:val="20"/>
      <w:szCs w:val="20"/>
    </w:rPr>
  </w:style>
  <w:style w:type="character" w:customStyle="1" w:styleId="ad">
    <w:name w:val="טקסט הערה תו"/>
    <w:basedOn w:val="a0"/>
    <w:link w:val="ac"/>
    <w:uiPriority w:val="99"/>
    <w:rsid w:val="00625162"/>
    <w:rPr>
      <w:sz w:val="20"/>
      <w:szCs w:val="20"/>
    </w:rPr>
  </w:style>
  <w:style w:type="paragraph" w:styleId="ae">
    <w:name w:val="annotation subject"/>
    <w:basedOn w:val="ac"/>
    <w:next w:val="ac"/>
    <w:link w:val="af"/>
    <w:uiPriority w:val="99"/>
    <w:semiHidden/>
    <w:unhideWhenUsed/>
    <w:rsid w:val="00625162"/>
    <w:rPr>
      <w:b/>
      <w:bCs/>
    </w:rPr>
  </w:style>
  <w:style w:type="character" w:customStyle="1" w:styleId="af">
    <w:name w:val="נושא הערה תו"/>
    <w:basedOn w:val="ad"/>
    <w:link w:val="ae"/>
    <w:uiPriority w:val="99"/>
    <w:semiHidden/>
    <w:rsid w:val="00625162"/>
    <w:rPr>
      <w:b/>
      <w:bCs/>
      <w:sz w:val="20"/>
      <w:szCs w:val="20"/>
    </w:rPr>
  </w:style>
  <w:style w:type="paragraph" w:styleId="af0">
    <w:name w:val="Revision"/>
    <w:hidden/>
    <w:uiPriority w:val="99"/>
    <w:semiHidden/>
    <w:rsid w:val="005B43AF"/>
    <w:pPr>
      <w:spacing w:after="0" w:line="240" w:lineRule="auto"/>
    </w:pPr>
  </w:style>
  <w:style w:type="paragraph" w:styleId="af1">
    <w:name w:val="header"/>
    <w:basedOn w:val="a"/>
    <w:link w:val="af2"/>
    <w:uiPriority w:val="99"/>
    <w:unhideWhenUsed/>
    <w:rsid w:val="00992E72"/>
    <w:pPr>
      <w:tabs>
        <w:tab w:val="center" w:pos="4153"/>
        <w:tab w:val="right" w:pos="8306"/>
      </w:tabs>
      <w:spacing w:after="0" w:line="240" w:lineRule="auto"/>
    </w:pPr>
  </w:style>
  <w:style w:type="character" w:customStyle="1" w:styleId="af2">
    <w:name w:val="כותרת עליונה תו"/>
    <w:basedOn w:val="a0"/>
    <w:link w:val="af1"/>
    <w:uiPriority w:val="99"/>
    <w:rsid w:val="00992E72"/>
  </w:style>
  <w:style w:type="paragraph" w:styleId="af3">
    <w:name w:val="footer"/>
    <w:basedOn w:val="a"/>
    <w:link w:val="af4"/>
    <w:uiPriority w:val="99"/>
    <w:unhideWhenUsed/>
    <w:rsid w:val="00992E72"/>
    <w:pPr>
      <w:tabs>
        <w:tab w:val="center" w:pos="4153"/>
        <w:tab w:val="right" w:pos="8306"/>
      </w:tabs>
      <w:spacing w:after="0" w:line="240" w:lineRule="auto"/>
    </w:pPr>
  </w:style>
  <w:style w:type="character" w:customStyle="1" w:styleId="af4">
    <w:name w:val="כותרת תחתונה תו"/>
    <w:basedOn w:val="a0"/>
    <w:link w:val="af3"/>
    <w:uiPriority w:val="99"/>
    <w:rsid w:val="00992E72"/>
  </w:style>
  <w:style w:type="character" w:styleId="af5">
    <w:name w:val="Emphasis"/>
    <w:basedOn w:val="a0"/>
    <w:uiPriority w:val="20"/>
    <w:qFormat/>
    <w:rsid w:val="00E80AFB"/>
    <w:rPr>
      <w:i/>
      <w:iCs/>
    </w:rPr>
  </w:style>
  <w:style w:type="character" w:styleId="af6">
    <w:name w:val="Strong"/>
    <w:basedOn w:val="a0"/>
    <w:uiPriority w:val="22"/>
    <w:qFormat/>
    <w:rsid w:val="00E80AFB"/>
    <w:rPr>
      <w:b/>
      <w:bCs/>
    </w:rPr>
  </w:style>
  <w:style w:type="character" w:styleId="FollowedHyperlink">
    <w:name w:val="FollowedHyperlink"/>
    <w:basedOn w:val="a0"/>
    <w:uiPriority w:val="99"/>
    <w:semiHidden/>
    <w:unhideWhenUsed/>
    <w:rsid w:val="008B1C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7411">
      <w:bodyDiv w:val="1"/>
      <w:marLeft w:val="0"/>
      <w:marRight w:val="0"/>
      <w:marTop w:val="0"/>
      <w:marBottom w:val="0"/>
      <w:divBdr>
        <w:top w:val="none" w:sz="0" w:space="0" w:color="auto"/>
        <w:left w:val="none" w:sz="0" w:space="0" w:color="auto"/>
        <w:bottom w:val="none" w:sz="0" w:space="0" w:color="auto"/>
        <w:right w:val="none" w:sz="0" w:space="0" w:color="auto"/>
      </w:divBdr>
    </w:div>
    <w:div w:id="1496802848">
      <w:bodyDiv w:val="1"/>
      <w:marLeft w:val="0"/>
      <w:marRight w:val="0"/>
      <w:marTop w:val="0"/>
      <w:marBottom w:val="0"/>
      <w:divBdr>
        <w:top w:val="none" w:sz="0" w:space="0" w:color="auto"/>
        <w:left w:val="none" w:sz="0" w:space="0" w:color="auto"/>
        <w:bottom w:val="none" w:sz="0" w:space="0" w:color="auto"/>
        <w:right w:val="none" w:sz="0" w:space="0" w:color="auto"/>
      </w:divBdr>
    </w:div>
    <w:div w:id="15696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oecd.org/interest/short-term-interest-rates.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'איור סופי מתוקן'!$E$1</c:f>
              <c:strCache>
                <c:ptCount val="1"/>
                <c:pt idx="0">
                  <c:v>שיעור העלאת ריבית פיקדונות </c:v>
                </c:pt>
              </c:strCache>
            </c:strRef>
          </c:tx>
          <c:spPr>
            <a:solidFill>
              <a:schemeClr val="accent1"/>
            </a:solidFill>
            <a:ln>
              <a:noFill/>
            </a:ln>
            <a:effectLst/>
          </c:spPr>
          <c:invertIfNegative val="0"/>
          <c:cat>
            <c:multiLvlStrRef>
              <c:f>'איור סופי מתוקן'!$A$2:$B$22</c:f>
              <c:multiLvlStrCache>
                <c:ptCount val="18"/>
                <c:lvl>
                  <c:pt idx="5">
                    <c:v>סלובניה</c:v>
                  </c:pt>
                  <c:pt idx="6">
                    <c:v>אוסטריה</c:v>
                  </c:pt>
                  <c:pt idx="7">
                    <c:v>לוקסמבורג</c:v>
                  </c:pt>
                  <c:pt idx="8">
                    <c:v>צרפת</c:v>
                  </c:pt>
                  <c:pt idx="9">
                    <c:v>ממוצע</c:v>
                  </c:pt>
                  <c:pt idx="10">
                    <c:v>אסטוניה</c:v>
                  </c:pt>
                  <c:pt idx="11">
                    <c:v>הולנד</c:v>
                  </c:pt>
                  <c:pt idx="12">
                    <c:v>איטליה</c:v>
                  </c:pt>
                  <c:pt idx="13">
                    <c:v>אירלנד</c:v>
                  </c:pt>
                  <c:pt idx="14">
                    <c:v>גרמניה</c:v>
                  </c:pt>
                  <c:pt idx="15">
                    <c:v>לטביה</c:v>
                  </c:pt>
                  <c:pt idx="16">
                    <c:v>קפריסין</c:v>
                  </c:pt>
                  <c:pt idx="17">
                    <c:v>סלובקיה</c:v>
                  </c:pt>
                </c:lvl>
                <c:lvl>
                  <c:pt idx="0">
                    <c:v>ארה"ב</c:v>
                  </c:pt>
                  <c:pt idx="2">
                    <c:v>ישראל</c:v>
                  </c:pt>
                  <c:pt idx="4">
                    <c:v>אירופה</c:v>
                  </c:pt>
                </c:lvl>
              </c:multiLvlStrCache>
            </c:multiLvlStrRef>
          </c:cat>
          <c:val>
            <c:numRef>
              <c:f>'איור סופי מתוקן'!$E$2:$E$22</c:f>
              <c:numCache>
                <c:formatCode>0.00</c:formatCode>
                <c:ptCount val="18"/>
                <c:pt idx="1">
                  <c:v>0.39</c:v>
                </c:pt>
                <c:pt idx="3" formatCode="General">
                  <c:v>1.5389999999999999</c:v>
                </c:pt>
                <c:pt idx="5" formatCode="General">
                  <c:v>1.83</c:v>
                </c:pt>
                <c:pt idx="6" formatCode="General">
                  <c:v>1.46</c:v>
                </c:pt>
                <c:pt idx="7" formatCode="General">
                  <c:v>1.38</c:v>
                </c:pt>
                <c:pt idx="8" formatCode="General">
                  <c:v>1.1000000000000001</c:v>
                </c:pt>
                <c:pt idx="9" formatCode="General">
                  <c:v>0.47000000000000003</c:v>
                </c:pt>
                <c:pt idx="10" formatCode="General">
                  <c:v>0.42000000000000004</c:v>
                </c:pt>
                <c:pt idx="11" formatCode="General">
                  <c:v>0.29000000000000004</c:v>
                </c:pt>
                <c:pt idx="12" formatCode="General">
                  <c:v>0.14000000000000012</c:v>
                </c:pt>
                <c:pt idx="13" formatCode="General">
                  <c:v>0.08</c:v>
                </c:pt>
                <c:pt idx="14" formatCode="General">
                  <c:v>0.08</c:v>
                </c:pt>
                <c:pt idx="15" formatCode="General">
                  <c:v>0.05</c:v>
                </c:pt>
                <c:pt idx="16" formatCode="General">
                  <c:v>0.04</c:v>
                </c:pt>
                <c:pt idx="17" formatCode="General">
                  <c:v>3.9999999999999994E-2</c:v>
                </c:pt>
              </c:numCache>
            </c:numRef>
          </c:val>
          <c:extLst>
            <c:ext xmlns:c16="http://schemas.microsoft.com/office/drawing/2014/chart" uri="{C3380CC4-5D6E-409C-BE32-E72D297353CC}">
              <c16:uniqueId val="{00000000-2E93-404D-AE9F-9D01B69820AD}"/>
            </c:ext>
          </c:extLst>
        </c:ser>
        <c:ser>
          <c:idx val="1"/>
          <c:order val="1"/>
          <c:tx>
            <c:strRef>
              <c:f>'איור סופי מתוקן'!$F$1</c:f>
              <c:strCache>
                <c:ptCount val="1"/>
                <c:pt idx="0">
                  <c:v>שיעור העלאת ריבית הבנק המרכזי</c:v>
                </c:pt>
              </c:strCache>
            </c:strRef>
          </c:tx>
          <c:spPr>
            <a:solidFill>
              <a:schemeClr val="accent2"/>
            </a:solidFill>
            <a:ln>
              <a:noFill/>
            </a:ln>
            <a:effectLst/>
          </c:spPr>
          <c:invertIfNegative val="0"/>
          <c:cat>
            <c:multiLvlStrRef>
              <c:f>'איור סופי מתוקן'!$A$2:$B$22</c:f>
              <c:multiLvlStrCache>
                <c:ptCount val="18"/>
                <c:lvl>
                  <c:pt idx="5">
                    <c:v>סלובניה</c:v>
                  </c:pt>
                  <c:pt idx="6">
                    <c:v>אוסטריה</c:v>
                  </c:pt>
                  <c:pt idx="7">
                    <c:v>לוקסמבורג</c:v>
                  </c:pt>
                  <c:pt idx="8">
                    <c:v>צרפת</c:v>
                  </c:pt>
                  <c:pt idx="9">
                    <c:v>ממוצע</c:v>
                  </c:pt>
                  <c:pt idx="10">
                    <c:v>אסטוניה</c:v>
                  </c:pt>
                  <c:pt idx="11">
                    <c:v>הולנד</c:v>
                  </c:pt>
                  <c:pt idx="12">
                    <c:v>איטליה</c:v>
                  </c:pt>
                  <c:pt idx="13">
                    <c:v>אירלנד</c:v>
                  </c:pt>
                  <c:pt idx="14">
                    <c:v>גרמניה</c:v>
                  </c:pt>
                  <c:pt idx="15">
                    <c:v>לטביה</c:v>
                  </c:pt>
                  <c:pt idx="16">
                    <c:v>קפריסין</c:v>
                  </c:pt>
                  <c:pt idx="17">
                    <c:v>סלובקיה</c:v>
                  </c:pt>
                </c:lvl>
                <c:lvl>
                  <c:pt idx="0">
                    <c:v>ארה"ב</c:v>
                  </c:pt>
                  <c:pt idx="2">
                    <c:v>ישראל</c:v>
                  </c:pt>
                  <c:pt idx="4">
                    <c:v>אירופה</c:v>
                  </c:pt>
                </c:lvl>
              </c:multiLvlStrCache>
            </c:multiLvlStrRef>
          </c:cat>
          <c:val>
            <c:numRef>
              <c:f>'איור סופי מתוקן'!$F$2:$F$22</c:f>
              <c:numCache>
                <c:formatCode>General</c:formatCode>
                <c:ptCount val="18"/>
                <c:pt idx="0" formatCode="#,##0.00">
                  <c:v>4.024193548387097</c:v>
                </c:pt>
                <c:pt idx="2" formatCode="#,##0.00">
                  <c:v>3.15</c:v>
                </c:pt>
                <c:pt idx="4" formatCode="#,##0.00">
                  <c:v>2.1774193548387095</c:v>
                </c:pt>
              </c:numCache>
            </c:numRef>
          </c:val>
          <c:extLst>
            <c:ext xmlns:c16="http://schemas.microsoft.com/office/drawing/2014/chart" uri="{C3380CC4-5D6E-409C-BE32-E72D297353CC}">
              <c16:uniqueId val="{00000001-2E93-404D-AE9F-9D01B69820AD}"/>
            </c:ext>
          </c:extLst>
        </c:ser>
        <c:dLbls>
          <c:showLegendKey val="0"/>
          <c:showVal val="0"/>
          <c:showCatName val="0"/>
          <c:showSerName val="0"/>
          <c:showPercent val="0"/>
          <c:showBubbleSize val="0"/>
        </c:dLbls>
        <c:gapWidth val="219"/>
        <c:overlap val="-27"/>
        <c:axId val="621560520"/>
        <c:axId val="621562816"/>
      </c:barChart>
      <c:catAx>
        <c:axId val="621560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21562816"/>
        <c:crosses val="autoZero"/>
        <c:auto val="1"/>
        <c:lblAlgn val="ctr"/>
        <c:lblOffset val="100"/>
        <c:noMultiLvlLbl val="0"/>
      </c:catAx>
      <c:valAx>
        <c:axId val="6215628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621560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xVal>
            <c:numRef>
              <c:f>סופי!$F$10:$F$153</c:f>
              <c:numCache>
                <c:formatCode>#,##0.00</c:formatCode>
                <c:ptCount val="144"/>
                <c:pt idx="0" formatCode="#,##0.0">
                  <c:v>4.7699999999999996</c:v>
                </c:pt>
                <c:pt idx="1">
                  <c:v>4.4724137931034482</c:v>
                </c:pt>
                <c:pt idx="2">
                  <c:v>4.2999999999999989</c:v>
                </c:pt>
                <c:pt idx="3">
                  <c:v>4.0999999999999979</c:v>
                </c:pt>
                <c:pt idx="4">
                  <c:v>4.0999999999999979</c:v>
                </c:pt>
                <c:pt idx="5">
                  <c:v>4.0999999999999979</c:v>
                </c:pt>
                <c:pt idx="6">
                  <c:v>4.0999999999999979</c:v>
                </c:pt>
                <c:pt idx="7">
                  <c:v>4.0999999999999979</c:v>
                </c:pt>
                <c:pt idx="8">
                  <c:v>4.0999999999999979</c:v>
                </c:pt>
                <c:pt idx="9">
                  <c:v>4.0999999999999979</c:v>
                </c:pt>
                <c:pt idx="10">
                  <c:v>4.0599999999999996</c:v>
                </c:pt>
                <c:pt idx="11">
                  <c:v>3.8870967741935503</c:v>
                </c:pt>
                <c:pt idx="12">
                  <c:v>3.6677419354838725</c:v>
                </c:pt>
                <c:pt idx="13">
                  <c:v>3.5000000000000004</c:v>
                </c:pt>
                <c:pt idx="14">
                  <c:v>3.5000000000000004</c:v>
                </c:pt>
                <c:pt idx="15">
                  <c:v>3.5000000000000004</c:v>
                </c:pt>
                <c:pt idx="16">
                  <c:v>3.5000000000000004</c:v>
                </c:pt>
                <c:pt idx="17">
                  <c:v>3.5000000000000004</c:v>
                </c:pt>
                <c:pt idx="18">
                  <c:v>3.5000000000000004</c:v>
                </c:pt>
                <c:pt idx="19">
                  <c:v>3.5000000000000004</c:v>
                </c:pt>
                <c:pt idx="20">
                  <c:v>3.5166666666666666</c:v>
                </c:pt>
                <c:pt idx="21">
                  <c:v>3.7903225806451615</c:v>
                </c:pt>
                <c:pt idx="22">
                  <c:v>4</c:v>
                </c:pt>
                <c:pt idx="23">
                  <c:v>4.5</c:v>
                </c:pt>
                <c:pt idx="24">
                  <c:v>4.5483870967741939</c:v>
                </c:pt>
                <c:pt idx="25">
                  <c:v>4.75</c:v>
                </c:pt>
                <c:pt idx="26">
                  <c:v>4.7661290322580649</c:v>
                </c:pt>
                <c:pt idx="27">
                  <c:v>5.0333333333333332</c:v>
                </c:pt>
                <c:pt idx="28">
                  <c:v>5.25</c:v>
                </c:pt>
                <c:pt idx="29">
                  <c:v>5.25</c:v>
                </c:pt>
                <c:pt idx="30">
                  <c:v>5.290322580645161</c:v>
                </c:pt>
                <c:pt idx="31">
                  <c:v>5.5</c:v>
                </c:pt>
                <c:pt idx="32">
                  <c:v>5.5</c:v>
                </c:pt>
                <c:pt idx="33">
                  <c:v>5.4516129032258061</c:v>
                </c:pt>
                <c:pt idx="34">
                  <c:v>5.2416666666666663</c:v>
                </c:pt>
                <c:pt idx="35">
                  <c:v>4.935483870967742</c:v>
                </c:pt>
                <c:pt idx="36">
                  <c:v>4.5</c:v>
                </c:pt>
                <c:pt idx="37">
                  <c:v>4.25</c:v>
                </c:pt>
                <c:pt idx="38">
                  <c:v>4</c:v>
                </c:pt>
                <c:pt idx="39">
                  <c:v>3.9583333333333335</c:v>
                </c:pt>
                <c:pt idx="40">
                  <c:v>3.7419354838709675</c:v>
                </c:pt>
                <c:pt idx="41">
                  <c:v>3.5</c:v>
                </c:pt>
                <c:pt idx="42">
                  <c:v>3.5483870967741935</c:v>
                </c:pt>
                <c:pt idx="43">
                  <c:v>3.7661290322580645</c:v>
                </c:pt>
                <c:pt idx="44">
                  <c:v>4</c:v>
                </c:pt>
                <c:pt idx="45">
                  <c:v>4</c:v>
                </c:pt>
                <c:pt idx="46">
                  <c:v>4</c:v>
                </c:pt>
                <c:pt idx="47">
                  <c:v>4.040322580645161</c:v>
                </c:pt>
                <c:pt idx="48">
                  <c:v>4.25</c:v>
                </c:pt>
                <c:pt idx="49">
                  <c:v>4.2155172413793105</c:v>
                </c:pt>
                <c:pt idx="50">
                  <c:v>3.6693548387096775</c:v>
                </c:pt>
                <c:pt idx="51">
                  <c:v>3.25</c:v>
                </c:pt>
                <c:pt idx="52">
                  <c:v>3.274193548387097</c:v>
                </c:pt>
                <c:pt idx="53">
                  <c:v>3.5416666666666665</c:v>
                </c:pt>
                <c:pt idx="54">
                  <c:v>3.7580645161290325</c:v>
                </c:pt>
                <c:pt idx="55">
                  <c:v>4.032258064516129</c:v>
                </c:pt>
                <c:pt idx="56">
                  <c:v>4.25</c:v>
                </c:pt>
                <c:pt idx="57">
                  <c:v>3.911290322580645</c:v>
                </c:pt>
                <c:pt idx="58">
                  <c:v>3.15</c:v>
                </c:pt>
                <c:pt idx="59">
                  <c:v>2.5</c:v>
                </c:pt>
                <c:pt idx="60">
                  <c:v>1.6774193548387097</c:v>
                </c:pt>
                <c:pt idx="61">
                  <c:v>0.9732142857142857</c:v>
                </c:pt>
                <c:pt idx="62">
                  <c:v>0.70161290322580649</c:v>
                </c:pt>
                <c:pt idx="63">
                  <c:v>0.5</c:v>
                </c:pt>
                <c:pt idx="64">
                  <c:v>0.5</c:v>
                </c:pt>
                <c:pt idx="65">
                  <c:v>0.5</c:v>
                </c:pt>
                <c:pt idx="66">
                  <c:v>0.5</c:v>
                </c:pt>
                <c:pt idx="67">
                  <c:v>0.54032258064516125</c:v>
                </c:pt>
                <c:pt idx="68">
                  <c:v>0.75</c:v>
                </c:pt>
                <c:pt idx="69">
                  <c:v>0.75</c:v>
                </c:pt>
                <c:pt idx="70">
                  <c:v>0.79166666666666663</c:v>
                </c:pt>
                <c:pt idx="71">
                  <c:v>1.0080645161290323</c:v>
                </c:pt>
                <c:pt idx="72">
                  <c:v>1.25</c:v>
                </c:pt>
                <c:pt idx="73">
                  <c:v>1.25</c:v>
                </c:pt>
                <c:pt idx="74">
                  <c:v>1.25</c:v>
                </c:pt>
                <c:pt idx="75">
                  <c:v>1.5</c:v>
                </c:pt>
                <c:pt idx="76">
                  <c:v>1.5</c:v>
                </c:pt>
                <c:pt idx="77">
                  <c:v>1.5</c:v>
                </c:pt>
                <c:pt idx="78">
                  <c:v>1.5241935483870968</c:v>
                </c:pt>
                <c:pt idx="79">
                  <c:v>1.75</c:v>
                </c:pt>
                <c:pt idx="80">
                  <c:v>1.7583333333333333</c:v>
                </c:pt>
                <c:pt idx="81">
                  <c:v>2</c:v>
                </c:pt>
                <c:pt idx="82">
                  <c:v>2</c:v>
                </c:pt>
                <c:pt idx="83">
                  <c:v>2</c:v>
                </c:pt>
                <c:pt idx="84">
                  <c:v>2.0403225806451615</c:v>
                </c:pt>
                <c:pt idx="85">
                  <c:v>2.2946428571428572</c:v>
                </c:pt>
                <c:pt idx="86">
                  <c:v>2.5161290322580645</c:v>
                </c:pt>
                <c:pt idx="87">
                  <c:v>3</c:v>
                </c:pt>
                <c:pt idx="88">
                  <c:v>3.0483870967741935</c:v>
                </c:pt>
                <c:pt idx="89">
                  <c:v>3.25</c:v>
                </c:pt>
                <c:pt idx="90">
                  <c:v>3.25</c:v>
                </c:pt>
                <c:pt idx="91">
                  <c:v>3.25</c:v>
                </c:pt>
                <c:pt idx="92">
                  <c:v>3.25</c:v>
                </c:pt>
                <c:pt idx="93">
                  <c:v>3.0080645161290325</c:v>
                </c:pt>
                <c:pt idx="94">
                  <c:v>3</c:v>
                </c:pt>
                <c:pt idx="95">
                  <c:v>2.75</c:v>
                </c:pt>
                <c:pt idx="96">
                  <c:v>2.7016129032258065</c:v>
                </c:pt>
                <c:pt idx="97">
                  <c:v>2.5</c:v>
                </c:pt>
                <c:pt idx="98">
                  <c:v>2.5</c:v>
                </c:pt>
                <c:pt idx="99">
                  <c:v>2.5</c:v>
                </c:pt>
                <c:pt idx="100">
                  <c:v>2.5</c:v>
                </c:pt>
                <c:pt idx="101">
                  <c:v>2.4750000000000001</c:v>
                </c:pt>
                <c:pt idx="102">
                  <c:v>2.25</c:v>
                </c:pt>
                <c:pt idx="103">
                  <c:v>2.25</c:v>
                </c:pt>
                <c:pt idx="104">
                  <c:v>2.25</c:v>
                </c:pt>
                <c:pt idx="105">
                  <c:v>2.25</c:v>
                </c:pt>
                <c:pt idx="106">
                  <c:v>2</c:v>
                </c:pt>
                <c:pt idx="107">
                  <c:v>1.9596774193548387</c:v>
                </c:pt>
                <c:pt idx="108">
                  <c:v>1.75</c:v>
                </c:pt>
                <c:pt idx="109">
                  <c:v>1.75</c:v>
                </c:pt>
                <c:pt idx="110">
                  <c:v>1.75</c:v>
                </c:pt>
                <c:pt idx="111">
                  <c:v>1.75</c:v>
                </c:pt>
                <c:pt idx="112">
                  <c:v>1.6129032258064515</c:v>
                </c:pt>
                <c:pt idx="113">
                  <c:v>1.25</c:v>
                </c:pt>
                <c:pt idx="114">
                  <c:v>1.25</c:v>
                </c:pt>
                <c:pt idx="115">
                  <c:v>1.25</c:v>
                </c:pt>
                <c:pt idx="116">
                  <c:v>1.2166666666666666</c:v>
                </c:pt>
                <c:pt idx="117">
                  <c:v>1</c:v>
                </c:pt>
                <c:pt idx="118">
                  <c:v>1</c:v>
                </c:pt>
                <c:pt idx="119">
                  <c:v>1</c:v>
                </c:pt>
                <c:pt idx="120">
                  <c:v>1</c:v>
                </c:pt>
                <c:pt idx="121">
                  <c:v>0.9821428571428571</c:v>
                </c:pt>
                <c:pt idx="122">
                  <c:v>0.75</c:v>
                </c:pt>
                <c:pt idx="123">
                  <c:v>0.75</c:v>
                </c:pt>
                <c:pt idx="124">
                  <c:v>0.75</c:v>
                </c:pt>
                <c:pt idx="125">
                  <c:v>0.75</c:v>
                </c:pt>
                <c:pt idx="126">
                  <c:v>0.74193548387096775</c:v>
                </c:pt>
                <c:pt idx="127">
                  <c:v>0.46774193548387094</c:v>
                </c:pt>
                <c:pt idx="128">
                  <c:v>0.25</c:v>
                </c:pt>
                <c:pt idx="129">
                  <c:v>0.25</c:v>
                </c:pt>
                <c:pt idx="130">
                  <c:v>0.25</c:v>
                </c:pt>
                <c:pt idx="131">
                  <c:v>0.25</c:v>
                </c:pt>
                <c:pt idx="132">
                  <c:v>0.25</c:v>
                </c:pt>
                <c:pt idx="133">
                  <c:v>0.23392857140000001</c:v>
                </c:pt>
                <c:pt idx="134">
                  <c:v>0.1</c:v>
                </c:pt>
                <c:pt idx="135">
                  <c:v>0.1</c:v>
                </c:pt>
                <c:pt idx="136">
                  <c:v>0.1</c:v>
                </c:pt>
                <c:pt idx="137">
                  <c:v>0.1</c:v>
                </c:pt>
                <c:pt idx="138">
                  <c:v>0.1</c:v>
                </c:pt>
                <c:pt idx="139">
                  <c:v>0.1</c:v>
                </c:pt>
                <c:pt idx="140">
                  <c:v>0.1</c:v>
                </c:pt>
                <c:pt idx="141">
                  <c:v>0.1</c:v>
                </c:pt>
                <c:pt idx="142">
                  <c:v>0.1</c:v>
                </c:pt>
                <c:pt idx="143">
                  <c:v>0.1</c:v>
                </c:pt>
              </c:numCache>
            </c:numRef>
          </c:xVal>
          <c:yVal>
            <c:numRef>
              <c:f>סופי!$G$10:$G$153</c:f>
              <c:numCache>
                <c:formatCode>#,##0.0</c:formatCode>
                <c:ptCount val="144"/>
                <c:pt idx="0">
                  <c:v>-1.1099999999999994</c:v>
                </c:pt>
                <c:pt idx="1">
                  <c:v>-1.0624137931034481</c:v>
                </c:pt>
                <c:pt idx="2">
                  <c:v>-1.0799999999999987</c:v>
                </c:pt>
                <c:pt idx="3">
                  <c:v>-0.90999999999999792</c:v>
                </c:pt>
                <c:pt idx="4">
                  <c:v>-0.95999999999999774</c:v>
                </c:pt>
                <c:pt idx="5">
                  <c:v>-0.85999999999999766</c:v>
                </c:pt>
                <c:pt idx="6">
                  <c:v>-0.90999999999999792</c:v>
                </c:pt>
                <c:pt idx="7">
                  <c:v>-0.8899999999999979</c:v>
                </c:pt>
                <c:pt idx="8">
                  <c:v>-0.81999999999999806</c:v>
                </c:pt>
                <c:pt idx="9">
                  <c:v>-0.8899999999999979</c:v>
                </c:pt>
                <c:pt idx="10">
                  <c:v>-0.74999999999999956</c:v>
                </c:pt>
                <c:pt idx="11">
                  <c:v>-0.85709677419355046</c:v>
                </c:pt>
                <c:pt idx="12">
                  <c:v>-0.82774193548387265</c:v>
                </c:pt>
                <c:pt idx="13">
                  <c:v>-0.74000000000000066</c:v>
                </c:pt>
                <c:pt idx="14">
                  <c:v>-0.77000000000000046</c:v>
                </c:pt>
                <c:pt idx="15">
                  <c:v>-0.70000000000000062</c:v>
                </c:pt>
                <c:pt idx="16">
                  <c:v>-0.76000000000000023</c:v>
                </c:pt>
                <c:pt idx="17">
                  <c:v>-0.6800000000000006</c:v>
                </c:pt>
                <c:pt idx="18">
                  <c:v>-0.82000000000000028</c:v>
                </c:pt>
                <c:pt idx="19">
                  <c:v>-0.8100000000000005</c:v>
                </c:pt>
                <c:pt idx="20">
                  <c:v>-0.67666666666666675</c:v>
                </c:pt>
                <c:pt idx="21">
                  <c:v>-0.80032258064516126</c:v>
                </c:pt>
                <c:pt idx="22">
                  <c:v>-0.77</c:v>
                </c:pt>
                <c:pt idx="23">
                  <c:v>-0.85999999999999988</c:v>
                </c:pt>
                <c:pt idx="24">
                  <c:v>-0.858387096774194</c:v>
                </c:pt>
                <c:pt idx="25">
                  <c:v>-0.81</c:v>
                </c:pt>
                <c:pt idx="26">
                  <c:v>-0.89612903225806484</c:v>
                </c:pt>
                <c:pt idx="27">
                  <c:v>-0.80333333333333279</c:v>
                </c:pt>
                <c:pt idx="28">
                  <c:v>-0.92999999999999972</c:v>
                </c:pt>
                <c:pt idx="29">
                  <c:v>-0.88999999999999968</c:v>
                </c:pt>
                <c:pt idx="30">
                  <c:v>-0.83032258064516107</c:v>
                </c:pt>
                <c:pt idx="31">
                  <c:v>-0.91000000000000014</c:v>
                </c:pt>
                <c:pt idx="32">
                  <c:v>-0.88999999999999968</c:v>
                </c:pt>
                <c:pt idx="33">
                  <c:v>-0.97161290322580562</c:v>
                </c:pt>
                <c:pt idx="34">
                  <c:v>-0.97166666666666668</c:v>
                </c:pt>
                <c:pt idx="35">
                  <c:v>-0.77548387096774185</c:v>
                </c:pt>
                <c:pt idx="36">
                  <c:v>-0.83000000000000007</c:v>
                </c:pt>
                <c:pt idx="37">
                  <c:v>-0.73</c:v>
                </c:pt>
                <c:pt idx="38">
                  <c:v>-0.74000000000000021</c:v>
                </c:pt>
                <c:pt idx="39">
                  <c:v>-0.82833333333333359</c:v>
                </c:pt>
                <c:pt idx="40">
                  <c:v>-0.78193548387096756</c:v>
                </c:pt>
                <c:pt idx="41">
                  <c:v>-0.62999999999999989</c:v>
                </c:pt>
                <c:pt idx="42">
                  <c:v>-0.59838709677419333</c:v>
                </c:pt>
                <c:pt idx="43">
                  <c:v>-0.62612903225806438</c:v>
                </c:pt>
                <c:pt idx="44">
                  <c:v>-0.60999999999999988</c:v>
                </c:pt>
                <c:pt idx="45">
                  <c:v>-0.64000000000000012</c:v>
                </c:pt>
                <c:pt idx="46">
                  <c:v>-0.60000000000000009</c:v>
                </c:pt>
                <c:pt idx="47">
                  <c:v>-0.61032258064516087</c:v>
                </c:pt>
                <c:pt idx="48">
                  <c:v>-0.69999999999999973</c:v>
                </c:pt>
                <c:pt idx="49">
                  <c:v>-0.68551724137931025</c:v>
                </c:pt>
                <c:pt idx="50">
                  <c:v>-0.73935483870967733</c:v>
                </c:pt>
                <c:pt idx="51">
                  <c:v>-0.54</c:v>
                </c:pt>
                <c:pt idx="52">
                  <c:v>-0.52419354838709697</c:v>
                </c:pt>
                <c:pt idx="53">
                  <c:v>-0.48166666666666647</c:v>
                </c:pt>
                <c:pt idx="54">
                  <c:v>-0.53806451612903228</c:v>
                </c:pt>
                <c:pt idx="55">
                  <c:v>-0.60225806451612884</c:v>
                </c:pt>
                <c:pt idx="56">
                  <c:v>-0.56999999999999984</c:v>
                </c:pt>
                <c:pt idx="57">
                  <c:v>-0.65129032258064479</c:v>
                </c:pt>
                <c:pt idx="58">
                  <c:v>-0.5</c:v>
                </c:pt>
                <c:pt idx="59">
                  <c:v>-0.54</c:v>
                </c:pt>
                <c:pt idx="60">
                  <c:v>-0.47741935483870979</c:v>
                </c:pt>
                <c:pt idx="61">
                  <c:v>-0.40321428571428564</c:v>
                </c:pt>
                <c:pt idx="62">
                  <c:v>-0.2716129032258065</c:v>
                </c:pt>
                <c:pt idx="63">
                  <c:v>-0.19</c:v>
                </c:pt>
                <c:pt idx="64">
                  <c:v>-0.15999999999999998</c:v>
                </c:pt>
                <c:pt idx="65">
                  <c:v>-0.16999999999999998</c:v>
                </c:pt>
                <c:pt idx="66">
                  <c:v>-0.15999999999999998</c:v>
                </c:pt>
                <c:pt idx="67">
                  <c:v>-0.15032258064516124</c:v>
                </c:pt>
                <c:pt idx="68">
                  <c:v>-0.25</c:v>
                </c:pt>
                <c:pt idx="69">
                  <c:v>-0.24</c:v>
                </c:pt>
                <c:pt idx="70">
                  <c:v>-0.25166666666666659</c:v>
                </c:pt>
                <c:pt idx="71">
                  <c:v>-0.27806451612903227</c:v>
                </c:pt>
                <c:pt idx="72">
                  <c:v>-0.41999999999999993</c:v>
                </c:pt>
                <c:pt idx="73">
                  <c:v>-0.39</c:v>
                </c:pt>
                <c:pt idx="74">
                  <c:v>-0.39</c:v>
                </c:pt>
                <c:pt idx="75">
                  <c:v>-0.45999999999999996</c:v>
                </c:pt>
                <c:pt idx="76">
                  <c:v>-0.5</c:v>
                </c:pt>
                <c:pt idx="77">
                  <c:v>-0.45999999999999996</c:v>
                </c:pt>
                <c:pt idx="78">
                  <c:v>-0.50419354838709673</c:v>
                </c:pt>
                <c:pt idx="79">
                  <c:v>-0.49</c:v>
                </c:pt>
                <c:pt idx="80">
                  <c:v>-0.53833333333333333</c:v>
                </c:pt>
                <c:pt idx="81">
                  <c:v>-0.60999999999999988</c:v>
                </c:pt>
                <c:pt idx="82">
                  <c:v>-0.59000000000000008</c:v>
                </c:pt>
                <c:pt idx="83">
                  <c:v>-0.42999999999999994</c:v>
                </c:pt>
                <c:pt idx="84">
                  <c:v>-0.51032258064516145</c:v>
                </c:pt>
                <c:pt idx="85">
                  <c:v>-0.68464285714285711</c:v>
                </c:pt>
                <c:pt idx="86">
                  <c:v>-0.59612903225806457</c:v>
                </c:pt>
                <c:pt idx="87">
                  <c:v>-0.79999999999999982</c:v>
                </c:pt>
                <c:pt idx="88">
                  <c:v>-0.72838709677419367</c:v>
                </c:pt>
                <c:pt idx="89">
                  <c:v>-0.79</c:v>
                </c:pt>
                <c:pt idx="90">
                  <c:v>-0.83000000000000007</c:v>
                </c:pt>
                <c:pt idx="91">
                  <c:v>-0.50999999999999979</c:v>
                </c:pt>
                <c:pt idx="92">
                  <c:v>-0.64999999999999991</c:v>
                </c:pt>
                <c:pt idx="93">
                  <c:v>-0.56806451612903253</c:v>
                </c:pt>
                <c:pt idx="94">
                  <c:v>-0.5299999999999998</c:v>
                </c:pt>
                <c:pt idx="95">
                  <c:v>-0.46999999999999975</c:v>
                </c:pt>
                <c:pt idx="96">
                  <c:v>-0.60161290322580641</c:v>
                </c:pt>
                <c:pt idx="97">
                  <c:v>-0.57000000000000006</c:v>
                </c:pt>
                <c:pt idx="98">
                  <c:v>-0.58999999999999986</c:v>
                </c:pt>
                <c:pt idx="99">
                  <c:v>-0.56000000000000005</c:v>
                </c:pt>
                <c:pt idx="100">
                  <c:v>-0.57000000000000006</c:v>
                </c:pt>
                <c:pt idx="101">
                  <c:v>-0.57499999999999996</c:v>
                </c:pt>
                <c:pt idx="102">
                  <c:v>-0.54</c:v>
                </c:pt>
                <c:pt idx="103">
                  <c:v>-0.60999999999999988</c:v>
                </c:pt>
                <c:pt idx="104">
                  <c:v>-0.55000000000000004</c:v>
                </c:pt>
                <c:pt idx="105">
                  <c:v>-0.58000000000000007</c:v>
                </c:pt>
                <c:pt idx="106">
                  <c:v>-0.48</c:v>
                </c:pt>
                <c:pt idx="107">
                  <c:v>-0.46967741935483875</c:v>
                </c:pt>
                <c:pt idx="108">
                  <c:v>-0.48</c:v>
                </c:pt>
                <c:pt idx="109">
                  <c:v>-0.49</c:v>
                </c:pt>
                <c:pt idx="110">
                  <c:v>-0.5</c:v>
                </c:pt>
                <c:pt idx="111">
                  <c:v>-0.47</c:v>
                </c:pt>
                <c:pt idx="112">
                  <c:v>-0.43290322580645157</c:v>
                </c:pt>
                <c:pt idx="113">
                  <c:v>-0.41000000000000003</c:v>
                </c:pt>
                <c:pt idx="114">
                  <c:v>-0.35</c:v>
                </c:pt>
                <c:pt idx="115">
                  <c:v>-0.37</c:v>
                </c:pt>
                <c:pt idx="116">
                  <c:v>-0.34666666666666657</c:v>
                </c:pt>
                <c:pt idx="117">
                  <c:v>-0.30999999999999994</c:v>
                </c:pt>
                <c:pt idx="118">
                  <c:v>-0.30999999999999994</c:v>
                </c:pt>
                <c:pt idx="119">
                  <c:v>-0.28000000000000003</c:v>
                </c:pt>
                <c:pt idx="120">
                  <c:v>-0.29999999999999993</c:v>
                </c:pt>
                <c:pt idx="121">
                  <c:v>-0.32214285714285706</c:v>
                </c:pt>
                <c:pt idx="122">
                  <c:v>-0.25</c:v>
                </c:pt>
                <c:pt idx="123">
                  <c:v>-0.25</c:v>
                </c:pt>
                <c:pt idx="124">
                  <c:v>-0.27</c:v>
                </c:pt>
                <c:pt idx="125">
                  <c:v>-0.27999999999999997</c:v>
                </c:pt>
                <c:pt idx="126">
                  <c:v>-0.28193548387096773</c:v>
                </c:pt>
                <c:pt idx="127">
                  <c:v>-0.16774193548387095</c:v>
                </c:pt>
                <c:pt idx="128">
                  <c:v>-7.9999999999999988E-2</c:v>
                </c:pt>
                <c:pt idx="129">
                  <c:v>-0.09</c:v>
                </c:pt>
                <c:pt idx="130">
                  <c:v>-0.09</c:v>
                </c:pt>
                <c:pt idx="131">
                  <c:v>-0.09</c:v>
                </c:pt>
                <c:pt idx="132">
                  <c:v>-7.9999999999999988E-2</c:v>
                </c:pt>
                <c:pt idx="133">
                  <c:v>-5.3928571400000014E-2</c:v>
                </c:pt>
                <c:pt idx="134">
                  <c:v>-2.0000000000000004E-2</c:v>
                </c:pt>
                <c:pt idx="135">
                  <c:v>-1.0000000000000009E-2</c:v>
                </c:pt>
                <c:pt idx="136">
                  <c:v>-2.0000000000000004E-2</c:v>
                </c:pt>
                <c:pt idx="137">
                  <c:v>-1.0000000000000009E-2</c:v>
                </c:pt>
                <c:pt idx="138">
                  <c:v>-1.0000000000000009E-2</c:v>
                </c:pt>
                <c:pt idx="139">
                  <c:v>-1.0000000000000009E-2</c:v>
                </c:pt>
                <c:pt idx="140">
                  <c:v>-1.0000000000000009E-2</c:v>
                </c:pt>
                <c:pt idx="141">
                  <c:v>9.999999999999995E-3</c:v>
                </c:pt>
                <c:pt idx="142">
                  <c:v>-1.0000000000000009E-2</c:v>
                </c:pt>
                <c:pt idx="143">
                  <c:v>9.999999999999995E-3</c:v>
                </c:pt>
              </c:numCache>
            </c:numRef>
          </c:yVal>
          <c:smooth val="0"/>
          <c:extLst>
            <c:ext xmlns:c16="http://schemas.microsoft.com/office/drawing/2014/chart" uri="{C3380CC4-5D6E-409C-BE32-E72D297353CC}">
              <c16:uniqueId val="{00000000-B714-494A-9A58-E632045D0A10}"/>
            </c:ext>
          </c:extLst>
        </c:ser>
        <c:dLbls>
          <c:showLegendKey val="0"/>
          <c:showVal val="0"/>
          <c:showCatName val="0"/>
          <c:showSerName val="0"/>
          <c:showPercent val="0"/>
          <c:showBubbleSize val="0"/>
        </c:dLbls>
        <c:axId val="633676512"/>
        <c:axId val="633678480"/>
      </c:scatterChart>
      <c:valAx>
        <c:axId val="633676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000"/>
                  <a:t>ריבית בנק ישראל</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crossAx val="633678480"/>
        <c:crosses val="autoZero"/>
        <c:crossBetween val="midCat"/>
      </c:valAx>
      <c:valAx>
        <c:axId val="633678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000"/>
                  <a:t>הפרש</a:t>
                </a:r>
                <a:r>
                  <a:rPr lang="he-IL" sz="1000" baseline="0"/>
                  <a:t> ריבית פז"ק 3 חודשים וריבית בנק ישראל</a:t>
                </a:r>
                <a:endParaRPr lang="he-IL" sz="10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e-IL"/>
          </a:p>
        </c:txPr>
        <c:crossAx val="63367651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AAC98-436E-44EB-BE20-3CAA93DB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2429</Words>
  <Characters>12147</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2023-03-21T08:38:00Z</dcterms:created>
  <dcterms:modified xsi:type="dcterms:W3CDTF">2023-03-21T08:39:00Z</dcterms:modified>
</cp:coreProperties>
</file>