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9709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9709A">
            <w:pPr>
              <w:spacing w:line="360" w:lineRule="auto"/>
              <w:ind w:right="-101"/>
              <w:jc w:val="center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86224C" w:rsidP="0099709A">
            <w:pPr>
              <w:jc w:val="center"/>
            </w:pPr>
            <w:r w:rsidRPr="00A67536">
              <w:rPr>
                <w:noProof/>
                <w:rtl/>
                <w:lang w:eastAsia="en-US"/>
              </w:rPr>
              <w:drawing>
                <wp:inline distT="0" distB="0" distL="0" distR="0" wp14:anchorId="32D8B6C2" wp14:editId="3EE80406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D921A2" w:rsidRPr="00F30DEA" w:rsidRDefault="00D921A2" w:rsidP="00821181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 w:rsidRPr="00F30DEA">
              <w:rPr>
                <w:rFonts w:hint="cs"/>
                <w:rtl/>
              </w:rPr>
              <w:t>ירושלים</w:t>
            </w:r>
            <w:r w:rsidR="002F0DC3">
              <w:rPr>
                <w:rFonts w:hint="cs"/>
                <w:rtl/>
              </w:rPr>
              <w:t xml:space="preserve">, </w:t>
            </w:r>
            <w:r w:rsidR="004E5205">
              <w:rPr>
                <w:rFonts w:hint="cs"/>
                <w:rtl/>
              </w:rPr>
              <w:t>כ</w:t>
            </w:r>
            <w:r w:rsidR="00273AB3">
              <w:rPr>
                <w:rFonts w:hint="cs"/>
                <w:rtl/>
              </w:rPr>
              <w:t>"</w:t>
            </w:r>
            <w:r w:rsidR="00821181">
              <w:rPr>
                <w:rFonts w:hint="cs"/>
                <w:rtl/>
              </w:rPr>
              <w:t>ו</w:t>
            </w:r>
            <w:r w:rsidR="00797E9F">
              <w:rPr>
                <w:rFonts w:hint="cs"/>
                <w:rtl/>
              </w:rPr>
              <w:t xml:space="preserve"> ב</w:t>
            </w:r>
            <w:r w:rsidR="00821181">
              <w:rPr>
                <w:rFonts w:hint="cs"/>
                <w:rtl/>
              </w:rPr>
              <w:t>סיון</w:t>
            </w:r>
            <w:r w:rsidR="00D43807">
              <w:rPr>
                <w:rFonts w:hint="cs"/>
                <w:rtl/>
              </w:rPr>
              <w:t xml:space="preserve"> </w:t>
            </w:r>
            <w:r w:rsidRPr="00F30DEA">
              <w:rPr>
                <w:rFonts w:hint="cs"/>
                <w:rtl/>
              </w:rPr>
              <w:t>ה</w:t>
            </w:r>
            <w:r w:rsidRPr="00F30DEA">
              <w:rPr>
                <w:rtl/>
              </w:rPr>
              <w:t>תשע"</w:t>
            </w:r>
            <w:r w:rsidR="00AD40E5">
              <w:rPr>
                <w:rFonts w:hint="cs"/>
                <w:rtl/>
              </w:rPr>
              <w:t>ז</w:t>
            </w:r>
          </w:p>
          <w:p w:rsidR="00D921A2" w:rsidRPr="00DF107C" w:rsidRDefault="00821181" w:rsidP="00821181">
            <w:pPr>
              <w:spacing w:line="480" w:lineRule="auto"/>
              <w:jc w:val="right"/>
            </w:pPr>
            <w:r>
              <w:rPr>
                <w:rFonts w:hint="cs"/>
                <w:rtl/>
              </w:rPr>
              <w:t>20</w:t>
            </w:r>
            <w:r w:rsidR="00444713">
              <w:rPr>
                <w:rFonts w:hint="cs"/>
                <w:rtl/>
              </w:rPr>
              <w:t xml:space="preserve"> </w:t>
            </w:r>
            <w:r w:rsidR="004E5205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יוני</w:t>
            </w:r>
            <w:r w:rsidR="00444713">
              <w:rPr>
                <w:rFonts w:hint="cs"/>
                <w:rtl/>
              </w:rPr>
              <w:t xml:space="preserve"> </w:t>
            </w:r>
            <w:r w:rsidR="004E5205">
              <w:rPr>
                <w:rFonts w:hint="cs"/>
                <w:rtl/>
              </w:rPr>
              <w:t>2017</w:t>
            </w:r>
            <w:r w:rsidR="00444713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D921A2">
      <w:pPr>
        <w:spacing w:line="360" w:lineRule="auto"/>
        <w:ind w:right="-101"/>
        <w:rPr>
          <w:rtl/>
        </w:rPr>
      </w:pPr>
    </w:p>
    <w:p w:rsidR="00D921A2" w:rsidRDefault="00D921A2" w:rsidP="00D921A2">
      <w:pPr>
        <w:spacing w:line="360" w:lineRule="auto"/>
        <w:ind w:right="-101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C5077B" w:rsidRDefault="00C5077B" w:rsidP="009F28D1">
      <w:pPr>
        <w:spacing w:line="360" w:lineRule="auto"/>
        <w:jc w:val="center"/>
        <w:rPr>
          <w:sz w:val="28"/>
          <w:szCs w:val="28"/>
          <w:u w:val="single"/>
          <w:rtl/>
        </w:rPr>
      </w:pPr>
    </w:p>
    <w:p w:rsidR="00E724A2" w:rsidRPr="002E5159" w:rsidRDefault="0078645B" w:rsidP="00F611CF">
      <w:pPr>
        <w:pStyle w:val="af1"/>
        <w:spacing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4E5205">
        <w:rPr>
          <w:rFonts w:hint="cs"/>
          <w:b/>
          <w:bCs/>
          <w:rtl/>
        </w:rPr>
        <w:t>הר</w:t>
      </w:r>
      <w:r w:rsidR="00F611CF">
        <w:rPr>
          <w:rFonts w:hint="cs"/>
          <w:b/>
          <w:bCs/>
          <w:rtl/>
        </w:rPr>
        <w:t>אשון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2F6225" w:rsidRPr="002E5159">
        <w:rPr>
          <w:rFonts w:hint="cs"/>
          <w:b/>
          <w:bCs/>
          <w:rtl/>
        </w:rPr>
        <w:t>201</w:t>
      </w:r>
      <w:r w:rsidR="00F611CF">
        <w:rPr>
          <w:rFonts w:hint="cs"/>
          <w:b/>
          <w:bCs/>
          <w:rtl/>
        </w:rPr>
        <w:t>7</w:t>
      </w:r>
    </w:p>
    <w:p w:rsidR="00091F3F" w:rsidRPr="007C6DD1" w:rsidRDefault="00F502DF" w:rsidP="00D239DB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7C6DD1">
        <w:rPr>
          <w:b/>
          <w:bCs/>
          <w:rtl/>
        </w:rPr>
        <w:t xml:space="preserve">ברביע </w:t>
      </w:r>
      <w:r w:rsidR="00A71D01" w:rsidRPr="007C6DD1">
        <w:rPr>
          <w:rFonts w:hint="cs"/>
          <w:b/>
          <w:bCs/>
          <w:rtl/>
        </w:rPr>
        <w:t>הר</w:t>
      </w:r>
      <w:r w:rsidR="00A868C3" w:rsidRPr="007C6DD1">
        <w:rPr>
          <w:rFonts w:hint="cs"/>
          <w:b/>
          <w:bCs/>
          <w:rtl/>
        </w:rPr>
        <w:t>אשון</w:t>
      </w:r>
      <w:r w:rsidRPr="007C6DD1">
        <w:rPr>
          <w:b/>
          <w:bCs/>
          <w:rtl/>
        </w:rPr>
        <w:t xml:space="preserve"> של שנת 201</w:t>
      </w:r>
      <w:r w:rsidR="00A868C3" w:rsidRPr="007C6DD1">
        <w:rPr>
          <w:rFonts w:hint="cs"/>
          <w:b/>
          <w:bCs/>
          <w:rtl/>
        </w:rPr>
        <w:t>7</w:t>
      </w:r>
      <w:r w:rsidRPr="007C6DD1">
        <w:rPr>
          <w:b/>
          <w:bCs/>
          <w:rtl/>
        </w:rPr>
        <w:t xml:space="preserve"> </w:t>
      </w:r>
      <w:r w:rsidR="007C6DD1" w:rsidRPr="007C6DD1">
        <w:rPr>
          <w:rFonts w:hint="cs"/>
          <w:b/>
          <w:bCs/>
          <w:rtl/>
        </w:rPr>
        <w:t>עלה</w:t>
      </w:r>
      <w:r w:rsidRPr="007C6DD1">
        <w:rPr>
          <w:b/>
          <w:bCs/>
          <w:rtl/>
        </w:rPr>
        <w:t xml:space="preserve"> שווי</w:t>
      </w:r>
      <w:r w:rsidR="00DA27C9">
        <w:rPr>
          <w:rFonts w:hint="cs"/>
          <w:b/>
          <w:bCs/>
          <w:rtl/>
        </w:rPr>
        <w:t>ה</w:t>
      </w:r>
      <w:r w:rsidRPr="007C6DD1">
        <w:rPr>
          <w:b/>
          <w:bCs/>
          <w:rtl/>
        </w:rPr>
        <w:t xml:space="preserve"> של</w:t>
      </w:r>
      <w:r w:rsidR="00DA27C9">
        <w:rPr>
          <w:rFonts w:hint="cs"/>
          <w:b/>
          <w:bCs/>
          <w:rtl/>
        </w:rPr>
        <w:t xml:space="preserve"> יתרת</w:t>
      </w:r>
      <w:r w:rsidRPr="007C6DD1">
        <w:rPr>
          <w:b/>
          <w:bCs/>
          <w:rtl/>
        </w:rPr>
        <w:t xml:space="preserve"> תיק הנכסים בכ-</w:t>
      </w:r>
      <w:r w:rsidR="007C6DD1" w:rsidRPr="007C6DD1">
        <w:rPr>
          <w:rFonts w:hint="cs"/>
          <w:b/>
          <w:bCs/>
          <w:rtl/>
        </w:rPr>
        <w:t>18</w:t>
      </w:r>
      <w:r w:rsidRPr="007C6DD1">
        <w:rPr>
          <w:b/>
          <w:bCs/>
          <w:rtl/>
        </w:rPr>
        <w:t xml:space="preserve"> מיליארדי ש"ח</w:t>
      </w:r>
      <w:r w:rsidRPr="007C6DD1">
        <w:rPr>
          <w:rFonts w:hint="cs"/>
          <w:b/>
          <w:bCs/>
          <w:rtl/>
        </w:rPr>
        <w:t xml:space="preserve"> </w:t>
      </w:r>
      <w:r w:rsidR="00487856">
        <w:rPr>
          <w:rFonts w:hint="cs"/>
          <w:b/>
          <w:bCs/>
          <w:rtl/>
        </w:rPr>
        <w:t>(</w:t>
      </w:r>
      <w:r w:rsidR="00D239DB">
        <w:rPr>
          <w:rFonts w:hint="cs"/>
          <w:b/>
          <w:bCs/>
          <w:rtl/>
        </w:rPr>
        <w:t>עלייה של כ</w:t>
      </w:r>
      <w:r w:rsidR="00D239DB" w:rsidRPr="003D35E1">
        <w:rPr>
          <w:rFonts w:hint="cs"/>
          <w:b/>
          <w:bCs/>
          <w:rtl/>
        </w:rPr>
        <w:t>-</w:t>
      </w:r>
      <w:r w:rsidR="00D239DB" w:rsidRPr="00091353">
        <w:rPr>
          <w:rFonts w:hint="cs"/>
          <w:b/>
          <w:bCs/>
          <w:rtl/>
        </w:rPr>
        <w:t>0</w:t>
      </w:r>
      <w:r w:rsidR="00D239DB" w:rsidRPr="003D35E1">
        <w:rPr>
          <w:rFonts w:hint="cs"/>
          <w:b/>
          <w:bCs/>
          <w:rtl/>
        </w:rPr>
        <w:t xml:space="preserve">.5%ֵֵֵ </w:t>
      </w:r>
      <w:bookmarkStart w:id="0" w:name="_GoBack"/>
      <w:bookmarkEnd w:id="0"/>
      <w:r w:rsidR="00CB5476" w:rsidRPr="003D35E1">
        <w:rPr>
          <w:rFonts w:hint="cs"/>
          <w:b/>
          <w:bCs/>
          <w:rtl/>
        </w:rPr>
        <w:t xml:space="preserve">לעומת סוף </w:t>
      </w:r>
      <w:r w:rsidR="00A868C3" w:rsidRPr="003D35E1">
        <w:rPr>
          <w:rFonts w:hint="cs"/>
          <w:b/>
          <w:bCs/>
          <w:rtl/>
        </w:rPr>
        <w:t>שנת</w:t>
      </w:r>
      <w:r w:rsidR="002F6225" w:rsidRPr="007C6DD1">
        <w:rPr>
          <w:rFonts w:hint="cs"/>
          <w:b/>
          <w:bCs/>
          <w:rtl/>
        </w:rPr>
        <w:t xml:space="preserve"> </w:t>
      </w:r>
      <w:r w:rsidRPr="007C6DD1">
        <w:rPr>
          <w:rFonts w:hint="cs"/>
          <w:b/>
          <w:bCs/>
          <w:rtl/>
        </w:rPr>
        <w:t>2016</w:t>
      </w:r>
      <w:r w:rsidR="004D6685" w:rsidRPr="007C6DD1">
        <w:rPr>
          <w:rFonts w:hint="cs"/>
          <w:b/>
          <w:bCs/>
          <w:rtl/>
        </w:rPr>
        <w:t xml:space="preserve">) ועמד </w:t>
      </w:r>
      <w:r w:rsidR="003C6456" w:rsidRPr="007C6DD1">
        <w:rPr>
          <w:rFonts w:hint="cs"/>
          <w:b/>
          <w:bCs/>
          <w:rtl/>
        </w:rPr>
        <w:t>בסופו</w:t>
      </w:r>
      <w:r w:rsidR="004D6685" w:rsidRPr="007C6DD1">
        <w:rPr>
          <w:rFonts w:hint="cs"/>
          <w:b/>
          <w:bCs/>
          <w:rtl/>
        </w:rPr>
        <w:t xml:space="preserve"> על כ- </w:t>
      </w:r>
      <w:r w:rsidRPr="007C6DD1">
        <w:rPr>
          <w:rFonts w:hint="cs"/>
          <w:b/>
          <w:bCs/>
          <w:rtl/>
        </w:rPr>
        <w:t>3.</w:t>
      </w:r>
      <w:r w:rsidR="00175BE7" w:rsidRPr="007C6DD1">
        <w:rPr>
          <w:rFonts w:hint="cs"/>
          <w:b/>
          <w:bCs/>
          <w:rtl/>
        </w:rPr>
        <w:t>4</w:t>
      </w:r>
      <w:r w:rsidR="007C6DD1" w:rsidRPr="007C6DD1">
        <w:rPr>
          <w:rFonts w:hint="cs"/>
          <w:b/>
          <w:bCs/>
          <w:rtl/>
        </w:rPr>
        <w:t>6</w:t>
      </w:r>
      <w:r w:rsidR="004D6685" w:rsidRPr="007C6DD1">
        <w:rPr>
          <w:rFonts w:hint="cs"/>
          <w:b/>
          <w:bCs/>
          <w:rtl/>
        </w:rPr>
        <w:t xml:space="preserve"> טריליוני ש"ח.</w:t>
      </w:r>
      <w:r w:rsidR="00091F3F" w:rsidRPr="007C6DD1">
        <w:rPr>
          <w:rFonts w:hint="cs"/>
          <w:b/>
          <w:bCs/>
          <w:rtl/>
        </w:rPr>
        <w:t xml:space="preserve"> </w:t>
      </w:r>
    </w:p>
    <w:p w:rsidR="00B65E49" w:rsidRPr="00091353" w:rsidRDefault="00F502DF" w:rsidP="00E40BD3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091353">
        <w:rPr>
          <w:rFonts w:hint="cs"/>
          <w:b/>
          <w:bCs/>
          <w:rtl/>
        </w:rPr>
        <w:t>העלייה</w:t>
      </w:r>
      <w:r w:rsidR="002F6225" w:rsidRPr="00091353">
        <w:rPr>
          <w:rFonts w:hint="cs"/>
          <w:b/>
          <w:bCs/>
          <w:rtl/>
        </w:rPr>
        <w:t xml:space="preserve"> </w:t>
      </w:r>
      <w:r w:rsidR="009069AE" w:rsidRPr="00091353">
        <w:rPr>
          <w:rFonts w:hint="cs"/>
          <w:b/>
          <w:bCs/>
          <w:rtl/>
        </w:rPr>
        <w:t xml:space="preserve">בשווי התיק ברביע </w:t>
      </w:r>
      <w:r w:rsidR="00175BE7" w:rsidRPr="00091353">
        <w:rPr>
          <w:rFonts w:hint="cs"/>
          <w:b/>
          <w:bCs/>
          <w:rtl/>
        </w:rPr>
        <w:t>הר</w:t>
      </w:r>
      <w:r w:rsidR="00A868C3" w:rsidRPr="00091353">
        <w:rPr>
          <w:rFonts w:hint="cs"/>
          <w:b/>
          <w:bCs/>
          <w:rtl/>
        </w:rPr>
        <w:t>אשון</w:t>
      </w:r>
      <w:r w:rsidR="009069AE" w:rsidRPr="00091353">
        <w:rPr>
          <w:rFonts w:hint="cs"/>
          <w:b/>
          <w:bCs/>
          <w:rtl/>
        </w:rPr>
        <w:t xml:space="preserve"> </w:t>
      </w:r>
      <w:r w:rsidR="002F6225" w:rsidRPr="00091353">
        <w:rPr>
          <w:b/>
          <w:bCs/>
          <w:rtl/>
        </w:rPr>
        <w:t>נבע</w:t>
      </w:r>
      <w:r w:rsidR="003C6456" w:rsidRPr="00091353">
        <w:rPr>
          <w:rFonts w:hint="cs"/>
          <w:b/>
          <w:bCs/>
          <w:rtl/>
        </w:rPr>
        <w:t>ה</w:t>
      </w:r>
      <w:r w:rsidR="002F6225" w:rsidRPr="00091353">
        <w:rPr>
          <w:b/>
          <w:bCs/>
          <w:rtl/>
        </w:rPr>
        <w:t xml:space="preserve"> </w:t>
      </w:r>
      <w:r w:rsidR="00A868C3" w:rsidRPr="00091353">
        <w:rPr>
          <w:rFonts w:hint="cs"/>
          <w:b/>
          <w:bCs/>
          <w:rtl/>
        </w:rPr>
        <w:t>בעיקר מ</w:t>
      </w:r>
      <w:r w:rsidR="007C6DD1" w:rsidRPr="00091353">
        <w:rPr>
          <w:rFonts w:hint="cs"/>
          <w:b/>
          <w:bCs/>
          <w:rtl/>
        </w:rPr>
        <w:t>עלייה</w:t>
      </w:r>
      <w:r w:rsidR="00175BE7" w:rsidRPr="00091353">
        <w:rPr>
          <w:b/>
          <w:bCs/>
          <w:rtl/>
        </w:rPr>
        <w:t xml:space="preserve"> ב</w:t>
      </w:r>
      <w:r w:rsidR="001E02E6" w:rsidRPr="00091353">
        <w:rPr>
          <w:rFonts w:hint="cs"/>
          <w:b/>
          <w:bCs/>
          <w:rtl/>
        </w:rPr>
        <w:t xml:space="preserve">יתרת </w:t>
      </w:r>
      <w:r w:rsidR="007C6DD1" w:rsidRPr="00091353">
        <w:rPr>
          <w:rFonts w:hint="cs"/>
          <w:b/>
          <w:bCs/>
          <w:rtl/>
        </w:rPr>
        <w:t>אג"ח החברות הסחיר</w:t>
      </w:r>
      <w:r w:rsidR="00A868C3" w:rsidRPr="00091353">
        <w:rPr>
          <w:rFonts w:hint="cs"/>
          <w:b/>
          <w:bCs/>
          <w:rtl/>
        </w:rPr>
        <w:t xml:space="preserve">, </w:t>
      </w:r>
      <w:r w:rsidR="001E02E6" w:rsidRPr="00091353">
        <w:rPr>
          <w:rFonts w:hint="cs"/>
          <w:b/>
          <w:bCs/>
          <w:rtl/>
        </w:rPr>
        <w:t>עלייה ביתרת</w:t>
      </w:r>
      <w:r w:rsidR="00A868C3" w:rsidRPr="00091353">
        <w:rPr>
          <w:rFonts w:hint="cs"/>
          <w:b/>
          <w:bCs/>
          <w:rtl/>
        </w:rPr>
        <w:t xml:space="preserve"> ההשקעות </w:t>
      </w:r>
      <w:r w:rsidR="007C6DD1" w:rsidRPr="00091353">
        <w:rPr>
          <w:rFonts w:hint="cs"/>
          <w:b/>
          <w:bCs/>
          <w:rtl/>
        </w:rPr>
        <w:t>במניות</w:t>
      </w:r>
      <w:r w:rsidR="00A868C3" w:rsidRPr="00091353">
        <w:rPr>
          <w:rFonts w:hint="cs"/>
          <w:b/>
          <w:bCs/>
          <w:rtl/>
        </w:rPr>
        <w:t xml:space="preserve"> בחו"ל </w:t>
      </w:r>
      <w:r w:rsidR="007C6DD1" w:rsidRPr="00091353">
        <w:rPr>
          <w:rFonts w:hint="cs"/>
          <w:b/>
          <w:bCs/>
          <w:rtl/>
        </w:rPr>
        <w:t>ו</w:t>
      </w:r>
      <w:r w:rsidR="001E02E6" w:rsidRPr="00091353">
        <w:rPr>
          <w:rFonts w:hint="cs"/>
          <w:b/>
          <w:bCs/>
          <w:rtl/>
        </w:rPr>
        <w:t xml:space="preserve">גידול </w:t>
      </w:r>
      <w:r w:rsidR="007C6DD1" w:rsidRPr="00091353">
        <w:rPr>
          <w:rFonts w:hint="cs"/>
          <w:b/>
          <w:bCs/>
          <w:rtl/>
        </w:rPr>
        <w:t>ברכיב המזומן והפ</w:t>
      </w:r>
      <w:r w:rsidR="00EF7302" w:rsidRPr="00091353">
        <w:rPr>
          <w:rFonts w:hint="cs"/>
          <w:b/>
          <w:bCs/>
          <w:rtl/>
        </w:rPr>
        <w:t>י</w:t>
      </w:r>
      <w:r w:rsidR="007C6DD1" w:rsidRPr="00091353">
        <w:rPr>
          <w:rFonts w:hint="cs"/>
          <w:b/>
          <w:bCs/>
          <w:rtl/>
        </w:rPr>
        <w:t>קדונות</w:t>
      </w:r>
      <w:r w:rsidR="00175BE7" w:rsidRPr="00091353">
        <w:rPr>
          <w:rFonts w:hint="cs"/>
          <w:b/>
          <w:bCs/>
          <w:rtl/>
        </w:rPr>
        <w:t>.</w:t>
      </w:r>
      <w:r w:rsidR="00120AB8" w:rsidRPr="00091353">
        <w:rPr>
          <w:rFonts w:hint="cs"/>
          <w:b/>
          <w:bCs/>
          <w:rtl/>
        </w:rPr>
        <w:t xml:space="preserve"> </w:t>
      </w:r>
      <w:r w:rsidR="00E40BD3" w:rsidRPr="00091353">
        <w:rPr>
          <w:rFonts w:hint="cs"/>
          <w:b/>
          <w:bCs/>
          <w:rtl/>
        </w:rPr>
        <w:t xml:space="preserve">מנגד חלה ירידה בשיעור הנכסים </w:t>
      </w:r>
      <w:r w:rsidR="00AD40E5" w:rsidRPr="00091353">
        <w:rPr>
          <w:rFonts w:hint="cs"/>
          <w:b/>
          <w:bCs/>
          <w:rtl/>
        </w:rPr>
        <w:t>במט"ח</w:t>
      </w:r>
      <w:r w:rsidR="001D109B" w:rsidRPr="00091353">
        <w:rPr>
          <w:rFonts w:hint="cs"/>
          <w:b/>
          <w:bCs/>
          <w:rtl/>
        </w:rPr>
        <w:t>, בעיקר כתוצאה מייסוף השקל במהלך הרביע</w:t>
      </w:r>
      <w:r w:rsidR="00AD40E5" w:rsidRPr="00091353">
        <w:rPr>
          <w:rFonts w:hint="cs"/>
          <w:b/>
          <w:bCs/>
          <w:rtl/>
        </w:rPr>
        <w:t>.</w:t>
      </w:r>
    </w:p>
    <w:p w:rsidR="00AD40E5" w:rsidRPr="007C6DD1" w:rsidRDefault="00175BE7" w:rsidP="00A868C3">
      <w:pPr>
        <w:pStyle w:val="ae"/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7C6DD1">
        <w:rPr>
          <w:b/>
          <w:bCs/>
          <w:rtl/>
        </w:rPr>
        <w:t>שווי יתרת התיק המנוהל בידי המשקיעים המוסדיים עלה ברביע הר</w:t>
      </w:r>
      <w:r w:rsidR="00A868C3" w:rsidRPr="007C6DD1">
        <w:rPr>
          <w:rFonts w:hint="cs"/>
          <w:b/>
          <w:bCs/>
          <w:rtl/>
        </w:rPr>
        <w:t>אשון</w:t>
      </w:r>
      <w:r w:rsidRPr="007C6DD1">
        <w:rPr>
          <w:b/>
          <w:bCs/>
          <w:rtl/>
        </w:rPr>
        <w:t xml:space="preserve"> של שנת 201</w:t>
      </w:r>
      <w:r w:rsidR="00A868C3" w:rsidRPr="007C6DD1">
        <w:rPr>
          <w:rFonts w:hint="cs"/>
          <w:b/>
          <w:bCs/>
          <w:rtl/>
        </w:rPr>
        <w:t>7</w:t>
      </w:r>
      <w:r w:rsidRPr="007C6DD1">
        <w:rPr>
          <w:b/>
          <w:bCs/>
          <w:rtl/>
        </w:rPr>
        <w:t xml:space="preserve"> בכ-1.</w:t>
      </w:r>
      <w:r w:rsidR="00A868C3" w:rsidRPr="007C6DD1">
        <w:rPr>
          <w:rFonts w:hint="cs"/>
          <w:b/>
          <w:bCs/>
          <w:rtl/>
        </w:rPr>
        <w:t>3</w:t>
      </w:r>
      <w:r w:rsidRPr="007C6DD1">
        <w:rPr>
          <w:b/>
          <w:bCs/>
          <w:rtl/>
        </w:rPr>
        <w:t>% (1</w:t>
      </w:r>
      <w:r w:rsidR="00A868C3" w:rsidRPr="007C6DD1">
        <w:rPr>
          <w:rFonts w:hint="cs"/>
          <w:b/>
          <w:bCs/>
          <w:rtl/>
        </w:rPr>
        <w:t>9</w:t>
      </w:r>
      <w:r w:rsidRPr="007C6DD1">
        <w:rPr>
          <w:b/>
          <w:bCs/>
          <w:rtl/>
        </w:rPr>
        <w:t xml:space="preserve"> מיליארדי ש"ח), ועמד בסופו על כ-1.4</w:t>
      </w:r>
      <w:r w:rsidR="00A868C3" w:rsidRPr="007C6DD1">
        <w:rPr>
          <w:rFonts w:hint="cs"/>
          <w:b/>
          <w:bCs/>
          <w:rtl/>
        </w:rPr>
        <w:t>6</w:t>
      </w:r>
      <w:r w:rsidRPr="007C6DD1">
        <w:rPr>
          <w:b/>
          <w:bCs/>
          <w:rtl/>
        </w:rPr>
        <w:t xml:space="preserve"> טריליון ש"ח. העלייה ביתרת התיק נבעה בעיקר מעלייה ברכיבי המזומן והפיקדונות</w:t>
      </w:r>
      <w:r w:rsidR="00A868C3" w:rsidRPr="007C6DD1">
        <w:rPr>
          <w:rFonts w:hint="cs"/>
          <w:b/>
          <w:bCs/>
          <w:rtl/>
        </w:rPr>
        <w:t>,</w:t>
      </w:r>
      <w:r w:rsidRPr="007C6DD1">
        <w:rPr>
          <w:b/>
          <w:bCs/>
          <w:rtl/>
        </w:rPr>
        <w:t xml:space="preserve"> </w:t>
      </w:r>
      <w:r w:rsidR="00A868C3" w:rsidRPr="007C6DD1">
        <w:rPr>
          <w:rFonts w:hint="cs"/>
          <w:b/>
          <w:bCs/>
          <w:rtl/>
        </w:rPr>
        <w:t>האג"ח הממשלתיות וה</w:t>
      </w:r>
      <w:r w:rsidRPr="007C6DD1">
        <w:rPr>
          <w:b/>
          <w:bCs/>
          <w:rtl/>
        </w:rPr>
        <w:t>מניות בחו"ל</w:t>
      </w:r>
      <w:r w:rsidRPr="007C6DD1">
        <w:rPr>
          <w:rFonts w:hint="cs"/>
          <w:b/>
          <w:bCs/>
          <w:rtl/>
        </w:rPr>
        <w:t>,</w:t>
      </w:r>
      <w:r w:rsidRPr="007C6DD1">
        <w:rPr>
          <w:b/>
          <w:bCs/>
          <w:rtl/>
        </w:rPr>
        <w:t xml:space="preserve"> והיא קוזזה בחלקה ע"י ירידה באג"ח </w:t>
      </w:r>
      <w:r w:rsidR="00A868C3" w:rsidRPr="007C6DD1">
        <w:rPr>
          <w:rFonts w:hint="cs"/>
          <w:b/>
          <w:bCs/>
          <w:rtl/>
        </w:rPr>
        <w:t>בחו"ל</w:t>
      </w:r>
      <w:r w:rsidRPr="007C6DD1">
        <w:rPr>
          <w:rFonts w:hint="cs"/>
          <w:b/>
          <w:bCs/>
          <w:rtl/>
        </w:rPr>
        <w:t>.</w:t>
      </w:r>
    </w:p>
    <w:p w:rsidR="00AD1F1B" w:rsidRPr="007C6DD1" w:rsidRDefault="00AD40E5" w:rsidP="00D77974">
      <w:pPr>
        <w:numPr>
          <w:ilvl w:val="0"/>
          <w:numId w:val="8"/>
        </w:numPr>
        <w:spacing w:line="360" w:lineRule="auto"/>
        <w:jc w:val="both"/>
        <w:rPr>
          <w:b/>
          <w:bCs/>
        </w:rPr>
      </w:pPr>
      <w:r w:rsidRPr="007C6DD1">
        <w:rPr>
          <w:rFonts w:hint="cs"/>
          <w:b/>
          <w:bCs/>
          <w:rtl/>
        </w:rPr>
        <w:t xml:space="preserve">ברביע </w:t>
      </w:r>
      <w:r w:rsidR="00175BE7" w:rsidRPr="007C6DD1">
        <w:rPr>
          <w:rFonts w:hint="cs"/>
          <w:b/>
          <w:bCs/>
          <w:rtl/>
        </w:rPr>
        <w:t>הר</w:t>
      </w:r>
      <w:r w:rsidR="00D77974">
        <w:rPr>
          <w:rFonts w:hint="cs"/>
          <w:b/>
          <w:bCs/>
          <w:rtl/>
        </w:rPr>
        <w:t>אשון</w:t>
      </w:r>
      <w:r w:rsidRPr="007C6DD1">
        <w:rPr>
          <w:rFonts w:hint="cs"/>
          <w:b/>
          <w:bCs/>
          <w:rtl/>
        </w:rPr>
        <w:t xml:space="preserve"> של השנה, </w:t>
      </w:r>
      <w:r w:rsidR="009E6953" w:rsidRPr="007C6DD1">
        <w:rPr>
          <w:rFonts w:hint="cs"/>
          <w:b/>
          <w:bCs/>
          <w:rtl/>
        </w:rPr>
        <w:t>נרשמו</w:t>
      </w:r>
      <w:r w:rsidRPr="007C6DD1">
        <w:rPr>
          <w:rFonts w:hint="cs"/>
          <w:b/>
          <w:bCs/>
          <w:rtl/>
        </w:rPr>
        <w:t xml:space="preserve"> </w:t>
      </w:r>
      <w:r w:rsidR="00A868C3" w:rsidRPr="007C6DD1">
        <w:rPr>
          <w:rFonts w:hint="cs"/>
          <w:b/>
          <w:bCs/>
          <w:rtl/>
        </w:rPr>
        <w:t>הפקדות</w:t>
      </w:r>
      <w:r w:rsidRPr="007C6DD1">
        <w:rPr>
          <w:rFonts w:hint="cs"/>
          <w:b/>
          <w:bCs/>
          <w:rtl/>
        </w:rPr>
        <w:t xml:space="preserve"> נטו </w:t>
      </w:r>
      <w:r w:rsidR="009E6953" w:rsidRPr="007C6DD1">
        <w:rPr>
          <w:rFonts w:hint="cs"/>
          <w:b/>
          <w:bCs/>
          <w:rtl/>
        </w:rPr>
        <w:t xml:space="preserve">בקרנות הנאמנות </w:t>
      </w:r>
      <w:r w:rsidRPr="007C6DD1">
        <w:rPr>
          <w:rFonts w:hint="cs"/>
          <w:b/>
          <w:bCs/>
          <w:rtl/>
        </w:rPr>
        <w:t xml:space="preserve">בהיקף של כ- </w:t>
      </w:r>
      <w:r w:rsidR="00175BE7" w:rsidRPr="007C6DD1">
        <w:rPr>
          <w:rFonts w:hint="cs"/>
          <w:b/>
          <w:bCs/>
          <w:rtl/>
        </w:rPr>
        <w:t>3.</w:t>
      </w:r>
      <w:r w:rsidR="00A868C3" w:rsidRPr="007C6DD1">
        <w:rPr>
          <w:rFonts w:hint="cs"/>
          <w:b/>
          <w:bCs/>
          <w:rtl/>
        </w:rPr>
        <w:t>3</w:t>
      </w:r>
      <w:r w:rsidRPr="007C6DD1">
        <w:rPr>
          <w:rFonts w:hint="cs"/>
          <w:b/>
          <w:bCs/>
          <w:rtl/>
        </w:rPr>
        <w:t xml:space="preserve"> מיליארדי ש"ח.</w:t>
      </w:r>
    </w:p>
    <w:p w:rsidR="00AD40E5" w:rsidRPr="00AD40E5" w:rsidRDefault="00AD40E5" w:rsidP="00AD40E5">
      <w:pPr>
        <w:spacing w:line="360" w:lineRule="auto"/>
        <w:ind w:left="720"/>
        <w:jc w:val="both"/>
        <w:rPr>
          <w:b/>
          <w:bCs/>
          <w:rtl/>
        </w:rPr>
      </w:pPr>
    </w:p>
    <w:p w:rsidR="002A7E7B" w:rsidRPr="002E5159" w:rsidRDefault="002A7E7B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</w:p>
    <w:p w:rsidR="001F3A15" w:rsidRDefault="0027468F" w:rsidP="00B5166B">
      <w:pPr>
        <w:spacing w:line="360" w:lineRule="auto"/>
        <w:jc w:val="both"/>
        <w:rPr>
          <w:b/>
          <w:bCs/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4E5205">
        <w:rPr>
          <w:rFonts w:hint="cs"/>
          <w:b/>
          <w:bCs/>
          <w:rtl/>
        </w:rPr>
        <w:t>הר</w:t>
      </w:r>
      <w:r w:rsidR="00670985">
        <w:rPr>
          <w:rFonts w:hint="cs"/>
          <w:b/>
          <w:bCs/>
          <w:rtl/>
        </w:rPr>
        <w:t>אשון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2</w:t>
      </w:r>
      <w:r w:rsidR="00670985">
        <w:rPr>
          <w:rFonts w:hint="cs"/>
          <w:b/>
          <w:bCs/>
          <w:rtl/>
        </w:rPr>
        <w:t>017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B5166B">
        <w:rPr>
          <w:rFonts w:hint="cs"/>
          <w:rtl/>
        </w:rPr>
        <w:t>עלה</w:t>
      </w:r>
      <w:r w:rsidR="003C6456" w:rsidRPr="0024359D">
        <w:rPr>
          <w:rFonts w:hint="cs"/>
          <w:b/>
          <w:bCs/>
          <w:rtl/>
        </w:rPr>
        <w:t xml:space="preserve"> </w:t>
      </w:r>
      <w:r w:rsidR="0049743C" w:rsidRPr="00C75BF9">
        <w:rPr>
          <w:rFonts w:hint="cs"/>
          <w:rtl/>
        </w:rPr>
        <w:t>שווי</w:t>
      </w:r>
      <w:r w:rsidR="003C6456">
        <w:rPr>
          <w:rFonts w:hint="cs"/>
          <w:rtl/>
        </w:rPr>
        <w:t>ו של</w:t>
      </w:r>
      <w:r w:rsidR="0049743C" w:rsidRPr="00C75BF9">
        <w:rPr>
          <w:rFonts w:hint="cs"/>
          <w:rtl/>
        </w:rPr>
        <w:t xml:space="preserve"> תיק הנכסים </w:t>
      </w:r>
      <w:r w:rsidR="00C95059">
        <w:rPr>
          <w:rFonts w:hint="cs"/>
          <w:rtl/>
        </w:rPr>
        <w:t xml:space="preserve">בכ- </w:t>
      </w:r>
      <w:r w:rsidR="00B5166B">
        <w:rPr>
          <w:rFonts w:hint="cs"/>
          <w:rtl/>
        </w:rPr>
        <w:t>18</w:t>
      </w:r>
      <w:r w:rsidR="00C95059">
        <w:rPr>
          <w:rFonts w:hint="cs"/>
          <w:rtl/>
        </w:rPr>
        <w:t xml:space="preserve"> מיליארדי </w:t>
      </w:r>
      <w:r w:rsidR="00F502DF">
        <w:rPr>
          <w:rFonts w:hint="cs"/>
          <w:rtl/>
        </w:rPr>
        <w:t>₪ (</w:t>
      </w:r>
      <w:r w:rsidR="001E2E5B">
        <w:rPr>
          <w:rFonts w:hint="cs"/>
          <w:rtl/>
        </w:rPr>
        <w:t>0.</w:t>
      </w:r>
      <w:r w:rsidR="00B5166B">
        <w:rPr>
          <w:rFonts w:hint="cs"/>
          <w:rtl/>
        </w:rPr>
        <w:t>5</w:t>
      </w:r>
      <w:r w:rsidR="00F502DF">
        <w:rPr>
          <w:rFonts w:hint="cs"/>
          <w:rtl/>
        </w:rPr>
        <w:t>%)</w:t>
      </w:r>
      <w:r w:rsidR="001F2087" w:rsidRPr="00C75BF9">
        <w:rPr>
          <w:rFonts w:hint="cs"/>
          <w:rtl/>
        </w:rPr>
        <w:t xml:space="preserve"> </w:t>
      </w:r>
      <w:r w:rsidR="0049743C">
        <w:rPr>
          <w:rFonts w:hint="cs"/>
          <w:rtl/>
        </w:rPr>
        <w:t xml:space="preserve">ועמד </w:t>
      </w:r>
      <w:r w:rsidR="003C6456">
        <w:rPr>
          <w:rFonts w:hint="cs"/>
          <w:rtl/>
        </w:rPr>
        <w:t>בסופו</w:t>
      </w:r>
      <w:r w:rsidR="0049743C">
        <w:rPr>
          <w:rFonts w:hint="cs"/>
          <w:rtl/>
        </w:rPr>
        <w:t xml:space="preserve"> על כ- </w:t>
      </w:r>
      <w:r w:rsidR="00B5166B">
        <w:rPr>
          <w:rFonts w:hint="cs"/>
          <w:rtl/>
        </w:rPr>
        <w:t>3.46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F3982">
        <w:rPr>
          <w:rFonts w:hint="cs"/>
          <w:rtl/>
        </w:rPr>
        <w:t>.</w:t>
      </w:r>
      <w:r w:rsidR="00313272">
        <w:rPr>
          <w:rFonts w:hint="cs"/>
          <w:b/>
          <w:bCs/>
          <w:rtl/>
        </w:rPr>
        <w:t xml:space="preserve"> </w:t>
      </w:r>
    </w:p>
    <w:p w:rsidR="00264EA8" w:rsidRDefault="00264EA8" w:rsidP="007A34E9">
      <w:pPr>
        <w:spacing w:line="360" w:lineRule="auto"/>
        <w:jc w:val="both"/>
        <w:rPr>
          <w:rtl/>
        </w:rPr>
      </w:pPr>
      <w:r w:rsidRPr="00264EA8">
        <w:rPr>
          <w:rtl/>
        </w:rPr>
        <w:t>ה</w:t>
      </w:r>
      <w:r w:rsidR="00B5166B">
        <w:rPr>
          <w:rFonts w:hint="cs"/>
          <w:rtl/>
        </w:rPr>
        <w:t>עלייה</w:t>
      </w:r>
      <w:r w:rsidRPr="00264EA8">
        <w:rPr>
          <w:rtl/>
        </w:rPr>
        <w:t xml:space="preserve"> בשווי התיק ברביע </w:t>
      </w:r>
      <w:r w:rsidR="004E5205">
        <w:rPr>
          <w:rFonts w:hint="cs"/>
          <w:rtl/>
        </w:rPr>
        <w:t>הר</w:t>
      </w:r>
      <w:r w:rsidR="001E2E5B">
        <w:rPr>
          <w:rFonts w:hint="cs"/>
          <w:rtl/>
        </w:rPr>
        <w:t>אשון</w:t>
      </w:r>
      <w:r w:rsidRPr="00264EA8">
        <w:rPr>
          <w:rtl/>
        </w:rPr>
        <w:t xml:space="preserve"> נבעה בעיקר מ</w:t>
      </w:r>
      <w:r w:rsidR="00B5166B">
        <w:rPr>
          <w:rFonts w:hint="cs"/>
          <w:rtl/>
        </w:rPr>
        <w:t>עלייה</w:t>
      </w:r>
      <w:r w:rsidRPr="00264EA8">
        <w:rPr>
          <w:rtl/>
        </w:rPr>
        <w:t xml:space="preserve"> </w:t>
      </w:r>
      <w:r w:rsidR="007A34E9" w:rsidRPr="00264EA8">
        <w:rPr>
          <w:rtl/>
        </w:rPr>
        <w:t>ב</w:t>
      </w:r>
      <w:r w:rsidR="007A34E9">
        <w:rPr>
          <w:rFonts w:hint="cs"/>
          <w:rtl/>
        </w:rPr>
        <w:t>יתרת</w:t>
      </w:r>
      <w:r w:rsidR="007A34E9" w:rsidRPr="00264EA8">
        <w:rPr>
          <w:rtl/>
        </w:rPr>
        <w:t xml:space="preserve"> </w:t>
      </w:r>
      <w:r w:rsidR="00B5166B">
        <w:rPr>
          <w:rFonts w:hint="cs"/>
          <w:rtl/>
        </w:rPr>
        <w:t>אג"ח החברות הסחיר</w:t>
      </w:r>
      <w:r w:rsidR="001E2E5B">
        <w:rPr>
          <w:rFonts w:hint="cs"/>
          <w:rtl/>
        </w:rPr>
        <w:t xml:space="preserve"> (</w:t>
      </w:r>
      <w:r w:rsidR="00B5166B">
        <w:rPr>
          <w:rFonts w:hint="cs"/>
          <w:rtl/>
        </w:rPr>
        <w:t>13.1</w:t>
      </w:r>
      <w:r w:rsidR="001E2E5B">
        <w:rPr>
          <w:rFonts w:hint="cs"/>
          <w:rtl/>
        </w:rPr>
        <w:t xml:space="preserve"> מיליארדים, </w:t>
      </w:r>
      <w:r w:rsidR="00B5166B">
        <w:rPr>
          <w:rFonts w:hint="cs"/>
          <w:rtl/>
        </w:rPr>
        <w:t>4.4</w:t>
      </w:r>
      <w:r w:rsidR="001E2E5B" w:rsidRPr="00CD3D12">
        <w:rPr>
          <w:rFonts w:hint="cs"/>
          <w:rtl/>
        </w:rPr>
        <w:t>%)</w:t>
      </w:r>
      <w:r w:rsidR="001E2E5B">
        <w:rPr>
          <w:rFonts w:hint="cs"/>
          <w:rtl/>
        </w:rPr>
        <w:t>,</w:t>
      </w:r>
      <w:r w:rsidR="001E2E5B" w:rsidRPr="00CD3D12">
        <w:rPr>
          <w:rFonts w:hint="cs"/>
          <w:rtl/>
        </w:rPr>
        <w:t xml:space="preserve"> ב</w:t>
      </w:r>
      <w:r w:rsidR="007A34E9">
        <w:rPr>
          <w:rFonts w:hint="cs"/>
          <w:rtl/>
        </w:rPr>
        <w:t>יתרת</w:t>
      </w:r>
      <w:r w:rsidR="001E2E5B" w:rsidRPr="00CD3D12">
        <w:rPr>
          <w:rFonts w:hint="cs"/>
          <w:rtl/>
        </w:rPr>
        <w:t xml:space="preserve"> ההשקעות </w:t>
      </w:r>
      <w:r w:rsidR="00B5166B">
        <w:rPr>
          <w:rFonts w:hint="cs"/>
          <w:rtl/>
        </w:rPr>
        <w:t>במניות</w:t>
      </w:r>
      <w:r w:rsidR="001E2E5B">
        <w:rPr>
          <w:rFonts w:hint="cs"/>
          <w:rtl/>
        </w:rPr>
        <w:t xml:space="preserve"> ב</w:t>
      </w:r>
      <w:r w:rsidR="001E2E5B" w:rsidRPr="00CD3D12">
        <w:rPr>
          <w:rFonts w:hint="cs"/>
          <w:rtl/>
        </w:rPr>
        <w:t>חו"ל (</w:t>
      </w:r>
      <w:r w:rsidR="00B5166B">
        <w:rPr>
          <w:rFonts w:hint="cs"/>
          <w:rtl/>
        </w:rPr>
        <w:t>9.9</w:t>
      </w:r>
      <w:r w:rsidR="001E2E5B" w:rsidRPr="00CD3D12">
        <w:rPr>
          <w:rFonts w:hint="cs"/>
          <w:rtl/>
        </w:rPr>
        <w:t xml:space="preserve"> מיליארדים, </w:t>
      </w:r>
      <w:r w:rsidR="001E2E5B">
        <w:rPr>
          <w:rFonts w:hint="cs"/>
          <w:rtl/>
        </w:rPr>
        <w:t>3</w:t>
      </w:r>
      <w:r w:rsidR="00B5166B">
        <w:rPr>
          <w:rFonts w:hint="cs"/>
          <w:rtl/>
        </w:rPr>
        <w:t>.7</w:t>
      </w:r>
      <w:r w:rsidR="001E2E5B">
        <w:rPr>
          <w:rFonts w:hint="cs"/>
          <w:rtl/>
        </w:rPr>
        <w:t>%</w:t>
      </w:r>
      <w:r w:rsidR="001E2E5B" w:rsidRPr="00CD3D12">
        <w:rPr>
          <w:rFonts w:hint="cs"/>
          <w:rtl/>
        </w:rPr>
        <w:t>)</w:t>
      </w:r>
      <w:r w:rsidR="001E2E5B">
        <w:rPr>
          <w:rFonts w:hint="cs"/>
          <w:rtl/>
        </w:rPr>
        <w:t xml:space="preserve"> </w:t>
      </w:r>
      <w:r w:rsidR="00B5166B">
        <w:rPr>
          <w:rFonts w:hint="cs"/>
          <w:rtl/>
        </w:rPr>
        <w:t>וברכיב המזומן והפ</w:t>
      </w:r>
      <w:r w:rsidR="00816C6C">
        <w:rPr>
          <w:rFonts w:hint="cs"/>
          <w:rtl/>
        </w:rPr>
        <w:t>י</w:t>
      </w:r>
      <w:r w:rsidR="00B5166B">
        <w:rPr>
          <w:rFonts w:hint="cs"/>
          <w:rtl/>
        </w:rPr>
        <w:t xml:space="preserve">קדונות </w:t>
      </w:r>
      <w:r w:rsidR="001E2E5B">
        <w:rPr>
          <w:rFonts w:hint="cs"/>
          <w:rtl/>
        </w:rPr>
        <w:t>(</w:t>
      </w:r>
      <w:r w:rsidR="00B5166B">
        <w:rPr>
          <w:rFonts w:hint="cs"/>
          <w:rtl/>
        </w:rPr>
        <w:t>7.1</w:t>
      </w:r>
      <w:r w:rsidR="001E2E5B">
        <w:rPr>
          <w:rFonts w:hint="cs"/>
          <w:rtl/>
        </w:rPr>
        <w:t xml:space="preserve"> מיליארדים, </w:t>
      </w:r>
      <w:r w:rsidR="00B5166B">
        <w:rPr>
          <w:rFonts w:hint="cs"/>
          <w:rtl/>
        </w:rPr>
        <w:t>0.6</w:t>
      </w:r>
      <w:r w:rsidR="001E2E5B">
        <w:rPr>
          <w:rFonts w:hint="cs"/>
          <w:rtl/>
        </w:rPr>
        <w:t>%)</w:t>
      </w:r>
      <w:r w:rsidR="001E2E5B" w:rsidRPr="00264EA8">
        <w:rPr>
          <w:rtl/>
        </w:rPr>
        <w:t xml:space="preserve">. </w:t>
      </w:r>
      <w:r w:rsidR="00BC3A96">
        <w:rPr>
          <w:rFonts w:hint="cs"/>
          <w:rtl/>
        </w:rPr>
        <w:t>עלייה</w:t>
      </w:r>
      <w:r w:rsidR="001E2E5B">
        <w:rPr>
          <w:rFonts w:hint="cs"/>
          <w:rtl/>
        </w:rPr>
        <w:t xml:space="preserve"> זו קוזזה בחלקה על ידי </w:t>
      </w:r>
      <w:r w:rsidR="00BC3A96">
        <w:rPr>
          <w:rFonts w:hint="cs"/>
          <w:rtl/>
        </w:rPr>
        <w:t>ירידה</w:t>
      </w:r>
      <w:r w:rsidR="001E2E5B">
        <w:rPr>
          <w:rFonts w:hint="cs"/>
          <w:rtl/>
        </w:rPr>
        <w:t xml:space="preserve"> ב</w:t>
      </w:r>
      <w:r w:rsidR="00BC3A96">
        <w:rPr>
          <w:rFonts w:hint="cs"/>
          <w:rtl/>
        </w:rPr>
        <w:t>יתרת</w:t>
      </w:r>
      <w:r w:rsidR="001E2E5B">
        <w:rPr>
          <w:rFonts w:hint="cs"/>
          <w:rtl/>
        </w:rPr>
        <w:t xml:space="preserve"> </w:t>
      </w:r>
      <w:r w:rsidR="00BC3A96">
        <w:rPr>
          <w:rFonts w:hint="cs"/>
          <w:rtl/>
        </w:rPr>
        <w:t>הפ</w:t>
      </w:r>
      <w:r w:rsidR="00816C6C">
        <w:rPr>
          <w:rFonts w:hint="cs"/>
          <w:rtl/>
        </w:rPr>
        <w:t>י</w:t>
      </w:r>
      <w:r w:rsidR="00BC3A96">
        <w:rPr>
          <w:rFonts w:hint="cs"/>
          <w:rtl/>
        </w:rPr>
        <w:t>קדונות בחו"ל</w:t>
      </w:r>
      <w:r w:rsidR="001E2E5B">
        <w:rPr>
          <w:rFonts w:hint="cs"/>
          <w:rtl/>
        </w:rPr>
        <w:t xml:space="preserve"> (</w:t>
      </w:r>
      <w:r w:rsidR="00BC3A96">
        <w:rPr>
          <w:rFonts w:hint="cs"/>
          <w:rtl/>
        </w:rPr>
        <w:t>5.4</w:t>
      </w:r>
      <w:r w:rsidR="001E2E5B">
        <w:rPr>
          <w:rFonts w:hint="cs"/>
          <w:rtl/>
        </w:rPr>
        <w:t xml:space="preserve"> מיליארדים, </w:t>
      </w:r>
      <w:r w:rsidR="00BC3A96">
        <w:rPr>
          <w:rFonts w:hint="cs"/>
          <w:rtl/>
        </w:rPr>
        <w:t>28</w:t>
      </w:r>
      <w:r w:rsidR="001E2E5B">
        <w:rPr>
          <w:rFonts w:hint="cs"/>
          <w:rtl/>
        </w:rPr>
        <w:t>%</w:t>
      </w:r>
      <w:r w:rsidR="00BC3A96">
        <w:rPr>
          <w:rFonts w:hint="cs"/>
          <w:rtl/>
        </w:rPr>
        <w:t>-</w:t>
      </w:r>
      <w:r w:rsidR="001E2E5B">
        <w:rPr>
          <w:rFonts w:hint="cs"/>
          <w:rtl/>
        </w:rPr>
        <w:t>)</w:t>
      </w:r>
      <w:r w:rsidR="00BC3A96">
        <w:rPr>
          <w:rFonts w:hint="cs"/>
          <w:rtl/>
        </w:rPr>
        <w:t>,</w:t>
      </w:r>
      <w:r w:rsidR="001E2E5B">
        <w:rPr>
          <w:rFonts w:hint="cs"/>
          <w:rtl/>
        </w:rPr>
        <w:t xml:space="preserve"> </w:t>
      </w:r>
      <w:r w:rsidR="007A34E9">
        <w:rPr>
          <w:rFonts w:hint="cs"/>
          <w:rtl/>
        </w:rPr>
        <w:t>ב</w:t>
      </w:r>
      <w:r w:rsidR="00BC3A96">
        <w:rPr>
          <w:rFonts w:hint="cs"/>
          <w:rtl/>
        </w:rPr>
        <w:t>יתרת המניות בארץ</w:t>
      </w:r>
      <w:r w:rsidR="004E5205">
        <w:rPr>
          <w:rFonts w:hint="cs"/>
          <w:rtl/>
        </w:rPr>
        <w:t xml:space="preserve"> (</w:t>
      </w:r>
      <w:r w:rsidR="00BC3A96">
        <w:rPr>
          <w:rFonts w:hint="cs"/>
          <w:rtl/>
        </w:rPr>
        <w:t>5</w:t>
      </w:r>
      <w:r w:rsidR="004E5205">
        <w:rPr>
          <w:rFonts w:hint="cs"/>
          <w:rtl/>
        </w:rPr>
        <w:t xml:space="preserve"> מיליארדים, </w:t>
      </w:r>
      <w:r w:rsidR="00BC3A96">
        <w:rPr>
          <w:rFonts w:hint="cs"/>
          <w:rtl/>
        </w:rPr>
        <w:t>1</w:t>
      </w:r>
      <w:r w:rsidR="004E5205">
        <w:rPr>
          <w:rFonts w:hint="cs"/>
          <w:rtl/>
        </w:rPr>
        <w:t>%</w:t>
      </w:r>
      <w:r w:rsidR="00BC3A96">
        <w:rPr>
          <w:rFonts w:hint="cs"/>
          <w:rtl/>
        </w:rPr>
        <w:t>-</w:t>
      </w:r>
      <w:r w:rsidR="004E5205">
        <w:rPr>
          <w:rFonts w:hint="cs"/>
          <w:rtl/>
        </w:rPr>
        <w:t>)</w:t>
      </w:r>
      <w:r w:rsidR="007A34E9">
        <w:rPr>
          <w:rFonts w:hint="cs"/>
          <w:rtl/>
        </w:rPr>
        <w:t xml:space="preserve"> וב</w:t>
      </w:r>
      <w:r w:rsidR="00BC3A96">
        <w:rPr>
          <w:rFonts w:hint="cs"/>
          <w:rtl/>
        </w:rPr>
        <w:t>יתרת האג"</w:t>
      </w:r>
      <w:r w:rsidR="007B1AE2">
        <w:rPr>
          <w:rFonts w:hint="cs"/>
          <w:rtl/>
        </w:rPr>
        <w:t>ח הממשלתי ה</w:t>
      </w:r>
      <w:r w:rsidR="00BC3A96">
        <w:rPr>
          <w:rFonts w:hint="cs"/>
          <w:rtl/>
        </w:rPr>
        <w:t>סחיר (3.4 מיליארדים, 0.9%-)</w:t>
      </w:r>
      <w:r w:rsidR="001E2E5B">
        <w:rPr>
          <w:rFonts w:hint="cs"/>
          <w:rtl/>
        </w:rPr>
        <w:t>.</w:t>
      </w:r>
    </w:p>
    <w:p w:rsidR="00471DDD" w:rsidRDefault="00181A28" w:rsidP="00B56B26">
      <w:pPr>
        <w:spacing w:line="360" w:lineRule="auto"/>
        <w:jc w:val="both"/>
        <w:rPr>
          <w:rtl/>
        </w:rPr>
      </w:pPr>
      <w:r>
        <w:rPr>
          <w:rFonts w:hint="cs"/>
          <w:rtl/>
        </w:rPr>
        <w:t>משקל</w:t>
      </w:r>
      <w:r w:rsidR="00471DDD" w:rsidRPr="00803998">
        <w:rPr>
          <w:rFonts w:hint="cs"/>
          <w:rtl/>
        </w:rPr>
        <w:t xml:space="preserve"> תיק הנכסים</w:t>
      </w:r>
      <w:r w:rsidR="00803998" w:rsidRPr="00803998">
        <w:rPr>
          <w:rFonts w:hint="cs"/>
          <w:rtl/>
        </w:rPr>
        <w:t xml:space="preserve"> הפ</w:t>
      </w:r>
      <w:r>
        <w:rPr>
          <w:rFonts w:hint="cs"/>
          <w:rtl/>
        </w:rPr>
        <w:t>יננסיים של הציבור ביחס לתוצר</w:t>
      </w:r>
      <w:r w:rsidR="001F3A15" w:rsidRPr="00803998">
        <w:rPr>
          <w:rFonts w:hint="cs"/>
          <w:rtl/>
        </w:rPr>
        <w:t xml:space="preserve"> </w:t>
      </w:r>
      <w:r w:rsidR="00196A7F">
        <w:rPr>
          <w:rFonts w:hint="cs"/>
          <w:rtl/>
        </w:rPr>
        <w:t>ירד</w:t>
      </w:r>
      <w:r w:rsidR="00264EA8">
        <w:rPr>
          <w:rFonts w:hint="cs"/>
          <w:rtl/>
        </w:rPr>
        <w:t xml:space="preserve"> במהלך הרביע</w:t>
      </w:r>
      <w:r w:rsidR="00803998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>ועמד</w:t>
      </w:r>
      <w:r w:rsidR="003C6456" w:rsidRPr="00803998">
        <w:rPr>
          <w:rFonts w:hint="cs"/>
          <w:rtl/>
        </w:rPr>
        <w:t xml:space="preserve"> </w:t>
      </w:r>
      <w:r w:rsidR="001F3A15" w:rsidRPr="00803998">
        <w:rPr>
          <w:rFonts w:hint="cs"/>
          <w:rtl/>
        </w:rPr>
        <w:t xml:space="preserve">בסוף </w:t>
      </w:r>
      <w:r w:rsidR="00196A7F">
        <w:rPr>
          <w:rFonts w:hint="cs"/>
          <w:rtl/>
        </w:rPr>
        <w:t>מרץ</w:t>
      </w:r>
      <w:r w:rsidR="001F3A15" w:rsidRPr="00803998">
        <w:rPr>
          <w:rFonts w:hint="cs"/>
          <w:rtl/>
        </w:rPr>
        <w:t xml:space="preserve"> </w:t>
      </w:r>
      <w:r w:rsidR="003C6456" w:rsidRPr="00803998">
        <w:rPr>
          <w:rFonts w:hint="cs"/>
          <w:rtl/>
        </w:rPr>
        <w:t>201</w:t>
      </w:r>
      <w:r w:rsidR="00196A7F">
        <w:rPr>
          <w:rFonts w:hint="cs"/>
          <w:rtl/>
        </w:rPr>
        <w:t>7</w:t>
      </w:r>
      <w:r w:rsidR="001F3A15" w:rsidRPr="00803998">
        <w:rPr>
          <w:rFonts w:hint="cs"/>
          <w:rtl/>
        </w:rPr>
        <w:t xml:space="preserve"> </w:t>
      </w:r>
      <w:r w:rsidR="009C57D7">
        <w:rPr>
          <w:rFonts w:hint="cs"/>
          <w:rtl/>
        </w:rPr>
        <w:t xml:space="preserve">על </w:t>
      </w:r>
      <w:r w:rsidR="001F3A15" w:rsidRPr="00803998">
        <w:rPr>
          <w:rFonts w:hint="cs"/>
          <w:rtl/>
        </w:rPr>
        <w:t>כ-</w:t>
      </w:r>
      <w:r w:rsidR="00196A7F">
        <w:rPr>
          <w:rFonts w:hint="cs"/>
          <w:rtl/>
        </w:rPr>
        <w:t>27</w:t>
      </w:r>
      <w:r w:rsidR="003A0BD1">
        <w:rPr>
          <w:rFonts w:hint="cs"/>
          <w:rtl/>
        </w:rPr>
        <w:t>9</w:t>
      </w:r>
      <w:r w:rsidR="00196A7F">
        <w:rPr>
          <w:rFonts w:hint="cs"/>
          <w:rtl/>
        </w:rPr>
        <w:t>.</w:t>
      </w:r>
      <w:r w:rsidR="003A0BD1">
        <w:rPr>
          <w:rFonts w:hint="cs"/>
          <w:rtl/>
        </w:rPr>
        <w:t>6</w:t>
      </w:r>
      <w:r w:rsidR="001F3A15" w:rsidRPr="00803998">
        <w:rPr>
          <w:rFonts w:hint="cs"/>
          <w:rtl/>
        </w:rPr>
        <w:t>%</w:t>
      </w:r>
      <w:r w:rsidR="00720C4A" w:rsidRPr="00803998">
        <w:rPr>
          <w:rFonts w:hint="cs"/>
          <w:rtl/>
        </w:rPr>
        <w:t xml:space="preserve"> (תרשים 2)</w:t>
      </w:r>
      <w:r w:rsidR="00B8580E">
        <w:rPr>
          <w:rFonts w:hint="cs"/>
          <w:rtl/>
        </w:rPr>
        <w:t>,</w:t>
      </w:r>
      <w:r w:rsidR="001F3A15">
        <w:rPr>
          <w:rFonts w:hint="cs"/>
          <w:rtl/>
        </w:rPr>
        <w:t xml:space="preserve"> </w:t>
      </w:r>
      <w:r w:rsidR="00DE3CCE">
        <w:rPr>
          <w:rFonts w:hint="cs"/>
          <w:rtl/>
        </w:rPr>
        <w:t>ירידה</w:t>
      </w:r>
      <w:r w:rsidR="00D66AA7">
        <w:rPr>
          <w:rFonts w:hint="cs"/>
          <w:rtl/>
        </w:rPr>
        <w:t xml:space="preserve"> </w:t>
      </w:r>
      <w:r w:rsidR="00DE3CCE">
        <w:rPr>
          <w:rFonts w:hint="cs"/>
          <w:rtl/>
        </w:rPr>
        <w:t xml:space="preserve">של כ- </w:t>
      </w:r>
      <w:r w:rsidR="003A0BD1">
        <w:rPr>
          <w:rFonts w:hint="cs"/>
          <w:rtl/>
        </w:rPr>
        <w:t>1.6</w:t>
      </w:r>
      <w:r w:rsidR="003C65A0">
        <w:rPr>
          <w:rFonts w:hint="cs"/>
          <w:rtl/>
        </w:rPr>
        <w:t xml:space="preserve"> </w:t>
      </w:r>
      <w:r w:rsidR="00DE3CCE">
        <w:rPr>
          <w:rFonts w:hint="cs"/>
          <w:rtl/>
        </w:rPr>
        <w:t xml:space="preserve">נקודות האחוז </w:t>
      </w:r>
      <w:r w:rsidR="003A0BD1">
        <w:rPr>
          <w:rFonts w:hint="cs"/>
          <w:rtl/>
        </w:rPr>
        <w:t>במהלך הרביע הראשון.</w:t>
      </w:r>
      <w:r w:rsidR="003A0BD1" w:rsidRPr="003A0BD1">
        <w:rPr>
          <w:rFonts w:hint="cs"/>
          <w:rtl/>
        </w:rPr>
        <w:t xml:space="preserve"> </w:t>
      </w:r>
      <w:r w:rsidR="003A0BD1">
        <w:rPr>
          <w:rFonts w:hint="cs"/>
          <w:rtl/>
        </w:rPr>
        <w:t>ירידה</w:t>
      </w:r>
      <w:r w:rsidR="003A0BD1" w:rsidRPr="00DE3CCE">
        <w:rPr>
          <w:rFonts w:hint="cs"/>
          <w:rtl/>
        </w:rPr>
        <w:t xml:space="preserve"> זו נבעה</w:t>
      </w:r>
      <w:r w:rsidR="003A0BD1">
        <w:rPr>
          <w:rFonts w:hint="cs"/>
          <w:rtl/>
        </w:rPr>
        <w:t xml:space="preserve"> מקצב עלייה גבוה יותר של התמ"ג (במחירים שוטפים) מאשר קצב עליית תיק הנכסים.</w:t>
      </w:r>
      <w:r w:rsidR="00DA27C9">
        <w:rPr>
          <w:rFonts w:hint="cs"/>
          <w:rtl/>
        </w:rPr>
        <w:t xml:space="preserve"> </w:t>
      </w:r>
    </w:p>
    <w:p w:rsidR="002A7E7B" w:rsidRDefault="00B5166B" w:rsidP="00AD0706">
      <w:pPr>
        <w:spacing w:line="360" w:lineRule="auto"/>
        <w:jc w:val="center"/>
        <w:rPr>
          <w:b/>
          <w:bCs/>
          <w:highlight w:val="yellow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2A8867BA">
            <wp:extent cx="4480052" cy="2733675"/>
            <wp:effectExtent l="0" t="0" r="0" b="0"/>
            <wp:docPr id="3" name="תמונה 3" descr="יתרת תיק הנכסים הפיננסיים שבידי הציבור &#10;מיליארדי ש&quot;ח, מחירים שוטפים&#10;" title="תרשים 1: יתרת תיק הנכסים הפיננסיים שבידי הציב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64" cy="273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706" w:rsidRPr="00AD0706">
        <w:rPr>
          <w:noProof/>
          <w:lang w:eastAsia="en-US"/>
        </w:rPr>
        <w:t xml:space="preserve"> </w:t>
      </w:r>
      <w:r w:rsidRPr="00B5166B">
        <w:rPr>
          <w:noProof/>
          <w:lang w:eastAsia="en-US"/>
        </w:rPr>
        <w:drawing>
          <wp:inline distT="0" distB="0" distL="0" distR="0" wp14:anchorId="055DEBED" wp14:editId="7F309260">
            <wp:extent cx="5436409" cy="27622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7717" cy="27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5D" w:rsidRDefault="003D35E1" w:rsidP="003D35E1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drawing>
          <wp:inline distT="0" distB="0" distL="0" distR="0" wp14:anchorId="2155A393">
            <wp:extent cx="4210050" cy="2752461"/>
            <wp:effectExtent l="0" t="0" r="0" b="0"/>
            <wp:docPr id="10" name="תמונה 10" descr="יחס תיק הנכסים הפיננסיים של הציבור לתוצר" title="תרשים 2: יחס תיק הנכסים הפיננסיים של הציבור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12" cy="2764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D4D" w:rsidRDefault="00F33FF6" w:rsidP="00565FA5">
      <w:pPr>
        <w:spacing w:line="360" w:lineRule="auto"/>
        <w:jc w:val="both"/>
        <w:rPr>
          <w:rtl/>
        </w:rPr>
      </w:pPr>
      <w:r w:rsidRPr="00F33FF6">
        <w:rPr>
          <w:rFonts w:hint="cs"/>
          <w:b/>
          <w:bCs/>
          <w:rtl/>
        </w:rPr>
        <w:t>הרכב תיק הנכסים</w:t>
      </w:r>
      <w:r>
        <w:rPr>
          <w:rFonts w:hint="cs"/>
          <w:rtl/>
        </w:rPr>
        <w:t xml:space="preserve"> </w:t>
      </w:r>
      <w:r w:rsidR="008C152B">
        <w:rPr>
          <w:rtl/>
        </w:rPr>
        <w:t>–</w:t>
      </w:r>
      <w:r>
        <w:rPr>
          <w:rFonts w:hint="cs"/>
          <w:rtl/>
        </w:rPr>
        <w:t xml:space="preserve"> </w:t>
      </w:r>
      <w:r w:rsidR="00C2285C">
        <w:rPr>
          <w:rFonts w:hint="cs"/>
          <w:rtl/>
        </w:rPr>
        <w:t>ברביע הראשון של שנת 2017</w:t>
      </w:r>
      <w:r w:rsidR="000F6CAC">
        <w:rPr>
          <w:rFonts w:hint="cs"/>
          <w:rtl/>
        </w:rPr>
        <w:t xml:space="preserve"> </w:t>
      </w:r>
      <w:r w:rsidR="000C6D4D">
        <w:rPr>
          <w:rFonts w:hint="cs"/>
          <w:rtl/>
        </w:rPr>
        <w:t xml:space="preserve">חלה </w:t>
      </w:r>
      <w:r w:rsidR="008D46A9">
        <w:rPr>
          <w:rFonts w:hint="cs"/>
          <w:rtl/>
        </w:rPr>
        <w:t>עלייה</w:t>
      </w:r>
      <w:r w:rsidR="000C6D4D">
        <w:rPr>
          <w:rFonts w:hint="cs"/>
          <w:rtl/>
        </w:rPr>
        <w:t xml:space="preserve"> של כ</w:t>
      </w:r>
      <w:r w:rsidR="001A0A07">
        <w:rPr>
          <w:rFonts w:hint="cs"/>
          <w:rtl/>
        </w:rPr>
        <w:t xml:space="preserve">- </w:t>
      </w:r>
      <w:r w:rsidR="00C2285C">
        <w:rPr>
          <w:rFonts w:hint="cs"/>
          <w:rtl/>
        </w:rPr>
        <w:t>0.</w:t>
      </w:r>
      <w:r w:rsidR="008D46A9">
        <w:rPr>
          <w:rFonts w:hint="cs"/>
          <w:rtl/>
        </w:rPr>
        <w:t>3</w:t>
      </w:r>
      <w:r w:rsidR="001A0A07">
        <w:rPr>
          <w:rFonts w:hint="cs"/>
          <w:rtl/>
        </w:rPr>
        <w:t xml:space="preserve"> </w:t>
      </w:r>
      <w:r w:rsidR="008C152B">
        <w:rPr>
          <w:rFonts w:hint="cs"/>
          <w:rtl/>
        </w:rPr>
        <w:t>נקוד</w:t>
      </w:r>
      <w:r w:rsidR="001A0A07">
        <w:rPr>
          <w:rFonts w:hint="cs"/>
          <w:rtl/>
        </w:rPr>
        <w:t>ו</w:t>
      </w:r>
      <w:r w:rsidR="008C152B">
        <w:rPr>
          <w:rFonts w:hint="cs"/>
          <w:rtl/>
        </w:rPr>
        <w:t>ת</w:t>
      </w:r>
      <w:r w:rsidR="000C6D4D">
        <w:rPr>
          <w:rFonts w:hint="cs"/>
          <w:rtl/>
        </w:rPr>
        <w:t xml:space="preserve"> האחוז במשקל הנכסים </w:t>
      </w:r>
      <w:r w:rsidR="008D46A9" w:rsidRPr="004669A1">
        <w:rPr>
          <w:rFonts w:hint="cs"/>
          <w:rtl/>
        </w:rPr>
        <w:t>בסיכון</w:t>
      </w:r>
      <w:r w:rsidR="00205C1F" w:rsidRPr="004669A1">
        <w:rPr>
          <w:rFonts w:hint="cs"/>
          <w:rtl/>
        </w:rPr>
        <w:t xml:space="preserve">, זאת </w:t>
      </w:r>
      <w:r w:rsidR="009413FA" w:rsidRPr="004669A1">
        <w:rPr>
          <w:rFonts w:hint="cs"/>
          <w:rtl/>
        </w:rPr>
        <w:t>בעיקר</w:t>
      </w:r>
      <w:r w:rsidR="00565FA5">
        <w:rPr>
          <w:rFonts w:hint="cs"/>
          <w:rtl/>
        </w:rPr>
        <w:t xml:space="preserve"> </w:t>
      </w:r>
      <w:r w:rsidR="004669A1" w:rsidRPr="004669A1">
        <w:rPr>
          <w:rFonts w:hint="cs"/>
          <w:rtl/>
        </w:rPr>
        <w:t xml:space="preserve">כתוצאה מהשקעות נטו באג"ח </w:t>
      </w:r>
      <w:r w:rsidR="004669A1">
        <w:rPr>
          <w:rFonts w:hint="cs"/>
          <w:rtl/>
        </w:rPr>
        <w:t>פרטיות בארץ</w:t>
      </w:r>
      <w:r w:rsidR="004669A1" w:rsidRPr="004669A1">
        <w:rPr>
          <w:rFonts w:hint="cs"/>
          <w:rtl/>
        </w:rPr>
        <w:t xml:space="preserve"> בשילוב</w:t>
      </w:r>
      <w:r w:rsidR="00DA27C9">
        <w:rPr>
          <w:rFonts w:hint="cs"/>
          <w:rtl/>
        </w:rPr>
        <w:t xml:space="preserve"> עם</w:t>
      </w:r>
      <w:r w:rsidR="004669A1" w:rsidRPr="004669A1">
        <w:rPr>
          <w:rFonts w:hint="cs"/>
          <w:rtl/>
        </w:rPr>
        <w:t xml:space="preserve"> העליות במחירן</w:t>
      </w:r>
      <w:r w:rsidR="003958DC" w:rsidRPr="004669A1">
        <w:rPr>
          <w:rFonts w:hint="cs"/>
          <w:rtl/>
        </w:rPr>
        <w:t>.</w:t>
      </w:r>
      <w:r w:rsidR="003958DC">
        <w:rPr>
          <w:rFonts w:hint="cs"/>
          <w:rtl/>
        </w:rPr>
        <w:t xml:space="preserve"> </w:t>
      </w:r>
      <w:r w:rsidR="004669A1">
        <w:rPr>
          <w:rFonts w:hint="cs"/>
          <w:rtl/>
        </w:rPr>
        <w:t>מנגד</w:t>
      </w:r>
      <w:r w:rsidR="00C2285C">
        <w:rPr>
          <w:rFonts w:hint="cs"/>
          <w:rtl/>
        </w:rPr>
        <w:t xml:space="preserve">, </w:t>
      </w:r>
      <w:r w:rsidR="004669A1">
        <w:rPr>
          <w:rFonts w:hint="cs"/>
          <w:rtl/>
        </w:rPr>
        <w:t>ברביע הראשון חלה ירידה של כ-0.2 נקודות האחוז ב</w:t>
      </w:r>
      <w:r w:rsidR="00205C1F">
        <w:rPr>
          <w:rFonts w:hint="cs"/>
          <w:rtl/>
        </w:rPr>
        <w:t>משקל</w:t>
      </w:r>
      <w:r w:rsidR="007848E8">
        <w:rPr>
          <w:rFonts w:hint="cs"/>
          <w:rtl/>
        </w:rPr>
        <w:t>ם של</w:t>
      </w:r>
      <w:r w:rsidR="00205C1F">
        <w:rPr>
          <w:rFonts w:hint="cs"/>
          <w:rtl/>
        </w:rPr>
        <w:t xml:space="preserve"> הנכסים </w:t>
      </w:r>
      <w:r w:rsidR="00C2285C">
        <w:rPr>
          <w:rFonts w:hint="cs"/>
          <w:rtl/>
        </w:rPr>
        <w:t>ב</w:t>
      </w:r>
      <w:r w:rsidR="004669A1">
        <w:rPr>
          <w:rFonts w:hint="cs"/>
          <w:rtl/>
        </w:rPr>
        <w:t>מט"ח</w:t>
      </w:r>
      <w:r w:rsidR="00114077" w:rsidRPr="004669A1">
        <w:rPr>
          <w:rFonts w:hint="cs"/>
          <w:rtl/>
        </w:rPr>
        <w:t>,</w:t>
      </w:r>
      <w:r w:rsidR="00C5030C" w:rsidRPr="004669A1">
        <w:rPr>
          <w:rFonts w:hint="cs"/>
          <w:rtl/>
        </w:rPr>
        <w:t xml:space="preserve"> </w:t>
      </w:r>
      <w:r w:rsidR="006D1DDA" w:rsidRPr="004669A1">
        <w:rPr>
          <w:rFonts w:hint="cs"/>
          <w:rtl/>
        </w:rPr>
        <w:t xml:space="preserve">בעיקר </w:t>
      </w:r>
      <w:r w:rsidR="00180446" w:rsidRPr="004669A1">
        <w:rPr>
          <w:rFonts w:hint="cs"/>
          <w:rtl/>
        </w:rPr>
        <w:t>כתוצאה</w:t>
      </w:r>
      <w:r w:rsidR="003B0B89" w:rsidRPr="004669A1">
        <w:rPr>
          <w:rFonts w:hint="cs"/>
          <w:rtl/>
        </w:rPr>
        <w:t xml:space="preserve"> </w:t>
      </w:r>
      <w:r w:rsidR="006D1DDA" w:rsidRPr="004669A1">
        <w:rPr>
          <w:rFonts w:hint="cs"/>
          <w:rtl/>
        </w:rPr>
        <w:t>מ</w:t>
      </w:r>
      <w:r w:rsidR="00114077" w:rsidRPr="004669A1">
        <w:rPr>
          <w:rFonts w:hint="cs"/>
          <w:rtl/>
        </w:rPr>
        <w:t>ייסוף</w:t>
      </w:r>
      <w:r w:rsidR="003B0B89" w:rsidRPr="004669A1">
        <w:rPr>
          <w:rFonts w:hint="cs"/>
          <w:rtl/>
        </w:rPr>
        <w:t xml:space="preserve"> השקל מול הדולר</w:t>
      </w:r>
      <w:r w:rsidR="00114077" w:rsidRPr="004669A1">
        <w:rPr>
          <w:rFonts w:hint="cs"/>
          <w:rtl/>
        </w:rPr>
        <w:t>.</w:t>
      </w:r>
      <w:r w:rsidR="00700924" w:rsidRPr="004669A1">
        <w:rPr>
          <w:rFonts w:hint="cs"/>
          <w:rtl/>
        </w:rPr>
        <w:t xml:space="preserve"> </w:t>
      </w:r>
    </w:p>
    <w:p w:rsidR="00AA1AC3" w:rsidRDefault="00AA1AC3" w:rsidP="003F193A">
      <w:pPr>
        <w:spacing w:line="360" w:lineRule="auto"/>
        <w:rPr>
          <w:rtl/>
        </w:rPr>
      </w:pPr>
    </w:p>
    <w:p w:rsidR="00B84F4F" w:rsidRPr="00CD4996" w:rsidRDefault="00565FA5" w:rsidP="00AE0F69">
      <w:pPr>
        <w:spacing w:line="360" w:lineRule="auto"/>
        <w:jc w:val="center"/>
        <w:rPr>
          <w:rtl/>
        </w:rPr>
      </w:pPr>
      <w:r w:rsidRPr="00565FA5">
        <w:rPr>
          <w:noProof/>
          <w:lang w:eastAsia="en-US"/>
        </w:rPr>
        <w:drawing>
          <wp:inline distT="0" distB="0" distL="0" distR="0" wp14:anchorId="3DFA5653" wp14:editId="47CE934E">
            <wp:extent cx="5598588" cy="1647825"/>
            <wp:effectExtent l="0" t="0" r="254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1931" cy="16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DDD" w:rsidRDefault="00471DDD" w:rsidP="001A095A">
      <w:pPr>
        <w:spacing w:line="360" w:lineRule="auto"/>
        <w:jc w:val="both"/>
        <w:rPr>
          <w:b/>
          <w:bCs/>
          <w:rtl/>
        </w:rPr>
      </w:pPr>
    </w:p>
    <w:p w:rsidR="001A095A" w:rsidRPr="002E5159" w:rsidRDefault="001A095A" w:rsidP="002E5159">
      <w:pPr>
        <w:pStyle w:val="ae"/>
        <w:numPr>
          <w:ilvl w:val="0"/>
          <w:numId w:val="18"/>
        </w:numPr>
        <w:spacing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התפלגות תיק ניירות הערך לפי מכשירים עיקריים</w:t>
      </w:r>
    </w:p>
    <w:p w:rsidR="000D6B53" w:rsidRDefault="000D6B53" w:rsidP="000D22CB">
      <w:pPr>
        <w:spacing w:line="360" w:lineRule="auto"/>
        <w:jc w:val="both"/>
        <w:rPr>
          <w:b/>
          <w:bCs/>
          <w:rtl/>
        </w:rPr>
      </w:pPr>
    </w:p>
    <w:p w:rsidR="00C7577B" w:rsidRDefault="00315E08" w:rsidP="00AE0F69">
      <w:pPr>
        <w:spacing w:line="360" w:lineRule="auto"/>
        <w:jc w:val="center"/>
        <w:rPr>
          <w:b/>
          <w:bCs/>
          <w:rtl/>
        </w:rPr>
      </w:pPr>
      <w:r w:rsidRPr="00315E08">
        <w:rPr>
          <w:noProof/>
          <w:lang w:eastAsia="en-US"/>
        </w:rPr>
        <w:drawing>
          <wp:inline distT="0" distB="0" distL="0" distR="0" wp14:anchorId="1FDA94C8" wp14:editId="1F8A7860">
            <wp:extent cx="5626360" cy="1276350"/>
            <wp:effectExtent l="0" t="0" r="0" b="0"/>
            <wp:docPr id="5" name="תמונה 5" descr="לוח המציג את היתרות ואת אומדן השינוי הכמותי של הנכסים בתיק ני&quot;ע." title="לוח 3: שווי הנכסים בתיק ני&quot;ע ואומדן השינוי הכמות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7714" cy="12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B0" w:rsidRDefault="007053B0" w:rsidP="00353174">
      <w:pPr>
        <w:spacing w:line="360" w:lineRule="auto"/>
        <w:jc w:val="both"/>
        <w:rPr>
          <w:b/>
          <w:bCs/>
          <w:rtl/>
        </w:rPr>
      </w:pPr>
    </w:p>
    <w:p w:rsidR="004A3D2E" w:rsidRPr="00B604AD" w:rsidRDefault="004A3D2E" w:rsidP="00353174">
      <w:pPr>
        <w:spacing w:line="360" w:lineRule="auto"/>
        <w:jc w:val="both"/>
        <w:rPr>
          <w:b/>
          <w:bCs/>
          <w:color w:val="FF0000"/>
          <w:rtl/>
        </w:rPr>
      </w:pPr>
      <w:r w:rsidRPr="00353174">
        <w:rPr>
          <w:rFonts w:hint="cs"/>
          <w:b/>
          <w:bCs/>
          <w:rtl/>
        </w:rPr>
        <w:t>מניות בארץ</w:t>
      </w:r>
      <w:r w:rsidR="00B604AD" w:rsidRPr="00353174">
        <w:rPr>
          <w:rFonts w:hint="cs"/>
          <w:b/>
          <w:bCs/>
          <w:rtl/>
        </w:rPr>
        <w:t xml:space="preserve"> </w:t>
      </w:r>
    </w:p>
    <w:p w:rsidR="004B184A" w:rsidRDefault="00A42E4B" w:rsidP="00804E61">
      <w:pPr>
        <w:spacing w:line="360" w:lineRule="auto"/>
        <w:jc w:val="both"/>
        <w:rPr>
          <w:rtl/>
        </w:rPr>
      </w:pPr>
      <w:r w:rsidRPr="00CD3D12">
        <w:rPr>
          <w:rFonts w:hint="cs"/>
          <w:b/>
          <w:bCs/>
          <w:rtl/>
        </w:rPr>
        <w:t xml:space="preserve">ברביע </w:t>
      </w:r>
      <w:r w:rsidR="006D1DDA" w:rsidRPr="00CD3D12">
        <w:rPr>
          <w:rFonts w:hint="cs"/>
          <w:b/>
          <w:bCs/>
          <w:rtl/>
        </w:rPr>
        <w:t>הר</w:t>
      </w:r>
      <w:r w:rsidR="00C558BC">
        <w:rPr>
          <w:rFonts w:hint="cs"/>
          <w:b/>
          <w:bCs/>
          <w:rtl/>
        </w:rPr>
        <w:t>אשון</w:t>
      </w:r>
      <w:r w:rsidRPr="00CD3D12">
        <w:rPr>
          <w:rFonts w:hint="cs"/>
          <w:b/>
          <w:bCs/>
          <w:rtl/>
        </w:rPr>
        <w:t xml:space="preserve"> של שנת </w:t>
      </w:r>
      <w:r w:rsidR="00C16220" w:rsidRPr="00CD3D12">
        <w:rPr>
          <w:rFonts w:hint="cs"/>
          <w:b/>
          <w:bCs/>
          <w:rtl/>
        </w:rPr>
        <w:t>201</w:t>
      </w:r>
      <w:r w:rsidR="00C558BC">
        <w:rPr>
          <w:rFonts w:hint="cs"/>
          <w:b/>
          <w:bCs/>
          <w:rtl/>
        </w:rPr>
        <w:t>7</w:t>
      </w:r>
      <w:r w:rsidR="00D82456" w:rsidRPr="00CD3D12">
        <w:rPr>
          <w:rFonts w:hint="cs"/>
          <w:rtl/>
        </w:rPr>
        <w:t xml:space="preserve"> </w:t>
      </w:r>
      <w:r w:rsidR="00C558BC">
        <w:rPr>
          <w:rFonts w:hint="cs"/>
          <w:rtl/>
        </w:rPr>
        <w:t>ירדה</w:t>
      </w:r>
      <w:r w:rsidR="0049743C" w:rsidRPr="00CD3D12">
        <w:rPr>
          <w:rFonts w:hint="cs"/>
          <w:rtl/>
        </w:rPr>
        <w:t xml:space="preserve"> יתרת המניות</w:t>
      </w:r>
      <w:r w:rsidRPr="00CD3D12">
        <w:rPr>
          <w:rFonts w:hint="cs"/>
          <w:rtl/>
        </w:rPr>
        <w:t xml:space="preserve"> בארץ</w:t>
      </w:r>
      <w:r w:rsidR="0049743C" w:rsidRPr="00CD3D12">
        <w:rPr>
          <w:rFonts w:hint="cs"/>
          <w:rtl/>
        </w:rPr>
        <w:t xml:space="preserve"> </w:t>
      </w:r>
      <w:r w:rsidR="00BA0C83" w:rsidRPr="00CD3D12">
        <w:rPr>
          <w:rFonts w:hint="cs"/>
          <w:rtl/>
        </w:rPr>
        <w:t xml:space="preserve">בתיק הנכסים </w:t>
      </w:r>
      <w:r w:rsidR="0049743C" w:rsidRPr="00CD3D12">
        <w:rPr>
          <w:rFonts w:hint="cs"/>
          <w:rtl/>
        </w:rPr>
        <w:t>בכ-</w:t>
      </w:r>
      <w:r w:rsidR="00C62FD8" w:rsidRPr="00CD3D12">
        <w:rPr>
          <w:rFonts w:hint="cs"/>
          <w:rtl/>
        </w:rPr>
        <w:t xml:space="preserve"> </w:t>
      </w:r>
      <w:r w:rsidR="00C558BC">
        <w:rPr>
          <w:rFonts w:hint="cs"/>
          <w:rtl/>
        </w:rPr>
        <w:t>4</w:t>
      </w:r>
      <w:r w:rsidR="00804E61">
        <w:rPr>
          <w:rFonts w:hint="cs"/>
          <w:rtl/>
        </w:rPr>
        <w:t>.9</w:t>
      </w:r>
      <w:r w:rsidR="0049743C" w:rsidRPr="00CD3D12">
        <w:rPr>
          <w:rFonts w:hint="cs"/>
          <w:rtl/>
        </w:rPr>
        <w:t xml:space="preserve"> מיליארדי </w:t>
      </w:r>
      <w:r w:rsidR="00FD22C6" w:rsidRPr="00CD3D12">
        <w:rPr>
          <w:rFonts w:hint="cs"/>
          <w:rtl/>
        </w:rPr>
        <w:t>ש</w:t>
      </w:r>
      <w:r w:rsidR="00FD22C6" w:rsidRPr="00CD3D12">
        <w:rPr>
          <w:rtl/>
        </w:rPr>
        <w:t>"</w:t>
      </w:r>
      <w:r w:rsidR="00FD22C6" w:rsidRPr="00CD3D12">
        <w:rPr>
          <w:rFonts w:hint="cs"/>
          <w:rtl/>
        </w:rPr>
        <w:t>ח</w:t>
      </w:r>
      <w:r w:rsidR="00B9472B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(</w:t>
      </w:r>
      <w:r w:rsidR="00804E61">
        <w:rPr>
          <w:rFonts w:hint="cs"/>
          <w:rtl/>
        </w:rPr>
        <w:t>1</w:t>
      </w:r>
      <w:r w:rsidR="0049743C" w:rsidRPr="00CD3D12">
        <w:rPr>
          <w:rFonts w:hint="cs"/>
          <w:rtl/>
        </w:rPr>
        <w:t>%</w:t>
      </w:r>
      <w:r w:rsidR="00C558BC">
        <w:rPr>
          <w:rFonts w:hint="cs"/>
          <w:rtl/>
        </w:rPr>
        <w:t>-</w:t>
      </w:r>
      <w:r w:rsidR="0049743C" w:rsidRPr="00CD3D12">
        <w:rPr>
          <w:rFonts w:hint="cs"/>
          <w:rtl/>
        </w:rPr>
        <w:t xml:space="preserve">) ועמדה בסוף חודש </w:t>
      </w:r>
      <w:r w:rsidR="00C558BC">
        <w:rPr>
          <w:rFonts w:hint="cs"/>
          <w:rtl/>
        </w:rPr>
        <w:t>מר</w:t>
      </w:r>
      <w:r w:rsidR="00491EDD">
        <w:rPr>
          <w:rFonts w:hint="cs"/>
          <w:rtl/>
        </w:rPr>
        <w:t>ץ</w:t>
      </w:r>
      <w:r w:rsidR="005E0A5D" w:rsidRPr="00CD3D12">
        <w:rPr>
          <w:rFonts w:hint="cs"/>
          <w:rtl/>
        </w:rPr>
        <w:t xml:space="preserve"> על כ-</w:t>
      </w:r>
      <w:r w:rsidR="00C558BC">
        <w:rPr>
          <w:rFonts w:hint="cs"/>
          <w:rtl/>
        </w:rPr>
        <w:t>4</w:t>
      </w:r>
      <w:r w:rsidR="00804E61">
        <w:rPr>
          <w:rFonts w:hint="cs"/>
          <w:rtl/>
        </w:rPr>
        <w:t>92</w:t>
      </w:r>
      <w:r w:rsidR="00C558BC">
        <w:rPr>
          <w:rFonts w:hint="cs"/>
          <w:rtl/>
        </w:rPr>
        <w:t>.</w:t>
      </w:r>
      <w:r w:rsidR="00804E61">
        <w:rPr>
          <w:rFonts w:hint="cs"/>
          <w:rtl/>
        </w:rPr>
        <w:t>6</w:t>
      </w:r>
      <w:r w:rsidR="005E0A5D" w:rsidRPr="00CD3D12">
        <w:rPr>
          <w:rFonts w:hint="cs"/>
          <w:rtl/>
        </w:rPr>
        <w:t xml:space="preserve"> </w:t>
      </w:r>
      <w:r w:rsidR="0049743C" w:rsidRPr="00CD3D12">
        <w:rPr>
          <w:rFonts w:hint="cs"/>
          <w:rtl/>
        </w:rPr>
        <w:t>מיליארדים</w:t>
      </w:r>
      <w:r w:rsidR="00C16220" w:rsidRPr="00CD3D12">
        <w:rPr>
          <w:rFonts w:hint="cs"/>
          <w:rtl/>
        </w:rPr>
        <w:t xml:space="preserve">. </w:t>
      </w:r>
      <w:r w:rsidR="000F6CAC" w:rsidRPr="00CD3D12">
        <w:rPr>
          <w:rFonts w:hint="cs"/>
          <w:rtl/>
        </w:rPr>
        <w:t xml:space="preserve">זאת </w:t>
      </w:r>
      <w:r w:rsidR="00DF40CC" w:rsidRPr="00CD3D12">
        <w:rPr>
          <w:rFonts w:hint="cs"/>
          <w:rtl/>
        </w:rPr>
        <w:t>ב</w:t>
      </w:r>
      <w:r w:rsidR="00C558BC">
        <w:rPr>
          <w:rFonts w:hint="cs"/>
          <w:rtl/>
        </w:rPr>
        <w:t>ניגוד</w:t>
      </w:r>
      <w:r w:rsidR="000F6CAC" w:rsidRPr="00CD3D12">
        <w:rPr>
          <w:rFonts w:hint="cs"/>
          <w:rtl/>
        </w:rPr>
        <w:t xml:space="preserve"> </w:t>
      </w:r>
      <w:r w:rsidR="00DF40CC" w:rsidRPr="00CD3D12">
        <w:rPr>
          <w:rFonts w:hint="cs"/>
          <w:rtl/>
        </w:rPr>
        <w:t>לעלייה</w:t>
      </w:r>
      <w:r w:rsidR="00D57014" w:rsidRPr="00CD3D12">
        <w:rPr>
          <w:rFonts w:hint="cs"/>
          <w:rtl/>
        </w:rPr>
        <w:t xml:space="preserve"> של כ- </w:t>
      </w:r>
      <w:r w:rsidR="00C558BC">
        <w:rPr>
          <w:rFonts w:hint="cs"/>
          <w:rtl/>
        </w:rPr>
        <w:t>5.1</w:t>
      </w:r>
      <w:r w:rsidR="00D57014" w:rsidRPr="00CD3D12">
        <w:rPr>
          <w:rFonts w:hint="cs"/>
          <w:rtl/>
        </w:rPr>
        <w:t xml:space="preserve"> מיליארדים ביתרת המניות </w:t>
      </w:r>
      <w:r w:rsidR="00C558BC">
        <w:rPr>
          <w:rFonts w:hint="cs"/>
          <w:rtl/>
        </w:rPr>
        <w:t>בשנת 2016</w:t>
      </w:r>
      <w:r w:rsidR="00D57014" w:rsidRPr="00CD3D12">
        <w:rPr>
          <w:rFonts w:hint="cs"/>
          <w:rtl/>
        </w:rPr>
        <w:t>.</w:t>
      </w:r>
      <w:r w:rsidR="000F6CAC" w:rsidRPr="00CD3D12">
        <w:rPr>
          <w:rFonts w:hint="cs"/>
          <w:rtl/>
        </w:rPr>
        <w:t xml:space="preserve"> </w:t>
      </w:r>
      <w:r w:rsidR="00D57014" w:rsidRPr="00CD3D12">
        <w:rPr>
          <w:rFonts w:hint="cs"/>
          <w:rtl/>
        </w:rPr>
        <w:t>ה</w:t>
      </w:r>
      <w:r w:rsidR="00C558BC">
        <w:rPr>
          <w:rFonts w:hint="cs"/>
          <w:rtl/>
        </w:rPr>
        <w:t>ירידה</w:t>
      </w:r>
      <w:r w:rsidR="000F6CAC" w:rsidRPr="00CD3D12">
        <w:rPr>
          <w:rFonts w:hint="cs"/>
          <w:rtl/>
        </w:rPr>
        <w:t xml:space="preserve"> ברביע הנוכחי היא</w:t>
      </w:r>
      <w:r w:rsidR="00C16220" w:rsidRPr="00CD3D12">
        <w:rPr>
          <w:rFonts w:hint="cs"/>
          <w:rtl/>
        </w:rPr>
        <w:t xml:space="preserve"> כתוצאה</w:t>
      </w:r>
      <w:r w:rsidR="0041231E" w:rsidRPr="00CD3D12">
        <w:rPr>
          <w:rFonts w:hint="cs"/>
          <w:rtl/>
        </w:rPr>
        <w:t xml:space="preserve"> </w:t>
      </w:r>
      <w:r w:rsidR="00804E61">
        <w:rPr>
          <w:rFonts w:hint="cs"/>
          <w:rtl/>
        </w:rPr>
        <w:t>ממימושים נטו ו</w:t>
      </w:r>
      <w:r w:rsidR="00D57014" w:rsidRPr="00CD3D12">
        <w:rPr>
          <w:rFonts w:hint="cs"/>
          <w:rtl/>
        </w:rPr>
        <w:t>מ</w:t>
      </w:r>
      <w:r w:rsidR="00C558BC">
        <w:rPr>
          <w:rFonts w:hint="cs"/>
          <w:rtl/>
        </w:rPr>
        <w:t>ירידת</w:t>
      </w:r>
      <w:r w:rsidR="003E433E" w:rsidRPr="00CD3D12">
        <w:rPr>
          <w:rFonts w:hint="cs"/>
          <w:rtl/>
        </w:rPr>
        <w:t xml:space="preserve"> </w:t>
      </w:r>
      <w:r w:rsidR="0041231E" w:rsidRPr="00CD3D12">
        <w:rPr>
          <w:rFonts w:hint="cs"/>
          <w:rtl/>
        </w:rPr>
        <w:t>ה</w:t>
      </w:r>
      <w:r w:rsidR="003E433E" w:rsidRPr="00CD3D12">
        <w:rPr>
          <w:rFonts w:hint="cs"/>
          <w:rtl/>
        </w:rPr>
        <w:t>מחירים בבורסה בת"א</w:t>
      </w:r>
      <w:r w:rsidR="00D57014" w:rsidRPr="00CD3D12">
        <w:rPr>
          <w:rFonts w:hint="cs"/>
          <w:rtl/>
        </w:rPr>
        <w:t>.</w:t>
      </w:r>
      <w:r w:rsidR="006A03CE" w:rsidRPr="00CD3D12">
        <w:rPr>
          <w:rFonts w:hint="cs"/>
          <w:rtl/>
        </w:rPr>
        <w:t xml:space="preserve"> </w:t>
      </w:r>
    </w:p>
    <w:p w:rsidR="007D012C" w:rsidRDefault="007D012C" w:rsidP="00870087">
      <w:pPr>
        <w:spacing w:line="360" w:lineRule="auto"/>
        <w:jc w:val="both"/>
        <w:rPr>
          <w:b/>
          <w:bCs/>
          <w:rtl/>
        </w:rPr>
      </w:pPr>
    </w:p>
    <w:p w:rsidR="00DD28B0" w:rsidRPr="00954D48" w:rsidRDefault="00DD28B0" w:rsidP="00870087">
      <w:pPr>
        <w:spacing w:line="360" w:lineRule="auto"/>
        <w:jc w:val="both"/>
        <w:rPr>
          <w:b/>
          <w:bCs/>
          <w:rtl/>
        </w:rPr>
      </w:pPr>
      <w:r w:rsidRPr="00954D48">
        <w:rPr>
          <w:rFonts w:hint="cs"/>
          <w:b/>
          <w:bCs/>
          <w:rtl/>
        </w:rPr>
        <w:t xml:space="preserve">אג"ח </w:t>
      </w:r>
    </w:p>
    <w:p w:rsidR="005E0A5D" w:rsidRDefault="00935917" w:rsidP="00700924">
      <w:pPr>
        <w:spacing w:line="360" w:lineRule="auto"/>
        <w:jc w:val="both"/>
        <w:rPr>
          <w:rtl/>
        </w:rPr>
      </w:pPr>
      <w:r w:rsidRPr="00471557">
        <w:rPr>
          <w:rFonts w:hint="cs"/>
          <w:b/>
          <w:bCs/>
          <w:rtl/>
        </w:rPr>
        <w:t xml:space="preserve">ברביע </w:t>
      </w:r>
      <w:r w:rsidR="00DF40CC">
        <w:rPr>
          <w:rFonts w:hint="cs"/>
          <w:b/>
          <w:bCs/>
          <w:rtl/>
        </w:rPr>
        <w:t>הר</w:t>
      </w:r>
      <w:r w:rsidR="00491EDD">
        <w:rPr>
          <w:rFonts w:hint="cs"/>
          <w:b/>
          <w:bCs/>
          <w:rtl/>
        </w:rPr>
        <w:t>אשון</w:t>
      </w:r>
      <w:r w:rsidRPr="00471557">
        <w:rPr>
          <w:rFonts w:hint="cs"/>
          <w:b/>
          <w:bCs/>
          <w:rtl/>
        </w:rPr>
        <w:t xml:space="preserve"> של שנת </w:t>
      </w:r>
      <w:r w:rsidR="00C16220">
        <w:rPr>
          <w:rFonts w:hint="cs"/>
          <w:b/>
          <w:bCs/>
          <w:rtl/>
        </w:rPr>
        <w:t>201</w:t>
      </w:r>
      <w:r w:rsidR="00491EDD">
        <w:rPr>
          <w:rFonts w:hint="cs"/>
          <w:b/>
          <w:bCs/>
          <w:rtl/>
        </w:rPr>
        <w:t>7</w:t>
      </w:r>
      <w:r w:rsidRPr="00471557">
        <w:rPr>
          <w:rFonts w:hint="cs"/>
          <w:rtl/>
        </w:rPr>
        <w:t xml:space="preserve"> </w:t>
      </w:r>
      <w:r w:rsidR="00491EDD">
        <w:rPr>
          <w:rFonts w:hint="cs"/>
          <w:rtl/>
        </w:rPr>
        <w:t>עלה</w:t>
      </w:r>
      <w:r w:rsidR="00870087" w:rsidRPr="00471557">
        <w:rPr>
          <w:rFonts w:hint="cs"/>
          <w:rtl/>
        </w:rPr>
        <w:t xml:space="preserve"> שווי </w:t>
      </w:r>
      <w:r w:rsidR="00DA27C9">
        <w:rPr>
          <w:rFonts w:hint="cs"/>
          <w:rtl/>
        </w:rPr>
        <w:t xml:space="preserve">יתרת </w:t>
      </w:r>
      <w:r w:rsidR="00870087" w:rsidRPr="00471557">
        <w:rPr>
          <w:rFonts w:hint="cs"/>
          <w:rtl/>
        </w:rPr>
        <w:t xml:space="preserve">תיק </w:t>
      </w:r>
      <w:r w:rsidR="0049743C" w:rsidRPr="00471557">
        <w:rPr>
          <w:rFonts w:hint="cs"/>
          <w:rtl/>
        </w:rPr>
        <w:t>אג"ח</w:t>
      </w:r>
      <w:r w:rsidR="00870087" w:rsidRPr="00471557">
        <w:rPr>
          <w:rFonts w:hint="cs"/>
          <w:rtl/>
        </w:rPr>
        <w:t xml:space="preserve"> החברות</w:t>
      </w:r>
      <w:r w:rsidR="0049743C" w:rsidRPr="00471557">
        <w:rPr>
          <w:rFonts w:hint="cs"/>
          <w:rtl/>
        </w:rPr>
        <w:t xml:space="preserve"> הסחיר בארץ </w:t>
      </w:r>
      <w:r w:rsidR="00042E5F">
        <w:rPr>
          <w:rFonts w:hint="cs"/>
          <w:rtl/>
        </w:rPr>
        <w:t xml:space="preserve">בכ- </w:t>
      </w:r>
      <w:r w:rsidR="00491EDD">
        <w:rPr>
          <w:rFonts w:hint="cs"/>
          <w:rtl/>
        </w:rPr>
        <w:t>13</w:t>
      </w:r>
      <w:r w:rsidR="00B72C94">
        <w:rPr>
          <w:rFonts w:hint="cs"/>
          <w:rtl/>
        </w:rPr>
        <w:t xml:space="preserve"> </w:t>
      </w:r>
      <w:r w:rsidR="00042E5F">
        <w:rPr>
          <w:rFonts w:hint="cs"/>
          <w:rtl/>
        </w:rPr>
        <w:t xml:space="preserve">מיליארדי </w:t>
      </w:r>
      <w:r w:rsidR="007D543E">
        <w:rPr>
          <w:rFonts w:hint="cs"/>
          <w:rtl/>
        </w:rPr>
        <w:t>ש"ח (</w:t>
      </w:r>
      <w:r w:rsidR="00491EDD">
        <w:rPr>
          <w:rFonts w:hint="cs"/>
          <w:rtl/>
        </w:rPr>
        <w:t>4</w:t>
      </w:r>
      <w:r w:rsidR="00DF40CC">
        <w:rPr>
          <w:rFonts w:hint="cs"/>
          <w:rtl/>
        </w:rPr>
        <w:t>.4</w:t>
      </w:r>
      <w:r w:rsidR="007D543E">
        <w:rPr>
          <w:rFonts w:hint="cs"/>
          <w:rtl/>
        </w:rPr>
        <w:t>%)</w:t>
      </w:r>
      <w:r w:rsidR="0049743C" w:rsidRPr="00471557">
        <w:rPr>
          <w:rFonts w:hint="cs"/>
          <w:rtl/>
        </w:rPr>
        <w:t xml:space="preserve"> ועמד בסוף </w:t>
      </w:r>
      <w:r w:rsidR="00491EDD">
        <w:rPr>
          <w:rFonts w:hint="cs"/>
          <w:rtl/>
        </w:rPr>
        <w:t>מרץ</w:t>
      </w:r>
      <w:r w:rsidR="0049743C" w:rsidRPr="00471557">
        <w:rPr>
          <w:rFonts w:hint="cs"/>
          <w:rtl/>
        </w:rPr>
        <w:t xml:space="preserve"> על כ-</w:t>
      </w:r>
      <w:r w:rsidR="00491EDD">
        <w:rPr>
          <w:rFonts w:hint="cs"/>
          <w:rtl/>
        </w:rPr>
        <w:t xml:space="preserve">310.8 </w:t>
      </w:r>
      <w:r w:rsidR="0049743C" w:rsidRPr="00471557">
        <w:rPr>
          <w:rFonts w:hint="cs"/>
          <w:rtl/>
        </w:rPr>
        <w:t>מיליארדי</w:t>
      </w:r>
      <w:r w:rsidR="00D82456" w:rsidRPr="00471557">
        <w:rPr>
          <w:rFonts w:hint="cs"/>
          <w:rtl/>
        </w:rPr>
        <w:t>ם</w:t>
      </w:r>
      <w:r w:rsidR="00017A8F">
        <w:rPr>
          <w:rFonts w:hint="cs"/>
          <w:rtl/>
        </w:rPr>
        <w:t>.</w:t>
      </w:r>
      <w:r w:rsidR="00042E5F">
        <w:rPr>
          <w:rFonts w:hint="cs"/>
          <w:rtl/>
        </w:rPr>
        <w:t xml:space="preserve"> </w:t>
      </w:r>
      <w:r w:rsidR="00491EDD" w:rsidRPr="00700924">
        <w:rPr>
          <w:rFonts w:hint="cs"/>
          <w:rtl/>
        </w:rPr>
        <w:t>העלייה נבעה מ</w:t>
      </w:r>
      <w:r w:rsidR="00700924">
        <w:rPr>
          <w:rFonts w:hint="cs"/>
          <w:rtl/>
        </w:rPr>
        <w:t xml:space="preserve">שילוב של </w:t>
      </w:r>
      <w:r w:rsidR="00491EDD" w:rsidRPr="00700924">
        <w:rPr>
          <w:rFonts w:hint="cs"/>
          <w:rtl/>
        </w:rPr>
        <w:t>השקעות</w:t>
      </w:r>
      <w:r w:rsidR="00DF40CC" w:rsidRPr="00700924">
        <w:rPr>
          <w:rFonts w:hint="cs"/>
          <w:rtl/>
        </w:rPr>
        <w:t xml:space="preserve"> נטו</w:t>
      </w:r>
      <w:r w:rsidR="00700924">
        <w:rPr>
          <w:rFonts w:hint="cs"/>
          <w:rtl/>
        </w:rPr>
        <w:t xml:space="preserve"> ו</w:t>
      </w:r>
      <w:r w:rsidR="00700924" w:rsidRPr="00700924">
        <w:rPr>
          <w:rFonts w:hint="cs"/>
          <w:rtl/>
        </w:rPr>
        <w:t>עלייה במחירי האג"ח</w:t>
      </w:r>
      <w:r w:rsidR="00DF40CC" w:rsidRPr="00700924">
        <w:rPr>
          <w:rFonts w:hint="cs"/>
          <w:rtl/>
        </w:rPr>
        <w:t>.</w:t>
      </w:r>
    </w:p>
    <w:p w:rsidR="00017A8F" w:rsidRPr="00017A8F" w:rsidRDefault="00F36A26" w:rsidP="00EB49C6">
      <w:pPr>
        <w:spacing w:line="360" w:lineRule="auto"/>
        <w:jc w:val="both"/>
        <w:rPr>
          <w:rtl/>
        </w:rPr>
      </w:pPr>
      <w:r w:rsidRPr="00017A8F">
        <w:rPr>
          <w:rFonts w:hint="cs"/>
          <w:rtl/>
        </w:rPr>
        <w:t xml:space="preserve">ביתרת תיק </w:t>
      </w:r>
      <w:r>
        <w:rPr>
          <w:rFonts w:hint="cs"/>
          <w:rtl/>
        </w:rPr>
        <w:t>ה</w:t>
      </w:r>
      <w:r w:rsidRPr="00017A8F">
        <w:rPr>
          <w:rFonts w:hint="cs"/>
          <w:rtl/>
        </w:rPr>
        <w:t>אג"ח הממשלתיות</w:t>
      </w:r>
      <w:r w:rsidR="00804E61">
        <w:rPr>
          <w:rFonts w:hint="cs"/>
          <w:rtl/>
        </w:rPr>
        <w:t xml:space="preserve"> (סחיר ולא-סחיר)</w:t>
      </w:r>
      <w:r>
        <w:rPr>
          <w:rFonts w:hint="cs"/>
          <w:rtl/>
        </w:rPr>
        <w:t xml:space="preserve"> חלה</w:t>
      </w:r>
      <w:r w:rsidR="00E102DB">
        <w:rPr>
          <w:rFonts w:hint="cs"/>
          <w:rtl/>
        </w:rPr>
        <w:t xml:space="preserve"> </w:t>
      </w:r>
      <w:r w:rsidR="000269A7">
        <w:rPr>
          <w:rFonts w:hint="cs"/>
          <w:rtl/>
        </w:rPr>
        <w:t>ירידה</w:t>
      </w:r>
      <w:r w:rsidR="00870087" w:rsidRPr="00017A8F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>של כ-</w:t>
      </w:r>
      <w:r w:rsidR="00F653E0">
        <w:rPr>
          <w:rFonts w:hint="cs"/>
          <w:rtl/>
        </w:rPr>
        <w:t xml:space="preserve"> </w:t>
      </w:r>
      <w:r w:rsidR="00804E61">
        <w:rPr>
          <w:rFonts w:hint="cs"/>
          <w:rtl/>
        </w:rPr>
        <w:t>0.9</w:t>
      </w:r>
      <w:r w:rsidR="00DF40CC">
        <w:rPr>
          <w:rFonts w:hint="cs"/>
          <w:rtl/>
        </w:rPr>
        <w:t xml:space="preserve"> </w:t>
      </w:r>
      <w:r w:rsidR="00DA5D79" w:rsidRPr="00017A8F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91110A" w:rsidRPr="00017A8F">
        <w:rPr>
          <w:rFonts w:hint="cs"/>
          <w:rtl/>
        </w:rPr>
        <w:t xml:space="preserve"> (</w:t>
      </w:r>
      <w:r w:rsidR="005F2C4F">
        <w:rPr>
          <w:rFonts w:hint="cs"/>
          <w:rtl/>
        </w:rPr>
        <w:t>0.</w:t>
      </w:r>
      <w:r w:rsidR="00EB49C6">
        <w:rPr>
          <w:rFonts w:hint="cs"/>
          <w:rtl/>
        </w:rPr>
        <w:t>1</w:t>
      </w:r>
      <w:r w:rsidR="005F2C4F">
        <w:rPr>
          <w:rFonts w:hint="cs"/>
          <w:rtl/>
        </w:rPr>
        <w:t>%-</w:t>
      </w:r>
      <w:r w:rsidR="0091110A" w:rsidRPr="00017A8F">
        <w:rPr>
          <w:rFonts w:hint="cs"/>
          <w:rtl/>
        </w:rPr>
        <w:t>)</w:t>
      </w:r>
      <w:r w:rsidR="00DF40CC">
        <w:rPr>
          <w:rFonts w:hint="cs"/>
          <w:rtl/>
        </w:rPr>
        <w:t>,</w:t>
      </w:r>
      <w:r w:rsidR="00093D73">
        <w:rPr>
          <w:rFonts w:hint="cs"/>
          <w:rtl/>
        </w:rPr>
        <w:t xml:space="preserve"> </w:t>
      </w:r>
      <w:r w:rsidR="00EB49C6">
        <w:rPr>
          <w:rFonts w:hint="cs"/>
          <w:rtl/>
        </w:rPr>
        <w:t>ו</w:t>
      </w:r>
      <w:r w:rsidR="00DF40CC">
        <w:rPr>
          <w:rFonts w:hint="cs"/>
          <w:rtl/>
        </w:rPr>
        <w:t>במקביל</w:t>
      </w:r>
      <w:r w:rsidR="00093D73">
        <w:rPr>
          <w:rFonts w:hint="cs"/>
          <w:rtl/>
        </w:rPr>
        <w:t xml:space="preserve"> חלה </w:t>
      </w:r>
      <w:r w:rsidR="00DF40CC">
        <w:rPr>
          <w:rFonts w:hint="cs"/>
          <w:rtl/>
        </w:rPr>
        <w:t>ירידה</w:t>
      </w:r>
      <w:r w:rsidR="00915BBE">
        <w:rPr>
          <w:rFonts w:hint="cs"/>
          <w:rtl/>
        </w:rPr>
        <w:t xml:space="preserve"> </w:t>
      </w:r>
      <w:r w:rsidR="00093D73">
        <w:rPr>
          <w:rFonts w:hint="cs"/>
          <w:rtl/>
        </w:rPr>
        <w:t xml:space="preserve">של כ- </w:t>
      </w:r>
      <w:r w:rsidR="00804E61">
        <w:rPr>
          <w:rFonts w:hint="cs"/>
          <w:rtl/>
        </w:rPr>
        <w:t>2.8</w:t>
      </w:r>
      <w:r w:rsidR="00093D73">
        <w:rPr>
          <w:rFonts w:hint="cs"/>
          <w:rtl/>
        </w:rPr>
        <w:t xml:space="preserve"> מיליארדי </w:t>
      </w:r>
      <w:r w:rsidR="004E60F0">
        <w:rPr>
          <w:rFonts w:hint="cs"/>
          <w:rtl/>
        </w:rPr>
        <w:t>ש</w:t>
      </w:r>
      <w:r w:rsidR="004E60F0">
        <w:rPr>
          <w:rtl/>
        </w:rPr>
        <w:t>"</w:t>
      </w:r>
      <w:r w:rsidR="004E60F0">
        <w:rPr>
          <w:rFonts w:hint="cs"/>
          <w:rtl/>
        </w:rPr>
        <w:t>ח</w:t>
      </w:r>
      <w:r w:rsidR="00093D73">
        <w:rPr>
          <w:rFonts w:hint="cs"/>
          <w:rtl/>
        </w:rPr>
        <w:t xml:space="preserve"> (</w:t>
      </w:r>
      <w:r w:rsidR="00804E61">
        <w:rPr>
          <w:rFonts w:hint="cs"/>
          <w:rtl/>
        </w:rPr>
        <w:t>5.5</w:t>
      </w:r>
      <w:r w:rsidR="00093D73">
        <w:rPr>
          <w:rFonts w:hint="cs"/>
          <w:rtl/>
        </w:rPr>
        <w:t>%</w:t>
      </w:r>
      <w:r w:rsidR="009863F5">
        <w:rPr>
          <w:rFonts w:hint="cs"/>
          <w:rtl/>
        </w:rPr>
        <w:t>-</w:t>
      </w:r>
      <w:r w:rsidR="00093D73">
        <w:rPr>
          <w:rFonts w:hint="cs"/>
          <w:rtl/>
        </w:rPr>
        <w:t xml:space="preserve">) </w:t>
      </w:r>
      <w:r w:rsidR="00093D73" w:rsidRPr="00D352AA">
        <w:rPr>
          <w:rFonts w:hint="cs"/>
          <w:rtl/>
        </w:rPr>
        <w:t>בשווי יתרות המק"מ.</w:t>
      </w:r>
    </w:p>
    <w:p w:rsidR="00E102DB" w:rsidRDefault="00E102DB" w:rsidP="00A94847">
      <w:pPr>
        <w:spacing w:line="360" w:lineRule="auto"/>
        <w:rPr>
          <w:b/>
          <w:bCs/>
          <w:rtl/>
        </w:rPr>
      </w:pPr>
    </w:p>
    <w:p w:rsidR="00FC2BC0" w:rsidRDefault="001F3A15" w:rsidP="00A94847">
      <w:pPr>
        <w:spacing w:line="360" w:lineRule="auto"/>
        <w:rPr>
          <w:b/>
          <w:bCs/>
          <w:rtl/>
        </w:rPr>
      </w:pPr>
      <w:r w:rsidRPr="001F3A15">
        <w:rPr>
          <w:rFonts w:hint="cs"/>
          <w:b/>
          <w:bCs/>
          <w:rtl/>
        </w:rPr>
        <w:t>מזומן ופיקדונות</w:t>
      </w:r>
    </w:p>
    <w:p w:rsidR="005E0A5D" w:rsidRDefault="00CA4805" w:rsidP="00EB49C6">
      <w:p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1F3A15" w:rsidRPr="001F3A15">
        <w:rPr>
          <w:rFonts w:hint="cs"/>
          <w:rtl/>
        </w:rPr>
        <w:t xml:space="preserve"> רכיבי המזומן והפיקדונו</w:t>
      </w:r>
      <w:r w:rsidR="001F3A15" w:rsidRPr="001F3A15">
        <w:rPr>
          <w:rFonts w:hint="eastAsia"/>
          <w:rtl/>
        </w:rPr>
        <w:t>ת</w:t>
      </w:r>
      <w:r w:rsidR="001F3A15" w:rsidRPr="001F3A15">
        <w:rPr>
          <w:rFonts w:hint="cs"/>
          <w:rtl/>
        </w:rPr>
        <w:t xml:space="preserve"> על</w:t>
      </w:r>
      <w:r w:rsidR="00CA2376">
        <w:rPr>
          <w:rFonts w:hint="cs"/>
          <w:rtl/>
        </w:rPr>
        <w:t>ת</w:t>
      </w:r>
      <w:r w:rsidR="001F3A15" w:rsidRPr="001F3A15">
        <w:rPr>
          <w:rFonts w:hint="cs"/>
          <w:rtl/>
        </w:rPr>
        <w:t xml:space="preserve">ה ברביע </w:t>
      </w:r>
      <w:r w:rsidR="00DF40CC">
        <w:rPr>
          <w:rFonts w:hint="cs"/>
          <w:rtl/>
        </w:rPr>
        <w:t>ה</w:t>
      </w:r>
      <w:r w:rsidR="00C05128">
        <w:rPr>
          <w:rFonts w:hint="cs"/>
          <w:rtl/>
        </w:rPr>
        <w:t>ראשון</w:t>
      </w:r>
      <w:r w:rsidR="001F3A15" w:rsidRPr="001F3A15">
        <w:rPr>
          <w:rFonts w:hint="cs"/>
          <w:rtl/>
        </w:rPr>
        <w:t xml:space="preserve"> בכ- </w:t>
      </w:r>
      <w:r w:rsidR="00EB49C6">
        <w:rPr>
          <w:rFonts w:hint="cs"/>
          <w:rtl/>
        </w:rPr>
        <w:t>7.1</w:t>
      </w:r>
      <w:r w:rsidR="00915BBE">
        <w:rPr>
          <w:rFonts w:hint="cs"/>
          <w:rtl/>
        </w:rPr>
        <w:t xml:space="preserve"> </w:t>
      </w:r>
      <w:r w:rsidR="001F3A15" w:rsidRPr="001F3A15">
        <w:rPr>
          <w:rFonts w:hint="cs"/>
          <w:rtl/>
        </w:rPr>
        <w:t xml:space="preserve">מיליארדי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1F3A15" w:rsidRPr="001F3A15">
        <w:rPr>
          <w:rFonts w:hint="cs"/>
          <w:rtl/>
        </w:rPr>
        <w:t xml:space="preserve"> (</w:t>
      </w:r>
      <w:r w:rsidR="00C05128">
        <w:rPr>
          <w:rFonts w:hint="cs"/>
          <w:rtl/>
        </w:rPr>
        <w:t>0.</w:t>
      </w:r>
      <w:r w:rsidR="00EB49C6">
        <w:rPr>
          <w:rFonts w:hint="cs"/>
          <w:rtl/>
        </w:rPr>
        <w:t>6</w:t>
      </w:r>
      <w:r w:rsidR="001F3A15" w:rsidRPr="001F3A15">
        <w:rPr>
          <w:rFonts w:hint="cs"/>
          <w:rtl/>
        </w:rPr>
        <w:t>%)</w:t>
      </w:r>
      <w:r w:rsidR="00A71EAF">
        <w:rPr>
          <w:rFonts w:hint="cs"/>
          <w:rtl/>
        </w:rPr>
        <w:t xml:space="preserve">, זאת בהמשך </w:t>
      </w:r>
      <w:r w:rsidR="00065EE2">
        <w:rPr>
          <w:rFonts w:hint="cs"/>
          <w:rtl/>
        </w:rPr>
        <w:t>למגמת העלייה בשנים האחרונות</w:t>
      </w:r>
      <w:r w:rsidR="00306329">
        <w:rPr>
          <w:rFonts w:hint="cs"/>
          <w:rtl/>
        </w:rPr>
        <w:t>.</w:t>
      </w:r>
      <w:r w:rsidR="001F3A15" w:rsidRPr="001F3A15">
        <w:rPr>
          <w:rFonts w:hint="cs"/>
          <w:rtl/>
        </w:rPr>
        <w:t xml:space="preserve"> </w:t>
      </w:r>
      <w:r w:rsidR="00855771">
        <w:rPr>
          <w:rFonts w:hint="cs"/>
          <w:rtl/>
        </w:rPr>
        <w:t>העלייה</w:t>
      </w:r>
      <w:r w:rsidR="00B811C5">
        <w:rPr>
          <w:rFonts w:hint="cs"/>
          <w:rtl/>
        </w:rPr>
        <w:t xml:space="preserve"> </w:t>
      </w:r>
      <w:r w:rsidR="00915BBE">
        <w:rPr>
          <w:rFonts w:hint="cs"/>
          <w:rtl/>
        </w:rPr>
        <w:t>במהלך הרביע</w:t>
      </w:r>
      <w:r w:rsidR="00A71EAF">
        <w:rPr>
          <w:rFonts w:hint="cs"/>
          <w:rtl/>
        </w:rPr>
        <w:t xml:space="preserve"> </w:t>
      </w:r>
      <w:r w:rsidR="00B811C5" w:rsidRPr="0011121D">
        <w:rPr>
          <w:rFonts w:hint="cs"/>
          <w:rtl/>
        </w:rPr>
        <w:t>נבע</w:t>
      </w:r>
      <w:r w:rsidR="00B72C94" w:rsidRPr="0011121D">
        <w:rPr>
          <w:rFonts w:hint="cs"/>
          <w:rtl/>
        </w:rPr>
        <w:t>ה</w:t>
      </w:r>
      <w:r w:rsidR="00185C55" w:rsidRPr="0011121D">
        <w:rPr>
          <w:rFonts w:hint="cs"/>
          <w:rtl/>
        </w:rPr>
        <w:t xml:space="preserve"> </w:t>
      </w:r>
      <w:r w:rsidR="001F3A15" w:rsidRPr="0011121D">
        <w:rPr>
          <w:rFonts w:hint="cs"/>
          <w:rtl/>
        </w:rPr>
        <w:t xml:space="preserve">מהגדלת יתרות </w:t>
      </w:r>
      <w:r w:rsidR="00C67242" w:rsidRPr="0011121D">
        <w:rPr>
          <w:rFonts w:hint="cs"/>
          <w:rtl/>
        </w:rPr>
        <w:t>המזומן והעו"ש</w:t>
      </w:r>
      <w:r w:rsidR="0011121D" w:rsidRPr="0011121D">
        <w:rPr>
          <w:rFonts w:hint="cs"/>
          <w:rtl/>
        </w:rPr>
        <w:t xml:space="preserve"> וכן מעלייה ביתרת הפ</w:t>
      </w:r>
      <w:r w:rsidR="0011121D">
        <w:rPr>
          <w:rFonts w:hint="cs"/>
          <w:rtl/>
        </w:rPr>
        <w:t>י</w:t>
      </w:r>
      <w:r w:rsidR="0011121D" w:rsidRPr="0011121D">
        <w:rPr>
          <w:rFonts w:hint="cs"/>
          <w:rtl/>
        </w:rPr>
        <w:t>קדונות</w:t>
      </w:r>
      <w:r w:rsidR="00915BBE" w:rsidRPr="0011121D">
        <w:rPr>
          <w:rFonts w:hint="cs"/>
          <w:rtl/>
        </w:rPr>
        <w:t>.</w:t>
      </w:r>
    </w:p>
    <w:p w:rsidR="00DF40CC" w:rsidRPr="00DF7BC0" w:rsidRDefault="00DF40CC" w:rsidP="00915BBE">
      <w:pPr>
        <w:spacing w:line="360" w:lineRule="auto"/>
        <w:jc w:val="both"/>
        <w:rPr>
          <w:rtl/>
        </w:rPr>
      </w:pPr>
    </w:p>
    <w:p w:rsidR="00EB49C6" w:rsidRDefault="00EB49C6" w:rsidP="00E94957">
      <w:pPr>
        <w:spacing w:line="360" w:lineRule="auto"/>
        <w:jc w:val="both"/>
        <w:rPr>
          <w:b/>
          <w:bCs/>
          <w:rtl/>
        </w:rPr>
      </w:pPr>
    </w:p>
    <w:p w:rsidR="00EB49C6" w:rsidRDefault="00EB49C6" w:rsidP="00E94957">
      <w:pPr>
        <w:spacing w:line="360" w:lineRule="auto"/>
        <w:jc w:val="both"/>
        <w:rPr>
          <w:b/>
          <w:bCs/>
          <w:rtl/>
        </w:rPr>
      </w:pPr>
    </w:p>
    <w:p w:rsidR="00B26F1D" w:rsidRDefault="00B26F1D" w:rsidP="00E94957">
      <w:pPr>
        <w:spacing w:line="360" w:lineRule="auto"/>
        <w:jc w:val="both"/>
        <w:rPr>
          <w:b/>
          <w:bCs/>
          <w:rtl/>
        </w:rPr>
      </w:pPr>
    </w:p>
    <w:p w:rsidR="00B26F1D" w:rsidRDefault="00B26F1D" w:rsidP="00E94957">
      <w:pPr>
        <w:spacing w:line="360" w:lineRule="auto"/>
        <w:jc w:val="both"/>
        <w:rPr>
          <w:b/>
          <w:bCs/>
          <w:rtl/>
        </w:rPr>
      </w:pPr>
    </w:p>
    <w:p w:rsidR="00E94957" w:rsidRDefault="00E94957" w:rsidP="00E94957">
      <w:pPr>
        <w:spacing w:line="360" w:lineRule="auto"/>
        <w:jc w:val="both"/>
        <w:rPr>
          <w:b/>
          <w:bCs/>
          <w:rtl/>
        </w:rPr>
      </w:pPr>
      <w:r w:rsidRPr="0040667A">
        <w:rPr>
          <w:rFonts w:hint="cs"/>
          <w:b/>
          <w:bCs/>
          <w:rtl/>
        </w:rPr>
        <w:lastRenderedPageBreak/>
        <w:t>תיק הנכסים בחו"ל</w:t>
      </w:r>
    </w:p>
    <w:p w:rsidR="0049743C" w:rsidRPr="00EB49C6" w:rsidRDefault="0049067F" w:rsidP="00767CA2">
      <w:pPr>
        <w:spacing w:line="360" w:lineRule="auto"/>
        <w:jc w:val="both"/>
        <w:rPr>
          <w:rtl/>
        </w:rPr>
      </w:pPr>
      <w:r w:rsidRPr="00FC04C1">
        <w:rPr>
          <w:rFonts w:hint="cs"/>
          <w:b/>
          <w:bCs/>
          <w:rtl/>
        </w:rPr>
        <w:t xml:space="preserve">ברביע </w:t>
      </w:r>
      <w:r w:rsidR="008D09AE">
        <w:rPr>
          <w:rFonts w:hint="cs"/>
          <w:b/>
          <w:bCs/>
          <w:rtl/>
        </w:rPr>
        <w:t>הר</w:t>
      </w:r>
      <w:r w:rsidR="0040405E">
        <w:rPr>
          <w:rFonts w:hint="cs"/>
          <w:b/>
          <w:bCs/>
          <w:rtl/>
        </w:rPr>
        <w:t>אשון</w:t>
      </w:r>
      <w:r w:rsidRPr="00FC04C1">
        <w:rPr>
          <w:rFonts w:hint="cs"/>
          <w:b/>
          <w:bCs/>
          <w:rtl/>
        </w:rPr>
        <w:t xml:space="preserve"> של</w:t>
      </w:r>
      <w:r>
        <w:rPr>
          <w:rFonts w:hint="cs"/>
          <w:b/>
          <w:bCs/>
          <w:rtl/>
        </w:rPr>
        <w:t xml:space="preserve"> שנת </w:t>
      </w:r>
      <w:r w:rsidR="00F80D49">
        <w:rPr>
          <w:rFonts w:hint="cs"/>
          <w:b/>
          <w:bCs/>
          <w:rtl/>
        </w:rPr>
        <w:t>201</w:t>
      </w:r>
      <w:r w:rsidR="0040405E">
        <w:rPr>
          <w:rFonts w:hint="cs"/>
          <w:b/>
          <w:bCs/>
          <w:rtl/>
        </w:rPr>
        <w:t>7</w:t>
      </w:r>
      <w:r>
        <w:rPr>
          <w:rFonts w:hint="cs"/>
          <w:rtl/>
        </w:rPr>
        <w:t xml:space="preserve"> </w:t>
      </w:r>
      <w:r w:rsidR="00EB49C6">
        <w:rPr>
          <w:rFonts w:hint="cs"/>
          <w:rtl/>
        </w:rPr>
        <w:t>עלה</w:t>
      </w:r>
      <w:r w:rsidR="0049743C">
        <w:rPr>
          <w:rFonts w:hint="cs"/>
          <w:rtl/>
        </w:rPr>
        <w:t xml:space="preserve"> שווי התיק המוחזק בחו"ל בכ-</w:t>
      </w:r>
      <w:r w:rsidR="00EB49C6">
        <w:rPr>
          <w:rFonts w:hint="cs"/>
          <w:rtl/>
        </w:rPr>
        <w:t>1.1</w:t>
      </w:r>
      <w:r w:rsidR="00855771">
        <w:rPr>
          <w:rFonts w:hint="cs"/>
          <w:rtl/>
        </w:rPr>
        <w:t xml:space="preserve"> </w:t>
      </w:r>
      <w:r w:rsidR="0049743C" w:rsidRPr="00E102DB">
        <w:rPr>
          <w:rFonts w:hint="cs"/>
          <w:rtl/>
        </w:rPr>
        <w:t xml:space="preserve">מיליארדי </w:t>
      </w:r>
      <w:r w:rsidR="00FD22C6" w:rsidRPr="00E102DB">
        <w:rPr>
          <w:rFonts w:hint="cs"/>
          <w:rtl/>
        </w:rPr>
        <w:t>ש</w:t>
      </w:r>
      <w:r w:rsidR="00FD22C6" w:rsidRPr="00E102DB">
        <w:rPr>
          <w:rtl/>
        </w:rPr>
        <w:t>"</w:t>
      </w:r>
      <w:r w:rsidR="00FD22C6" w:rsidRPr="00E102DB">
        <w:rPr>
          <w:rFonts w:hint="cs"/>
          <w:rtl/>
        </w:rPr>
        <w:t>ח</w:t>
      </w:r>
      <w:r w:rsidR="00B9472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EB49C6">
        <w:rPr>
          <w:rFonts w:hint="cs"/>
          <w:rtl/>
        </w:rPr>
        <w:t>0.2</w:t>
      </w:r>
      <w:r>
        <w:rPr>
          <w:rFonts w:hint="cs"/>
          <w:rtl/>
        </w:rPr>
        <w:t xml:space="preserve">%) </w:t>
      </w:r>
      <w:r w:rsidR="00D82456">
        <w:rPr>
          <w:rFonts w:hint="cs"/>
          <w:rtl/>
        </w:rPr>
        <w:t xml:space="preserve">ועמד בסוף </w:t>
      </w:r>
      <w:r w:rsidR="0040405E">
        <w:rPr>
          <w:rFonts w:hint="cs"/>
          <w:rtl/>
        </w:rPr>
        <w:t>מרץ</w:t>
      </w:r>
      <w:r w:rsidR="00D82456">
        <w:rPr>
          <w:rFonts w:hint="cs"/>
          <w:rtl/>
        </w:rPr>
        <w:t xml:space="preserve"> על כ-</w:t>
      </w:r>
      <w:r w:rsidR="00CD3D12">
        <w:rPr>
          <w:rFonts w:hint="cs"/>
          <w:rtl/>
        </w:rPr>
        <w:t>4</w:t>
      </w:r>
      <w:r w:rsidR="00EB49C6">
        <w:rPr>
          <w:rFonts w:hint="cs"/>
          <w:rtl/>
        </w:rPr>
        <w:t>73</w:t>
      </w:r>
      <w:r w:rsidR="00CD3D12">
        <w:rPr>
          <w:rFonts w:hint="cs"/>
          <w:rtl/>
        </w:rPr>
        <w:t>.</w:t>
      </w:r>
      <w:r w:rsidR="00EB49C6">
        <w:rPr>
          <w:rFonts w:hint="cs"/>
          <w:rtl/>
        </w:rPr>
        <w:t>5</w:t>
      </w:r>
      <w:r w:rsidR="00CD3D12">
        <w:rPr>
          <w:rFonts w:hint="cs"/>
          <w:rtl/>
        </w:rPr>
        <w:t xml:space="preserve"> </w:t>
      </w:r>
      <w:r w:rsidR="0049743C">
        <w:rPr>
          <w:rFonts w:hint="cs"/>
          <w:rtl/>
        </w:rPr>
        <w:t>מיליארדים</w:t>
      </w:r>
      <w:r w:rsidR="00CA2376">
        <w:rPr>
          <w:rFonts w:hint="cs"/>
          <w:rtl/>
        </w:rPr>
        <w:t xml:space="preserve"> - המהווים</w:t>
      </w:r>
      <w:r w:rsidR="00872672">
        <w:rPr>
          <w:rFonts w:hint="cs"/>
          <w:rtl/>
        </w:rPr>
        <w:t xml:space="preserve"> כ-</w:t>
      </w:r>
      <w:r w:rsidR="00F80D49">
        <w:rPr>
          <w:rFonts w:hint="cs"/>
          <w:rtl/>
        </w:rPr>
        <w:t>13.</w:t>
      </w:r>
      <w:r w:rsidR="00EB49C6">
        <w:rPr>
          <w:rFonts w:hint="cs"/>
          <w:rtl/>
        </w:rPr>
        <w:t>9</w:t>
      </w:r>
      <w:r w:rsidR="003E616A">
        <w:rPr>
          <w:rFonts w:hint="cs"/>
          <w:rtl/>
        </w:rPr>
        <w:t xml:space="preserve">% </w:t>
      </w:r>
      <w:r w:rsidR="00872672">
        <w:rPr>
          <w:rFonts w:hint="cs"/>
          <w:rtl/>
        </w:rPr>
        <w:t>מסך תיק הנכסים</w:t>
      </w:r>
      <w:r w:rsidR="00767CA2">
        <w:rPr>
          <w:rFonts w:hint="cs"/>
          <w:rtl/>
        </w:rPr>
        <w:t>:</w:t>
      </w:r>
    </w:p>
    <w:p w:rsidR="00767CA2" w:rsidRDefault="00767CA2" w:rsidP="00537319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A31098" w:rsidRPr="009866DB">
        <w:rPr>
          <w:rFonts w:hint="cs"/>
          <w:rtl/>
        </w:rPr>
        <w:t xml:space="preserve"> </w:t>
      </w:r>
      <w:r w:rsidR="00A31098" w:rsidRPr="00767CA2">
        <w:rPr>
          <w:rFonts w:hint="cs"/>
          <w:b/>
          <w:bCs/>
          <w:rtl/>
        </w:rPr>
        <w:t>המניות בחו"ל</w:t>
      </w:r>
      <w:r w:rsidR="00A31098" w:rsidRPr="009866DB">
        <w:rPr>
          <w:rFonts w:hint="cs"/>
          <w:rtl/>
        </w:rPr>
        <w:t xml:space="preserve"> </w:t>
      </w:r>
      <w:r w:rsidR="00A31098">
        <w:rPr>
          <w:rFonts w:hint="cs"/>
          <w:rtl/>
        </w:rPr>
        <w:t>על</w:t>
      </w:r>
      <w:r>
        <w:rPr>
          <w:rFonts w:hint="cs"/>
          <w:rtl/>
        </w:rPr>
        <w:t>ת</w:t>
      </w:r>
      <w:r w:rsidR="00A31098">
        <w:rPr>
          <w:rFonts w:hint="cs"/>
          <w:rtl/>
        </w:rPr>
        <w:t xml:space="preserve">ה </w:t>
      </w:r>
      <w:r w:rsidR="00A31098" w:rsidRPr="009866DB">
        <w:rPr>
          <w:rFonts w:hint="cs"/>
          <w:rtl/>
        </w:rPr>
        <w:t>בכ-</w:t>
      </w:r>
      <w:r w:rsidR="00295A41">
        <w:rPr>
          <w:rFonts w:hint="cs"/>
          <w:rtl/>
        </w:rPr>
        <w:t>9.9</w:t>
      </w:r>
      <w:r w:rsidR="00556F6D">
        <w:rPr>
          <w:rFonts w:hint="cs"/>
          <w:rtl/>
        </w:rPr>
        <w:t xml:space="preserve"> מיליארדי ש"ח</w:t>
      </w:r>
      <w:r w:rsidR="00A31098">
        <w:rPr>
          <w:rFonts w:hint="cs"/>
          <w:rtl/>
        </w:rPr>
        <w:t xml:space="preserve"> (</w:t>
      </w:r>
      <w:r w:rsidR="00295A41">
        <w:rPr>
          <w:rFonts w:hint="cs"/>
          <w:rtl/>
        </w:rPr>
        <w:t>3.</w:t>
      </w:r>
      <w:r>
        <w:rPr>
          <w:rFonts w:hint="cs"/>
          <w:rtl/>
        </w:rPr>
        <w:t>7</w:t>
      </w:r>
      <w:r w:rsidR="00A31098">
        <w:rPr>
          <w:rFonts w:hint="cs"/>
          <w:rtl/>
        </w:rPr>
        <w:t>%)</w:t>
      </w:r>
      <w:r>
        <w:rPr>
          <w:rFonts w:hint="cs"/>
          <w:rtl/>
        </w:rPr>
        <w:t xml:space="preserve"> </w:t>
      </w:r>
      <w:r w:rsidR="00A31098" w:rsidRPr="009866DB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A31098" w:rsidRPr="009866DB">
        <w:rPr>
          <w:rFonts w:hint="cs"/>
          <w:rtl/>
        </w:rPr>
        <w:t xml:space="preserve"> בסוף </w:t>
      </w:r>
      <w:r w:rsidR="00A65765">
        <w:rPr>
          <w:rFonts w:hint="cs"/>
          <w:rtl/>
        </w:rPr>
        <w:t>מרץ</w:t>
      </w:r>
      <w:r w:rsidR="00A31098" w:rsidRPr="009866DB">
        <w:rPr>
          <w:rFonts w:hint="cs"/>
          <w:rtl/>
        </w:rPr>
        <w:t xml:space="preserve"> על כ-</w:t>
      </w:r>
      <w:r w:rsidR="00295A41">
        <w:rPr>
          <w:rFonts w:hint="cs"/>
          <w:rtl/>
        </w:rPr>
        <w:t>281</w:t>
      </w:r>
      <w:r w:rsidR="00A31098">
        <w:rPr>
          <w:rFonts w:hint="cs"/>
          <w:rtl/>
        </w:rPr>
        <w:t xml:space="preserve"> מיליארדי </w:t>
      </w:r>
      <w:r w:rsidR="00537319">
        <w:rPr>
          <w:rFonts w:hint="cs"/>
          <w:rtl/>
        </w:rPr>
        <w:t xml:space="preserve">ש"ח. </w:t>
      </w:r>
      <w:r>
        <w:rPr>
          <w:rFonts w:hint="cs"/>
          <w:rtl/>
        </w:rPr>
        <w:t>העלייה ביתרת המניות בחו"ל נבעה משילוב של השקעות נטו</w:t>
      </w:r>
      <w:r w:rsidRPr="00767CA2">
        <w:rPr>
          <w:rFonts w:ascii="Arial" w:hAnsi="Arial" w:hint="cs"/>
          <w:rtl/>
        </w:rPr>
        <w:t xml:space="preserve"> ועליות במחיר המניות הזרות שמחזיקים תושבי ישראל</w:t>
      </w:r>
      <w:r w:rsidR="00537319">
        <w:rPr>
          <w:rFonts w:ascii="Arial" w:hAnsi="Arial" w:hint="cs"/>
          <w:rtl/>
        </w:rPr>
        <w:t xml:space="preserve"> שקוזזו בחלקן על ידי הייסוף בשקל שהקטין את השווי השקלי של היתרה</w:t>
      </w:r>
      <w:r w:rsidRPr="00767CA2">
        <w:rPr>
          <w:rFonts w:ascii="Arial" w:hAnsi="Arial" w:hint="cs"/>
          <w:rtl/>
        </w:rPr>
        <w:t>.</w:t>
      </w:r>
      <w:r w:rsidR="00A31098">
        <w:rPr>
          <w:rFonts w:hint="cs"/>
          <w:rtl/>
        </w:rPr>
        <w:t xml:space="preserve"> </w:t>
      </w:r>
    </w:p>
    <w:p w:rsidR="00767CA2" w:rsidRDefault="00295A41" w:rsidP="00767CA2">
      <w:pPr>
        <w:pStyle w:val="ae"/>
        <w:numPr>
          <w:ilvl w:val="0"/>
          <w:numId w:val="19"/>
        </w:numPr>
        <w:spacing w:line="360" w:lineRule="auto"/>
        <w:jc w:val="both"/>
      </w:pPr>
      <w:r>
        <w:rPr>
          <w:rFonts w:hint="cs"/>
          <w:rtl/>
        </w:rPr>
        <w:t xml:space="preserve">יתרת הפיקדונות בבנקים בחו"ל </w:t>
      </w:r>
      <w:r w:rsidR="00767CA2">
        <w:rPr>
          <w:rFonts w:hint="cs"/>
          <w:rtl/>
        </w:rPr>
        <w:t>ירדה במהלך הרביע בכ-5.4 מיליארדים (28%-) בעיקר כתוצאה ממשיכות נטו</w:t>
      </w:r>
      <w:r w:rsidR="00556F6D">
        <w:rPr>
          <w:rFonts w:hint="cs"/>
          <w:rtl/>
        </w:rPr>
        <w:t>,</w:t>
      </w:r>
      <w:r w:rsidR="00767CA2">
        <w:rPr>
          <w:rFonts w:hint="cs"/>
          <w:rtl/>
        </w:rPr>
        <w:t xml:space="preserve"> ועמדה בסוף מרץ על כ-14 מיליארדי ש"ח.</w:t>
      </w:r>
    </w:p>
    <w:p w:rsidR="00D921A2" w:rsidRDefault="00767CA2" w:rsidP="00BE34FF">
      <w:pPr>
        <w:pStyle w:val="ae"/>
        <w:numPr>
          <w:ilvl w:val="0"/>
          <w:numId w:val="19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יתרת</w:t>
      </w:r>
      <w:r w:rsidR="00855771">
        <w:rPr>
          <w:rFonts w:hint="cs"/>
          <w:rtl/>
        </w:rPr>
        <w:t xml:space="preserve"> האג"ח הסחיר</w:t>
      </w:r>
      <w:r>
        <w:rPr>
          <w:rFonts w:hint="cs"/>
          <w:rtl/>
        </w:rPr>
        <w:t>ות ירדה</w:t>
      </w:r>
      <w:r w:rsidR="00855771">
        <w:rPr>
          <w:rFonts w:hint="cs"/>
          <w:rtl/>
        </w:rPr>
        <w:t xml:space="preserve"> בכ-</w:t>
      </w:r>
      <w:r w:rsidR="00295A41">
        <w:rPr>
          <w:rFonts w:hint="cs"/>
          <w:rtl/>
        </w:rPr>
        <w:t>3.4 מיליארדים (1.9%-)</w:t>
      </w:r>
      <w:r w:rsidR="00E304A4">
        <w:rPr>
          <w:rFonts w:hint="cs"/>
          <w:rtl/>
        </w:rPr>
        <w:t xml:space="preserve"> </w:t>
      </w:r>
      <w:r w:rsidR="00BE34FF">
        <w:rPr>
          <w:rFonts w:hint="cs"/>
          <w:rtl/>
        </w:rPr>
        <w:t>ועמדה בסוף הרביע על כ-179 מיליארדי</w:t>
      </w:r>
      <w:r>
        <w:rPr>
          <w:rFonts w:hint="cs"/>
          <w:rtl/>
        </w:rPr>
        <w:t xml:space="preserve"> </w:t>
      </w:r>
      <w:r w:rsidR="00BE34FF">
        <w:rPr>
          <w:rFonts w:hint="cs"/>
          <w:rtl/>
        </w:rPr>
        <w:t>ש"ח. הירידה ביתרת האג"ח נבעה מהייסוף בשקל שקיזז ויותר את ההשקעות נטו באג"ח זרות שנרשמו במהלך הרביע.</w:t>
      </w:r>
    </w:p>
    <w:p w:rsidR="00734EB3" w:rsidRDefault="00734EB3" w:rsidP="00CD3D12">
      <w:pPr>
        <w:spacing w:line="360" w:lineRule="auto"/>
        <w:jc w:val="both"/>
        <w:rPr>
          <w:rtl/>
        </w:rPr>
      </w:pPr>
    </w:p>
    <w:p w:rsidR="00734EB3" w:rsidRDefault="00B56B26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5C2E0C26">
            <wp:extent cx="4464000" cy="2723881"/>
            <wp:effectExtent l="0" t="0" r="0" b="635"/>
            <wp:docPr id="11" name="תמונה 11" descr="תרשים 3: תיק הנכסים של תושבי ישראל בחו&quot;ל&#10;מיליארדי ₪, מחירים שוטפים&#10;" title="תרשים 3: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723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D66" w:rsidRDefault="00A21D66" w:rsidP="00ED7589">
      <w:pPr>
        <w:spacing w:line="360" w:lineRule="auto"/>
        <w:jc w:val="both"/>
        <w:rPr>
          <w:b/>
          <w:bCs/>
          <w:highlight w:val="yellow"/>
          <w:rtl/>
        </w:rPr>
      </w:pPr>
    </w:p>
    <w:p w:rsidR="00283B13" w:rsidRDefault="00283B1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התיק המנוהל באמצעות המשקיעים המוסדיים</w:t>
      </w:r>
    </w:p>
    <w:p w:rsidR="00283B13" w:rsidRDefault="00283B13" w:rsidP="006769C7">
      <w:pPr>
        <w:tabs>
          <w:tab w:val="left" w:pos="4928"/>
        </w:tabs>
        <w:spacing w:line="360" w:lineRule="auto"/>
        <w:jc w:val="both"/>
        <w:rPr>
          <w:b/>
          <w:bCs/>
          <w:u w:val="single"/>
          <w:rtl/>
        </w:rPr>
      </w:pPr>
    </w:p>
    <w:p w:rsidR="00B42E29" w:rsidRDefault="002C14DC" w:rsidP="004207C3">
      <w:pPr>
        <w:spacing w:line="360" w:lineRule="auto"/>
        <w:jc w:val="both"/>
        <w:rPr>
          <w:b/>
          <w:bCs/>
          <w:rtl/>
        </w:rPr>
      </w:pPr>
      <w:r w:rsidRPr="00901DBC">
        <w:rPr>
          <w:b/>
          <w:bCs/>
          <w:rtl/>
        </w:rPr>
        <w:t xml:space="preserve">יתרת התיק המנוהל בידי המשקיעים המוסדיים </w:t>
      </w:r>
      <w:r w:rsidRPr="00901DBC">
        <w:rPr>
          <w:rtl/>
        </w:rPr>
        <w:t>על</w:t>
      </w:r>
      <w:r w:rsidR="008E7BE6">
        <w:rPr>
          <w:rFonts w:hint="cs"/>
          <w:rtl/>
        </w:rPr>
        <w:t>ת</w:t>
      </w:r>
      <w:r w:rsidRPr="00901DBC">
        <w:rPr>
          <w:rtl/>
        </w:rPr>
        <w:t>ה ברביע הר</w:t>
      </w:r>
      <w:r w:rsidR="00E645F7">
        <w:rPr>
          <w:rFonts w:hint="cs"/>
          <w:rtl/>
        </w:rPr>
        <w:t>אשון</w:t>
      </w:r>
      <w:r w:rsidRPr="00901DBC">
        <w:rPr>
          <w:rtl/>
        </w:rPr>
        <w:t xml:space="preserve"> של שנת 201</w:t>
      </w:r>
      <w:r w:rsidR="00E645F7">
        <w:rPr>
          <w:rFonts w:hint="cs"/>
          <w:rtl/>
        </w:rPr>
        <w:t>7</w:t>
      </w:r>
      <w:r w:rsidRPr="00901DBC">
        <w:rPr>
          <w:rtl/>
        </w:rPr>
        <w:t xml:space="preserve"> בכ-1.</w:t>
      </w:r>
      <w:r w:rsidR="00E645F7">
        <w:rPr>
          <w:rFonts w:hint="cs"/>
          <w:rtl/>
        </w:rPr>
        <w:t>3</w:t>
      </w:r>
      <w:r w:rsidRPr="00901DBC">
        <w:rPr>
          <w:rtl/>
        </w:rPr>
        <w:t xml:space="preserve">% </w:t>
      </w:r>
      <w:r w:rsidRPr="00E7445E">
        <w:rPr>
          <w:rtl/>
        </w:rPr>
        <w:t>(1</w:t>
      </w:r>
      <w:r w:rsidR="00E645F7" w:rsidRPr="00E7445E">
        <w:rPr>
          <w:rFonts w:hint="cs"/>
          <w:rtl/>
        </w:rPr>
        <w:t>9</w:t>
      </w:r>
      <w:r w:rsidRPr="00E7445E">
        <w:rPr>
          <w:rtl/>
        </w:rPr>
        <w:t xml:space="preserve"> מיליארדי ש"ח), ועמד</w:t>
      </w:r>
      <w:r w:rsidR="008E7BE6" w:rsidRPr="00E7445E">
        <w:rPr>
          <w:rFonts w:hint="cs"/>
          <w:rtl/>
        </w:rPr>
        <w:t>ה</w:t>
      </w:r>
      <w:r w:rsidRPr="00E7445E">
        <w:rPr>
          <w:rtl/>
        </w:rPr>
        <w:t xml:space="preserve"> בסופו על כ-1.4</w:t>
      </w:r>
      <w:r w:rsidR="00E645F7" w:rsidRPr="00E7445E">
        <w:rPr>
          <w:rFonts w:hint="cs"/>
          <w:rtl/>
        </w:rPr>
        <w:t>6</w:t>
      </w:r>
      <w:r w:rsidRPr="00E7445E">
        <w:rPr>
          <w:rtl/>
        </w:rPr>
        <w:t xml:space="preserve"> טריליון ש"ח.</w:t>
      </w:r>
      <w:r w:rsidRPr="00E7445E">
        <w:rPr>
          <w:b/>
          <w:bCs/>
          <w:rtl/>
        </w:rPr>
        <w:t xml:space="preserve"> </w:t>
      </w:r>
      <w:r w:rsidRPr="00E7445E">
        <w:rPr>
          <w:rtl/>
        </w:rPr>
        <w:t>העלייה ביתרת</w:t>
      </w:r>
      <w:r w:rsidR="009863F5" w:rsidRPr="00E7445E">
        <w:rPr>
          <w:rtl/>
        </w:rPr>
        <w:t xml:space="preserve"> התיק נבעה בעיקר מעלייה ברכיבי</w:t>
      </w:r>
      <w:r w:rsidR="00E7445E" w:rsidRPr="00E7445E">
        <w:rPr>
          <w:rFonts w:hint="cs"/>
          <w:rtl/>
        </w:rPr>
        <w:t>:</w:t>
      </w:r>
      <w:r w:rsidR="009863F5" w:rsidRPr="00E7445E">
        <w:rPr>
          <w:rFonts w:hint="cs"/>
          <w:rtl/>
        </w:rPr>
        <w:t xml:space="preserve"> </w:t>
      </w:r>
      <w:r w:rsidRPr="00B42E29">
        <w:rPr>
          <w:b/>
          <w:bCs/>
          <w:rtl/>
        </w:rPr>
        <w:t>המזומן והפיק</w:t>
      </w:r>
      <w:r w:rsidR="009863F5" w:rsidRPr="00B42E29">
        <w:rPr>
          <w:b/>
          <w:bCs/>
          <w:rtl/>
        </w:rPr>
        <w:t>דונות</w:t>
      </w:r>
      <w:r w:rsidR="009863F5" w:rsidRPr="00E7445E">
        <w:rPr>
          <w:rtl/>
        </w:rPr>
        <w:t xml:space="preserve"> (</w:t>
      </w:r>
      <w:r w:rsidR="00E7445E" w:rsidRPr="00E7445E">
        <w:rPr>
          <w:rFonts w:hint="cs"/>
          <w:rtl/>
        </w:rPr>
        <w:t>7</w:t>
      </w:r>
      <w:r w:rsidR="009863F5" w:rsidRPr="00E7445E">
        <w:rPr>
          <w:rtl/>
        </w:rPr>
        <w:t xml:space="preserve"> מיליארדי ש"ח, </w:t>
      </w:r>
      <w:r w:rsidR="00E7445E" w:rsidRPr="00E7445E">
        <w:rPr>
          <w:rFonts w:hint="cs"/>
          <w:rtl/>
        </w:rPr>
        <w:t>7.4%</w:t>
      </w:r>
      <w:r w:rsidR="009863F5" w:rsidRPr="00E7445E">
        <w:rPr>
          <w:rtl/>
        </w:rPr>
        <w:t>)</w:t>
      </w:r>
      <w:r w:rsidR="006A03CE" w:rsidRPr="00E7445E">
        <w:rPr>
          <w:rFonts w:hint="cs"/>
          <w:rtl/>
        </w:rPr>
        <w:t xml:space="preserve">, </w:t>
      </w:r>
      <w:r w:rsidR="00E7445E" w:rsidRPr="00B42E29">
        <w:rPr>
          <w:rFonts w:hint="cs"/>
          <w:b/>
          <w:bCs/>
          <w:rtl/>
        </w:rPr>
        <w:t xml:space="preserve">האג"ח הממשלתיות </w:t>
      </w:r>
      <w:r w:rsidRPr="00E7445E">
        <w:rPr>
          <w:rtl/>
        </w:rPr>
        <w:t>(</w:t>
      </w:r>
      <w:r w:rsidR="00E7445E" w:rsidRPr="00E7445E">
        <w:rPr>
          <w:rFonts w:hint="cs"/>
          <w:rtl/>
        </w:rPr>
        <w:t>5</w:t>
      </w:r>
      <w:r w:rsidRPr="00E7445E">
        <w:rPr>
          <w:rtl/>
        </w:rPr>
        <w:t xml:space="preserve">.8 מיליארדים, </w:t>
      </w:r>
      <w:r w:rsidR="00E7445E" w:rsidRPr="00E7445E">
        <w:rPr>
          <w:rFonts w:hint="cs"/>
          <w:rtl/>
        </w:rPr>
        <w:t>1</w:t>
      </w:r>
      <w:r w:rsidRPr="00E7445E">
        <w:rPr>
          <w:rtl/>
        </w:rPr>
        <w:t>%)</w:t>
      </w:r>
      <w:r w:rsidR="00E7445E" w:rsidRPr="00E7445E">
        <w:rPr>
          <w:rFonts w:hint="cs"/>
          <w:rtl/>
        </w:rPr>
        <w:t>,</w:t>
      </w:r>
      <w:r w:rsidR="006A03CE" w:rsidRPr="00E7445E">
        <w:rPr>
          <w:rFonts w:hint="cs"/>
          <w:rtl/>
        </w:rPr>
        <w:t xml:space="preserve"> </w:t>
      </w:r>
      <w:r w:rsidR="00E7445E" w:rsidRPr="00B42E29">
        <w:rPr>
          <w:rFonts w:hint="cs"/>
          <w:b/>
          <w:bCs/>
          <w:rtl/>
        </w:rPr>
        <w:t>המניות בישראל</w:t>
      </w:r>
      <w:r w:rsidR="00E7445E" w:rsidRPr="00E7445E">
        <w:rPr>
          <w:rFonts w:hint="cs"/>
          <w:rtl/>
        </w:rPr>
        <w:t xml:space="preserve"> </w:t>
      </w:r>
      <w:r w:rsidR="006A03CE" w:rsidRPr="00E7445E">
        <w:rPr>
          <w:rFonts w:hint="cs"/>
          <w:rtl/>
        </w:rPr>
        <w:t xml:space="preserve"> (</w:t>
      </w:r>
      <w:r w:rsidR="00E7445E" w:rsidRPr="00E7445E">
        <w:rPr>
          <w:rFonts w:hint="cs"/>
          <w:rtl/>
        </w:rPr>
        <w:t>2.9</w:t>
      </w:r>
      <w:r w:rsidR="006A03CE" w:rsidRPr="00E7445E">
        <w:rPr>
          <w:rFonts w:hint="cs"/>
          <w:rtl/>
        </w:rPr>
        <w:t xml:space="preserve"> מיליארדים, </w:t>
      </w:r>
      <w:r w:rsidR="00E7445E" w:rsidRPr="00E7445E">
        <w:rPr>
          <w:rFonts w:hint="cs"/>
          <w:rtl/>
        </w:rPr>
        <w:t>2.5</w:t>
      </w:r>
      <w:r w:rsidR="006A03CE" w:rsidRPr="00E7445E">
        <w:rPr>
          <w:rFonts w:hint="cs"/>
          <w:rtl/>
        </w:rPr>
        <w:t>%)</w:t>
      </w:r>
      <w:r w:rsidR="00E7445E">
        <w:rPr>
          <w:rFonts w:hint="cs"/>
          <w:rtl/>
        </w:rPr>
        <w:t xml:space="preserve">, </w:t>
      </w:r>
      <w:r w:rsidR="00E7445E" w:rsidRPr="00B42E29">
        <w:rPr>
          <w:rFonts w:hint="cs"/>
          <w:b/>
          <w:bCs/>
          <w:rtl/>
        </w:rPr>
        <w:t>ההלוואות</w:t>
      </w:r>
      <w:r w:rsidR="00E7445E" w:rsidRPr="00E7445E">
        <w:rPr>
          <w:rFonts w:hint="cs"/>
          <w:rtl/>
        </w:rPr>
        <w:t xml:space="preserve"> (2.5 מיליארדים, 3.2%)</w:t>
      </w:r>
      <w:r w:rsidR="00E7445E">
        <w:rPr>
          <w:rFonts w:hint="cs"/>
          <w:rtl/>
        </w:rPr>
        <w:t xml:space="preserve"> </w:t>
      </w:r>
      <w:r w:rsidR="00E7445E" w:rsidRPr="00B42E29">
        <w:rPr>
          <w:rFonts w:hint="cs"/>
          <w:b/>
          <w:bCs/>
          <w:rtl/>
        </w:rPr>
        <w:t>ו</w:t>
      </w:r>
      <w:r w:rsidR="00B42E29">
        <w:rPr>
          <w:rFonts w:hint="cs"/>
          <w:b/>
          <w:bCs/>
          <w:rtl/>
        </w:rPr>
        <w:t>ה</w:t>
      </w:r>
      <w:r w:rsidR="00E7445E" w:rsidRPr="00B42E29">
        <w:rPr>
          <w:rFonts w:hint="cs"/>
          <w:b/>
          <w:bCs/>
          <w:rtl/>
        </w:rPr>
        <w:t>אג"ח הפרטיות</w:t>
      </w:r>
      <w:r w:rsidR="00E7445E">
        <w:rPr>
          <w:rFonts w:hint="cs"/>
          <w:rtl/>
        </w:rPr>
        <w:t xml:space="preserve"> (1.5 מיליארדים, 1%)</w:t>
      </w:r>
      <w:r w:rsidR="00E7445E" w:rsidRPr="00E7445E">
        <w:rPr>
          <w:rFonts w:hint="cs"/>
          <w:rtl/>
        </w:rPr>
        <w:t>.</w:t>
      </w:r>
      <w:r w:rsidR="00E7445E">
        <w:rPr>
          <w:rFonts w:hint="cs"/>
          <w:b/>
          <w:bCs/>
          <w:rtl/>
        </w:rPr>
        <w:t xml:space="preserve"> </w:t>
      </w:r>
      <w:r w:rsidR="00B42E29" w:rsidRPr="00692E6D">
        <w:rPr>
          <w:rFonts w:hint="cs"/>
          <w:rtl/>
        </w:rPr>
        <w:t>העלייה בשווי התיק המנוהל קוזזה בחלקה ע</w:t>
      </w:r>
      <w:r w:rsidR="00B42E29">
        <w:rPr>
          <w:rFonts w:hint="cs"/>
          <w:rtl/>
        </w:rPr>
        <w:t>ל ידי</w:t>
      </w:r>
      <w:r w:rsidR="00B42E29" w:rsidRPr="00692E6D">
        <w:rPr>
          <w:rFonts w:hint="cs"/>
          <w:rtl/>
        </w:rPr>
        <w:t xml:space="preserve"> ירידה בשווי </w:t>
      </w:r>
      <w:r w:rsidR="00B42E29">
        <w:rPr>
          <w:rFonts w:hint="cs"/>
          <w:rtl/>
        </w:rPr>
        <w:t xml:space="preserve">רכיב </w:t>
      </w:r>
      <w:r w:rsidR="00B42E29" w:rsidRPr="0025305B">
        <w:rPr>
          <w:rFonts w:hint="cs"/>
          <w:b/>
          <w:bCs/>
          <w:rtl/>
        </w:rPr>
        <w:t xml:space="preserve">האג"ח בחו"ל </w:t>
      </w:r>
      <w:r w:rsidR="00B42E29">
        <w:rPr>
          <w:rFonts w:hint="cs"/>
          <w:rtl/>
        </w:rPr>
        <w:t>ב</w:t>
      </w:r>
      <w:r w:rsidR="00B42E29" w:rsidRPr="00132722">
        <w:rPr>
          <w:rFonts w:hint="cs"/>
          <w:rtl/>
        </w:rPr>
        <w:t xml:space="preserve">כ-1.2 מיליארדי </w:t>
      </w:r>
      <w:r w:rsidR="00B42E29">
        <w:rPr>
          <w:rFonts w:hint="cs"/>
          <w:rtl/>
        </w:rPr>
        <w:t>ש"ח</w:t>
      </w:r>
      <w:r w:rsidR="00B42E29" w:rsidRPr="00132722">
        <w:rPr>
          <w:rFonts w:hint="cs"/>
          <w:rtl/>
        </w:rPr>
        <w:t xml:space="preserve"> (1.4%)</w:t>
      </w:r>
      <w:r w:rsidR="00B42E29">
        <w:rPr>
          <w:rFonts w:hint="cs"/>
          <w:b/>
          <w:bCs/>
          <w:rtl/>
        </w:rPr>
        <w:t xml:space="preserve">, </w:t>
      </w:r>
      <w:r w:rsidR="00B42E29">
        <w:rPr>
          <w:rFonts w:hint="cs"/>
          <w:rtl/>
        </w:rPr>
        <w:t xml:space="preserve">זאת </w:t>
      </w:r>
      <w:r w:rsidR="00B42E29" w:rsidRPr="0025305B">
        <w:rPr>
          <w:rFonts w:hint="cs"/>
          <w:rtl/>
        </w:rPr>
        <w:t xml:space="preserve">כתוצאה </w:t>
      </w:r>
      <w:r w:rsidR="00B42E29">
        <w:rPr>
          <w:rFonts w:hint="cs"/>
          <w:rtl/>
        </w:rPr>
        <w:t>מייסוף ה</w:t>
      </w:r>
      <w:r w:rsidR="00B42E29">
        <w:rPr>
          <w:rtl/>
        </w:rPr>
        <w:t>שקל מול הדולר אשר פעל להקטנת השווי</w:t>
      </w:r>
      <w:r w:rsidR="00B42E29">
        <w:rPr>
          <w:rFonts w:hint="cs"/>
          <w:rtl/>
        </w:rPr>
        <w:t xml:space="preserve"> </w:t>
      </w:r>
      <w:r w:rsidR="00B42E29">
        <w:rPr>
          <w:rtl/>
        </w:rPr>
        <w:t>השקלי של התיק</w:t>
      </w:r>
      <w:r w:rsidR="00B42E29">
        <w:rPr>
          <w:rFonts w:hint="cs"/>
          <w:rtl/>
        </w:rPr>
        <w:t xml:space="preserve"> </w:t>
      </w:r>
      <w:r w:rsidR="004207C3">
        <w:rPr>
          <w:rFonts w:hint="cs"/>
          <w:rtl/>
        </w:rPr>
        <w:t>וקיזז את ה</w:t>
      </w:r>
      <w:r w:rsidR="00B42E29">
        <w:rPr>
          <w:rFonts w:hint="cs"/>
          <w:rtl/>
        </w:rPr>
        <w:t xml:space="preserve">השקעות נטו </w:t>
      </w:r>
      <w:r w:rsidR="004207C3">
        <w:rPr>
          <w:rFonts w:hint="cs"/>
          <w:rtl/>
        </w:rPr>
        <w:t xml:space="preserve">שנרשמו במהלך הרביע ואת </w:t>
      </w:r>
      <w:r w:rsidR="00B42E29">
        <w:rPr>
          <w:rFonts w:hint="cs"/>
          <w:rtl/>
        </w:rPr>
        <w:t xml:space="preserve">עליית </w:t>
      </w:r>
      <w:r w:rsidR="004207C3">
        <w:rPr>
          <w:rFonts w:hint="cs"/>
          <w:rtl/>
        </w:rPr>
        <w:t>ה</w:t>
      </w:r>
      <w:r w:rsidR="00B42E29">
        <w:rPr>
          <w:rFonts w:hint="cs"/>
          <w:rtl/>
        </w:rPr>
        <w:t>מחירים בבורסות בחו"ל.</w:t>
      </w:r>
    </w:p>
    <w:p w:rsidR="002D1100" w:rsidRDefault="00B42E29" w:rsidP="00B42E29">
      <w:pPr>
        <w:spacing w:line="360" w:lineRule="auto"/>
        <w:jc w:val="both"/>
        <w:rPr>
          <w:b/>
          <w:bCs/>
          <w:rtl/>
        </w:rPr>
      </w:pPr>
      <w:r w:rsidRPr="0025305B">
        <w:rPr>
          <w:rFonts w:hint="cs"/>
          <w:b/>
          <w:bCs/>
          <w:rtl/>
        </w:rPr>
        <w:t xml:space="preserve"> </w:t>
      </w:r>
      <w:r w:rsidR="002D1100" w:rsidRPr="00E02EB2">
        <w:rPr>
          <w:rFonts w:hint="cs"/>
          <w:b/>
          <w:bCs/>
          <w:rtl/>
        </w:rPr>
        <w:t xml:space="preserve">משקלו של התיק המנוהל </w:t>
      </w:r>
      <w:r w:rsidR="00E7445E">
        <w:rPr>
          <w:rFonts w:hint="cs"/>
          <w:rtl/>
        </w:rPr>
        <w:t>בידי</w:t>
      </w:r>
      <w:r w:rsidR="002D1100">
        <w:rPr>
          <w:rFonts w:hint="cs"/>
          <w:rtl/>
        </w:rPr>
        <w:t xml:space="preserve"> המוסדיים מ</w:t>
      </w:r>
      <w:r w:rsidR="002D1100" w:rsidRPr="00E02EB2">
        <w:rPr>
          <w:rFonts w:hint="cs"/>
          <w:rtl/>
        </w:rPr>
        <w:t xml:space="preserve">סך תיק הנכסים של </w:t>
      </w:r>
      <w:r w:rsidRPr="00E804B0">
        <w:rPr>
          <w:rFonts w:hint="cs"/>
          <w:rtl/>
        </w:rPr>
        <w:t xml:space="preserve">הציבור עלה </w:t>
      </w:r>
      <w:r>
        <w:rPr>
          <w:rFonts w:hint="cs"/>
          <w:rtl/>
        </w:rPr>
        <w:t xml:space="preserve">במהלך הרביע </w:t>
      </w:r>
      <w:r w:rsidRPr="00E804B0">
        <w:rPr>
          <w:rFonts w:hint="cs"/>
          <w:rtl/>
        </w:rPr>
        <w:t xml:space="preserve">בכ-0.9 נקודות האחוז </w:t>
      </w:r>
      <w:r>
        <w:rPr>
          <w:rFonts w:hint="cs"/>
          <w:rtl/>
        </w:rPr>
        <w:t xml:space="preserve">ועמד בסופו </w:t>
      </w:r>
      <w:r w:rsidRPr="00E804B0">
        <w:rPr>
          <w:rFonts w:hint="cs"/>
          <w:rtl/>
        </w:rPr>
        <w:t>על כ-42.8%.</w:t>
      </w:r>
    </w:p>
    <w:p w:rsidR="002D1100" w:rsidRPr="00B03A87" w:rsidRDefault="00B56B26" w:rsidP="00B56B26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lastRenderedPageBreak/>
        <w:drawing>
          <wp:inline distT="0" distB="0" distL="0" distR="0" wp14:anchorId="47F68BC9">
            <wp:extent cx="4464000" cy="2723390"/>
            <wp:effectExtent l="0" t="0" r="0" b="1270"/>
            <wp:docPr id="12" name="תמונה 12" descr="תרשים 4: יתרת סך הנכסים בתיק המנוהל בידי הגופים המוסדיים&#10;ללא קרנות נאמנות&#10;" title="תרשים 4: יתרת סך הנכסים בתיק המנוהל בידי הגופים המוסד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B26" w:rsidRDefault="00B56B26" w:rsidP="00B31E78">
      <w:pPr>
        <w:spacing w:line="360" w:lineRule="auto"/>
        <w:jc w:val="both"/>
        <w:rPr>
          <w:b/>
          <w:bCs/>
          <w:rtl/>
        </w:rPr>
      </w:pPr>
    </w:p>
    <w:p w:rsidR="002D1100" w:rsidRDefault="002D1100" w:rsidP="00B31E78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חשיפת</w:t>
      </w:r>
      <w:r>
        <w:rPr>
          <w:rStyle w:val="a4"/>
          <w:b/>
          <w:bCs/>
          <w:rtl/>
        </w:rPr>
        <w:footnoteReference w:id="1"/>
      </w:r>
      <w:r>
        <w:rPr>
          <w:rFonts w:hint="cs"/>
          <w:b/>
          <w:bCs/>
          <w:rtl/>
        </w:rPr>
        <w:t xml:space="preserve"> התיק המנוהל </w:t>
      </w:r>
      <w:r w:rsidR="00B31E78">
        <w:rPr>
          <w:rFonts w:hint="cs"/>
          <w:b/>
          <w:bCs/>
          <w:rtl/>
        </w:rPr>
        <w:t>ביד</w:t>
      </w:r>
      <w:r>
        <w:rPr>
          <w:rFonts w:hint="cs"/>
          <w:b/>
          <w:bCs/>
          <w:rtl/>
        </w:rPr>
        <w:t xml:space="preserve">י הגופים המוסדיים לנכסים זרים ולמט"ח </w:t>
      </w:r>
      <w:r>
        <w:rPr>
          <w:b/>
          <w:bCs/>
          <w:rtl/>
        </w:rPr>
        <w:t>–</w:t>
      </w:r>
    </w:p>
    <w:p w:rsidR="00A41FE4" w:rsidRDefault="002C14DC" w:rsidP="00A41FE4">
      <w:pPr>
        <w:spacing w:line="360" w:lineRule="auto"/>
        <w:jc w:val="both"/>
      </w:pPr>
      <w:r w:rsidRPr="00374AFA">
        <w:rPr>
          <w:rFonts w:hint="cs"/>
          <w:rtl/>
        </w:rPr>
        <w:t xml:space="preserve">ברביע </w:t>
      </w:r>
      <w:r>
        <w:rPr>
          <w:rFonts w:hint="cs"/>
          <w:rtl/>
        </w:rPr>
        <w:t>הר</w:t>
      </w:r>
      <w:r w:rsidR="005210A8">
        <w:rPr>
          <w:rFonts w:hint="cs"/>
          <w:rtl/>
        </w:rPr>
        <w:t>אשון</w:t>
      </w:r>
      <w:r w:rsidRPr="00374AFA">
        <w:rPr>
          <w:rFonts w:hint="cs"/>
          <w:rtl/>
        </w:rPr>
        <w:t xml:space="preserve"> של שנת 201</w:t>
      </w:r>
      <w:r w:rsidR="005210A8">
        <w:rPr>
          <w:rFonts w:hint="cs"/>
          <w:rtl/>
        </w:rPr>
        <w:t>7</w:t>
      </w:r>
      <w:r w:rsidRPr="00374AFA">
        <w:rPr>
          <w:rFonts w:hint="cs"/>
          <w:rtl/>
        </w:rPr>
        <w:t xml:space="preserve"> שיעור החשיפה של המשקיעים המוסדיים </w:t>
      </w:r>
      <w:r w:rsidRPr="00A41FE4">
        <w:rPr>
          <w:rFonts w:hint="cs"/>
          <w:b/>
          <w:bCs/>
          <w:rtl/>
        </w:rPr>
        <w:t>לנכסים זרים</w:t>
      </w:r>
      <w:r w:rsidRPr="00374AFA">
        <w:rPr>
          <w:rFonts w:hint="cs"/>
          <w:rtl/>
        </w:rPr>
        <w:t xml:space="preserve"> </w:t>
      </w:r>
      <w:r w:rsidR="00A41FE4">
        <w:rPr>
          <w:rFonts w:hint="cs"/>
          <w:rtl/>
        </w:rPr>
        <w:t>נותר ללא שינוי ועמד בסופו על כ-</w:t>
      </w:r>
      <w:r>
        <w:rPr>
          <w:rFonts w:hint="cs"/>
          <w:rtl/>
        </w:rPr>
        <w:t>25</w:t>
      </w:r>
      <w:r w:rsidRPr="00374AFA">
        <w:rPr>
          <w:rFonts w:hint="cs"/>
          <w:rtl/>
        </w:rPr>
        <w:t>% מהתיק.</w:t>
      </w:r>
      <w:r>
        <w:rPr>
          <w:rFonts w:hint="cs"/>
          <w:rtl/>
        </w:rPr>
        <w:t xml:space="preserve"> </w:t>
      </w:r>
    </w:p>
    <w:p w:rsidR="00A41FE4" w:rsidRDefault="00A41FE4" w:rsidP="00A41FE4">
      <w:pPr>
        <w:pStyle w:val="ae"/>
        <w:numPr>
          <w:ilvl w:val="0"/>
          <w:numId w:val="11"/>
        </w:numPr>
        <w:spacing w:line="360" w:lineRule="auto"/>
        <w:jc w:val="both"/>
      </w:pPr>
      <w:r w:rsidRPr="004207C3">
        <w:rPr>
          <w:rFonts w:hint="cs"/>
          <w:rtl/>
        </w:rPr>
        <w:t>לראשונה מאז הרביע הראשון של שנת 2016, ירד</w:t>
      </w:r>
      <w:r>
        <w:rPr>
          <w:rFonts w:hint="cs"/>
          <w:rtl/>
        </w:rPr>
        <w:t xml:space="preserve"> שיעור החשיפה של קופות הגמל וקרנות ההשתלמות לנכסים זרים, ועמד בסוף הרביע על כ-25.8%. </w:t>
      </w:r>
    </w:p>
    <w:p w:rsidR="00A41FE4" w:rsidRDefault="00A41FE4" w:rsidP="00A41FE4">
      <w:pPr>
        <w:pStyle w:val="ae"/>
        <w:numPr>
          <w:ilvl w:val="0"/>
          <w:numId w:val="11"/>
        </w:numPr>
        <w:spacing w:line="360" w:lineRule="auto"/>
        <w:jc w:val="both"/>
      </w:pPr>
      <w:r>
        <w:rPr>
          <w:rFonts w:hint="cs"/>
          <w:rtl/>
        </w:rPr>
        <w:t xml:space="preserve">חברות הביטוח ממשיכות לבלוט עם שיעור חשיפה של כ-35.1% (עלייה של כ-0.2 נקודות אחוז במהלך הרביע הראשון של 2017). </w:t>
      </w:r>
    </w:p>
    <w:p w:rsidR="00120DC1" w:rsidRPr="00A41FE4" w:rsidRDefault="00A71EAF" w:rsidP="00B253BE">
      <w:pPr>
        <w:tabs>
          <w:tab w:val="left" w:pos="9598"/>
        </w:tabs>
        <w:spacing w:line="360" w:lineRule="auto"/>
        <w:jc w:val="both"/>
        <w:outlineLvl w:val="0"/>
        <w:rPr>
          <w:rtl/>
        </w:rPr>
      </w:pPr>
      <w:r w:rsidRPr="00376947">
        <w:rPr>
          <w:rFonts w:hint="cs"/>
          <w:rtl/>
        </w:rPr>
        <w:t xml:space="preserve">במהלך </w:t>
      </w:r>
      <w:r w:rsidR="002C14DC">
        <w:rPr>
          <w:rFonts w:hint="cs"/>
          <w:rtl/>
        </w:rPr>
        <w:t xml:space="preserve">הרביע </w:t>
      </w:r>
      <w:r w:rsidR="002C14DC" w:rsidRPr="002C14DC">
        <w:rPr>
          <w:rtl/>
        </w:rPr>
        <w:t>הר</w:t>
      </w:r>
      <w:r w:rsidR="003125D3">
        <w:rPr>
          <w:rFonts w:hint="cs"/>
          <w:rtl/>
        </w:rPr>
        <w:t>אשון</w:t>
      </w:r>
      <w:r w:rsidR="002C14DC" w:rsidRPr="002C14DC">
        <w:rPr>
          <w:rtl/>
        </w:rPr>
        <w:t xml:space="preserve"> של שנת 201</w:t>
      </w:r>
      <w:r w:rsidR="003125D3">
        <w:rPr>
          <w:rFonts w:hint="cs"/>
          <w:rtl/>
        </w:rPr>
        <w:t>7</w:t>
      </w:r>
      <w:r w:rsidR="002C14DC" w:rsidRPr="002C14DC">
        <w:rPr>
          <w:rtl/>
        </w:rPr>
        <w:t xml:space="preserve"> </w:t>
      </w:r>
      <w:r w:rsidR="003125D3">
        <w:rPr>
          <w:rFonts w:hint="cs"/>
          <w:rtl/>
        </w:rPr>
        <w:t>עלה</w:t>
      </w:r>
      <w:r w:rsidR="002C14DC" w:rsidRPr="002C14DC">
        <w:rPr>
          <w:rtl/>
        </w:rPr>
        <w:t xml:space="preserve"> שיעור החשיפה </w:t>
      </w:r>
      <w:r w:rsidR="002C14DC" w:rsidRPr="00A41FE4">
        <w:rPr>
          <w:b/>
          <w:bCs/>
          <w:rtl/>
        </w:rPr>
        <w:t>למט"ח</w:t>
      </w:r>
      <w:r w:rsidR="002C14DC" w:rsidRPr="002C14DC">
        <w:rPr>
          <w:rtl/>
        </w:rPr>
        <w:t xml:space="preserve"> (כולל נגזרי ש"ח/מט"ח), ועמד בסופו על כ-</w:t>
      </w:r>
      <w:r w:rsidR="003125D3">
        <w:rPr>
          <w:rFonts w:hint="cs"/>
          <w:rtl/>
        </w:rPr>
        <w:t>15.3</w:t>
      </w:r>
      <w:r w:rsidR="002C14DC" w:rsidRPr="002C14DC">
        <w:rPr>
          <w:rtl/>
        </w:rPr>
        <w:t xml:space="preserve">%; </w:t>
      </w:r>
      <w:r w:rsidR="00A41FE4" w:rsidRPr="004E392D">
        <w:rPr>
          <w:rFonts w:hint="cs"/>
          <w:rtl/>
        </w:rPr>
        <w:t xml:space="preserve">יתרת החשיפה למט"ח במונחים שקליים עלתה בקצב גבוה יותר מאשר העלייה בסך נכסי ההשקעה. העלייה ביתרת החשיפה נבעה </w:t>
      </w:r>
      <w:r w:rsidR="00A41FE4">
        <w:rPr>
          <w:rFonts w:hint="cs"/>
          <w:rtl/>
        </w:rPr>
        <w:t>הן</w:t>
      </w:r>
      <w:r w:rsidR="00A41FE4" w:rsidRPr="004E392D">
        <w:rPr>
          <w:rFonts w:hint="cs"/>
          <w:rtl/>
        </w:rPr>
        <w:t xml:space="preserve"> מעלייה במחירי ני"ע בשוקי חו"ל </w:t>
      </w:r>
      <w:r w:rsidR="00A41FE4">
        <w:rPr>
          <w:rFonts w:hint="cs"/>
          <w:rtl/>
        </w:rPr>
        <w:t xml:space="preserve">והן מזרם השקעות נטו בחו"ל </w:t>
      </w:r>
      <w:r w:rsidR="00A41FE4" w:rsidRPr="004E392D">
        <w:rPr>
          <w:rFonts w:hint="cs"/>
          <w:rtl/>
        </w:rPr>
        <w:t>שקוזזו חלקית כתוצאה מייסוף השקל מול הדולר שהקטין את השווי השקלי של התיק.</w:t>
      </w:r>
    </w:p>
    <w:tbl>
      <w:tblPr>
        <w:tblStyle w:val="ad"/>
        <w:tblpPr w:leftFromText="180" w:rightFromText="180" w:vertAnchor="text" w:horzAnchor="margin" w:tblpXSpec="center" w:tblpY="354"/>
        <w:bidiVisual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גרפים"/>
        <w:tblDescription w:val="גרפים"/>
      </w:tblPr>
      <w:tblGrid>
        <w:gridCol w:w="5166"/>
        <w:gridCol w:w="5106"/>
      </w:tblGrid>
      <w:tr w:rsidR="00DF7BC0" w:rsidRPr="00207B9F" w:rsidTr="00DF7BC0">
        <w:tc>
          <w:tcPr>
            <w:tcW w:w="4751" w:type="dxa"/>
          </w:tcPr>
          <w:p w:rsidR="00DF7BC0" w:rsidRPr="00207B9F" w:rsidRDefault="00B56B26" w:rsidP="00DF7BC0">
            <w:pPr>
              <w:tabs>
                <w:tab w:val="left" w:pos="4928"/>
              </w:tabs>
              <w:spacing w:line="360" w:lineRule="auto"/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A601A2B" wp14:editId="13D8B479">
                  <wp:extent cx="3138766" cy="2050663"/>
                  <wp:effectExtent l="0" t="0" r="5080" b="6985"/>
                  <wp:docPr id="13" name="תמונה 13" descr="תרשים 5: תנועות נטו בנכסי מט&quot;ח של המשקיעים המוסדיים מול שינוי בנגזרים ש&quot;ח/מט&quot;ח, מיליארדי דולרים (הפעולות בנכסי מט&quot;ח שבוצעו במהלך התקופה)" title="תרשים 5: תנועות נטו בנכסי מט&quot;ח של המשקיעים המוסדיים מול שינוי בנגזרים ש&quot;ח/מט&quot;ח, מיליארדי דול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22" cy="2051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:rsidR="00DF7BC0" w:rsidRPr="00207B9F" w:rsidRDefault="00B56B26" w:rsidP="00DF7BC0">
            <w:pPr>
              <w:tabs>
                <w:tab w:val="left" w:pos="4928"/>
              </w:tabs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27B732">
                  <wp:extent cx="3105150" cy="2028701"/>
                  <wp:effectExtent l="0" t="0" r="0" b="0"/>
                  <wp:docPr id="14" name="תמונה 14" descr="תרשים 6: שיעור החשיפה לזרים ולמט&quot;ח של המשקיעים המוסדיים (אחוזים, ללא מבטיחות תשואה)" title="תרשים 6: שיעור החשיפה לזרים ולמט&quot;ח של המשקיעים המוסדי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549" cy="2033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DC1" w:rsidRDefault="00120DC1" w:rsidP="00120DC1">
      <w:pPr>
        <w:spacing w:line="360" w:lineRule="auto"/>
        <w:rPr>
          <w:b/>
          <w:bCs/>
          <w:rtl/>
        </w:rPr>
      </w:pPr>
    </w:p>
    <w:p w:rsidR="00A71EAF" w:rsidRPr="00A71EAF" w:rsidRDefault="00120DC1" w:rsidP="00120DC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*</w:t>
      </w:r>
      <w:r w:rsidR="00A71EAF" w:rsidRPr="00A71EAF">
        <w:rPr>
          <w:rFonts w:hint="cs"/>
          <w:b/>
          <w:bCs/>
          <w:rtl/>
        </w:rPr>
        <w:t xml:space="preserve">ניתן למצוא באתר בנק ישראל </w:t>
      </w:r>
      <w:hyperlink r:id="rId18" w:history="1">
        <w:r w:rsidR="00A71EAF" w:rsidRPr="0071210C">
          <w:rPr>
            <w:rStyle w:val="Hyperlink"/>
            <w:rFonts w:hint="cs"/>
            <w:b/>
            <w:bCs/>
            <w:rtl/>
          </w:rPr>
          <w:t>לוחות ארוכי טווח חודשיים</w:t>
        </w:r>
      </w:hyperlink>
      <w:r w:rsidR="00A71EAF" w:rsidRPr="00A71EAF">
        <w:rPr>
          <w:rFonts w:hint="cs"/>
          <w:b/>
          <w:bCs/>
          <w:rtl/>
        </w:rPr>
        <w:t xml:space="preserve"> לנתוני חשיפה למט"ח ולזרים של המשקיעים המוסדיים. </w:t>
      </w:r>
    </w:p>
    <w:p w:rsidR="003125D3" w:rsidRDefault="00964284" w:rsidP="00A41FE4">
      <w:pPr>
        <w:pStyle w:val="1"/>
      </w:pPr>
      <w:r>
        <w:rPr>
          <w:rFonts w:hint="cs"/>
          <w:rtl/>
        </w:rPr>
        <w:lastRenderedPageBreak/>
        <w:t xml:space="preserve"> </w:t>
      </w:r>
    </w:p>
    <w:p w:rsidR="007D09A4" w:rsidRDefault="009B2E23" w:rsidP="002E5159">
      <w:pPr>
        <w:pStyle w:val="1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  <w:r w:rsidR="00AC1D6B">
        <w:rPr>
          <w:rFonts w:hint="cs"/>
          <w:rtl/>
        </w:rPr>
        <w:t xml:space="preserve"> </w:t>
      </w:r>
    </w:p>
    <w:p w:rsidR="002F0DC3" w:rsidRDefault="002F0DC3" w:rsidP="005E5748">
      <w:pPr>
        <w:spacing w:line="360" w:lineRule="auto"/>
        <w:jc w:val="both"/>
        <w:rPr>
          <w:rtl/>
        </w:rPr>
      </w:pPr>
    </w:p>
    <w:p w:rsidR="00BD3B89" w:rsidRDefault="001A43E9" w:rsidP="00B253BE">
      <w:pPr>
        <w:spacing w:line="360" w:lineRule="auto"/>
        <w:jc w:val="both"/>
        <w:rPr>
          <w:b/>
          <w:bCs/>
          <w:rtl/>
        </w:rPr>
      </w:pPr>
      <w:r>
        <w:rPr>
          <w:rFonts w:hint="cs"/>
          <w:rtl/>
        </w:rPr>
        <w:t xml:space="preserve">היקף התיק המנוהל באמצעות קרנות נאמנות </w:t>
      </w:r>
      <w:r w:rsidR="000A689F">
        <w:rPr>
          <w:rFonts w:hint="cs"/>
          <w:rtl/>
        </w:rPr>
        <w:t xml:space="preserve">ישראליות </w:t>
      </w:r>
      <w:r>
        <w:rPr>
          <w:rFonts w:hint="cs"/>
          <w:rtl/>
        </w:rPr>
        <w:t>עמד</w:t>
      </w:r>
      <w:r w:rsidR="00764A0A">
        <w:rPr>
          <w:rFonts w:hint="cs"/>
          <w:rtl/>
        </w:rPr>
        <w:t xml:space="preserve"> </w:t>
      </w:r>
      <w:r w:rsidR="00455C2A">
        <w:rPr>
          <w:rFonts w:hint="cs"/>
          <w:rtl/>
        </w:rPr>
        <w:t>ב</w:t>
      </w:r>
      <w:r w:rsidR="00F83CE7">
        <w:rPr>
          <w:rFonts w:hint="cs"/>
          <w:rtl/>
        </w:rPr>
        <w:t xml:space="preserve">סוף </w:t>
      </w:r>
      <w:r w:rsidR="00B253BE">
        <w:rPr>
          <w:rFonts w:hint="cs"/>
          <w:rtl/>
        </w:rPr>
        <w:t>הרביע הראשון של שנת</w:t>
      </w:r>
      <w:r w:rsidR="00872C40">
        <w:rPr>
          <w:rFonts w:hint="cs"/>
          <w:rtl/>
        </w:rPr>
        <w:t xml:space="preserve"> </w:t>
      </w:r>
      <w:r w:rsidR="00FA766F">
        <w:rPr>
          <w:rFonts w:hint="cs"/>
          <w:rtl/>
        </w:rPr>
        <w:t>201</w:t>
      </w:r>
      <w:r w:rsidR="00B253BE">
        <w:rPr>
          <w:rFonts w:hint="cs"/>
          <w:rtl/>
        </w:rPr>
        <w:t>7</w:t>
      </w:r>
      <w:r w:rsidR="00FA766F">
        <w:rPr>
          <w:rFonts w:hint="cs"/>
          <w:rtl/>
        </w:rPr>
        <w:t xml:space="preserve"> </w:t>
      </w:r>
      <w:r w:rsidR="00764A0A">
        <w:rPr>
          <w:rFonts w:hint="cs"/>
          <w:rtl/>
        </w:rPr>
        <w:t>על</w:t>
      </w:r>
      <w:r w:rsidR="0020778C">
        <w:rPr>
          <w:rFonts w:hint="cs"/>
          <w:rtl/>
        </w:rPr>
        <w:t xml:space="preserve"> כ-</w:t>
      </w:r>
      <w:r w:rsidR="00354058">
        <w:rPr>
          <w:rFonts w:hint="cs"/>
          <w:rtl/>
        </w:rPr>
        <w:t>2</w:t>
      </w:r>
      <w:r w:rsidR="00B253BE">
        <w:rPr>
          <w:rFonts w:hint="cs"/>
          <w:rtl/>
        </w:rPr>
        <w:t>19</w:t>
      </w:r>
      <w:r w:rsidR="00354058">
        <w:rPr>
          <w:rFonts w:hint="cs"/>
          <w:rtl/>
        </w:rPr>
        <w:t>.</w:t>
      </w:r>
      <w:r w:rsidR="00B253BE">
        <w:rPr>
          <w:rFonts w:hint="cs"/>
          <w:rtl/>
        </w:rPr>
        <w:t>3</w:t>
      </w:r>
      <w:r w:rsidR="00C40969">
        <w:rPr>
          <w:rFonts w:hint="cs"/>
          <w:rtl/>
        </w:rPr>
        <w:t xml:space="preserve"> </w:t>
      </w:r>
      <w:r>
        <w:rPr>
          <w:rFonts w:hint="cs"/>
          <w:rtl/>
        </w:rPr>
        <w:t xml:space="preserve">מיליארדי </w:t>
      </w:r>
      <w:r w:rsidR="00FD22C6" w:rsidRPr="005E5748">
        <w:rPr>
          <w:rFonts w:hint="cs"/>
          <w:rtl/>
        </w:rPr>
        <w:t>ש</w:t>
      </w:r>
      <w:r w:rsidR="00FD22C6" w:rsidRPr="005E5748">
        <w:rPr>
          <w:rtl/>
        </w:rPr>
        <w:t>"</w:t>
      </w:r>
      <w:r w:rsidR="00FD22C6" w:rsidRPr="005E5748">
        <w:rPr>
          <w:rFonts w:hint="cs"/>
          <w:rtl/>
        </w:rPr>
        <w:t>ח</w:t>
      </w:r>
      <w:r w:rsidR="000D4218">
        <w:rPr>
          <w:rFonts w:hint="cs"/>
          <w:rtl/>
        </w:rPr>
        <w:t>,</w:t>
      </w:r>
      <w:r>
        <w:rPr>
          <w:rFonts w:hint="cs"/>
          <w:rtl/>
        </w:rPr>
        <w:t xml:space="preserve"> כ-</w:t>
      </w:r>
      <w:r w:rsidR="002C141D">
        <w:rPr>
          <w:rFonts w:hint="cs"/>
          <w:rtl/>
        </w:rPr>
        <w:t>6.</w:t>
      </w:r>
      <w:r w:rsidR="00B253BE">
        <w:rPr>
          <w:rFonts w:hint="cs"/>
          <w:rtl/>
        </w:rPr>
        <w:t>4</w:t>
      </w:r>
      <w:r>
        <w:rPr>
          <w:rFonts w:hint="cs"/>
          <w:rtl/>
        </w:rPr>
        <w:t xml:space="preserve">% מסך תיק הנכסים של </w:t>
      </w:r>
      <w:r w:rsidRPr="009C5E5D">
        <w:rPr>
          <w:rFonts w:hint="cs"/>
          <w:rtl/>
        </w:rPr>
        <w:t>הציבור</w:t>
      </w:r>
      <w:r w:rsidR="00B65E49">
        <w:rPr>
          <w:rFonts w:hint="cs"/>
          <w:rtl/>
        </w:rPr>
        <w:t>.</w:t>
      </w:r>
    </w:p>
    <w:p w:rsidR="00B253BE" w:rsidRDefault="007F052C" w:rsidP="00222BD6">
      <w:pPr>
        <w:spacing w:line="360" w:lineRule="auto"/>
        <w:jc w:val="both"/>
        <w:rPr>
          <w:rtl/>
        </w:rPr>
      </w:pPr>
      <w:r w:rsidRPr="00901DBC">
        <w:rPr>
          <w:rFonts w:hint="cs"/>
          <w:b/>
          <w:bCs/>
          <w:rtl/>
        </w:rPr>
        <w:t xml:space="preserve">ברביע </w:t>
      </w:r>
      <w:r w:rsidR="00354058" w:rsidRPr="00901DBC">
        <w:rPr>
          <w:rFonts w:hint="cs"/>
          <w:b/>
          <w:bCs/>
          <w:rtl/>
        </w:rPr>
        <w:t>הר</w:t>
      </w:r>
      <w:r w:rsidR="00B253BE">
        <w:rPr>
          <w:rFonts w:hint="cs"/>
          <w:b/>
          <w:bCs/>
          <w:rtl/>
        </w:rPr>
        <w:t>אשון</w:t>
      </w:r>
      <w:r w:rsidRPr="00901DBC">
        <w:rPr>
          <w:rFonts w:hint="cs"/>
          <w:b/>
          <w:bCs/>
          <w:rtl/>
        </w:rPr>
        <w:t xml:space="preserve">, </w:t>
      </w:r>
      <w:r w:rsidR="009E6953" w:rsidRPr="00901DBC">
        <w:rPr>
          <w:rFonts w:hint="cs"/>
          <w:b/>
          <w:bCs/>
          <w:rtl/>
        </w:rPr>
        <w:t>נרשמו</w:t>
      </w:r>
      <w:r w:rsidR="00C4231B" w:rsidRPr="00901DBC">
        <w:rPr>
          <w:rFonts w:hint="cs"/>
          <w:b/>
          <w:bCs/>
          <w:rtl/>
        </w:rPr>
        <w:t xml:space="preserve"> </w:t>
      </w:r>
      <w:r w:rsidR="00B253BE">
        <w:rPr>
          <w:rFonts w:hint="cs"/>
          <w:b/>
          <w:bCs/>
          <w:rtl/>
        </w:rPr>
        <w:t>הפקדות</w:t>
      </w:r>
      <w:r w:rsidR="007D09A4" w:rsidRPr="00901DBC">
        <w:rPr>
          <w:rFonts w:hint="cs"/>
          <w:b/>
          <w:bCs/>
          <w:rtl/>
        </w:rPr>
        <w:t xml:space="preserve"> נטו</w:t>
      </w:r>
      <w:r w:rsidR="006F3F52" w:rsidRPr="00901DBC">
        <w:rPr>
          <w:rFonts w:hint="cs"/>
          <w:b/>
          <w:bCs/>
          <w:rtl/>
        </w:rPr>
        <w:t xml:space="preserve"> </w:t>
      </w:r>
      <w:r w:rsidR="006F3F52" w:rsidRPr="00901DBC">
        <w:rPr>
          <w:rFonts w:hint="cs"/>
          <w:rtl/>
        </w:rPr>
        <w:t xml:space="preserve">(עודף </w:t>
      </w:r>
      <w:r w:rsidR="00B253BE">
        <w:rPr>
          <w:rFonts w:hint="cs"/>
          <w:rtl/>
        </w:rPr>
        <w:t>הפקדות על פדיונות</w:t>
      </w:r>
      <w:r w:rsidR="006F3F52" w:rsidRPr="00901DBC">
        <w:rPr>
          <w:rFonts w:hint="cs"/>
          <w:rtl/>
        </w:rPr>
        <w:t>, בניכוי דיבידנד)</w:t>
      </w:r>
      <w:r w:rsidR="00A71EAF" w:rsidRPr="00901DBC">
        <w:rPr>
          <w:rFonts w:hint="cs"/>
          <w:rtl/>
        </w:rPr>
        <w:t xml:space="preserve"> בהיקף של כ- </w:t>
      </w:r>
      <w:r w:rsidR="00354058" w:rsidRPr="00901DBC">
        <w:rPr>
          <w:rFonts w:hint="cs"/>
          <w:rtl/>
        </w:rPr>
        <w:t>3.</w:t>
      </w:r>
      <w:r w:rsidR="00B253BE">
        <w:rPr>
          <w:rFonts w:hint="cs"/>
          <w:rtl/>
        </w:rPr>
        <w:t xml:space="preserve">3 </w:t>
      </w:r>
      <w:r w:rsidR="00167682" w:rsidRPr="00901DBC">
        <w:rPr>
          <w:rFonts w:hint="cs"/>
          <w:rtl/>
        </w:rPr>
        <w:t xml:space="preserve">מיליארדי </w:t>
      </w:r>
      <w:r w:rsidR="00222BD6">
        <w:rPr>
          <w:rFonts w:hint="cs"/>
          <w:rtl/>
        </w:rPr>
        <w:t>₪, זאת בניגוד למימושים נטו ברביע האחרון של שנת 2016</w:t>
      </w:r>
      <w:r w:rsidR="00C4231B" w:rsidRPr="00901DBC">
        <w:rPr>
          <w:rFonts w:hint="cs"/>
          <w:rtl/>
        </w:rPr>
        <w:t>.</w:t>
      </w:r>
      <w:r w:rsidR="006F3F52" w:rsidRPr="00901DBC">
        <w:rPr>
          <w:rFonts w:hint="cs"/>
          <w:rtl/>
        </w:rPr>
        <w:t xml:space="preserve"> </w:t>
      </w:r>
      <w:r w:rsidR="00222BD6">
        <w:rPr>
          <w:rFonts w:hint="cs"/>
          <w:rtl/>
        </w:rPr>
        <w:t>ה</w:t>
      </w:r>
      <w:r w:rsidR="00B253BE">
        <w:rPr>
          <w:rFonts w:hint="cs"/>
          <w:rtl/>
        </w:rPr>
        <w:t>הפקדות</w:t>
      </w:r>
      <w:r w:rsidR="000A09EC" w:rsidRPr="00901DBC">
        <w:rPr>
          <w:rFonts w:hint="cs"/>
          <w:rtl/>
        </w:rPr>
        <w:t xml:space="preserve"> נטו </w:t>
      </w:r>
      <w:r w:rsidR="00B253BE">
        <w:rPr>
          <w:rFonts w:hint="cs"/>
          <w:rtl/>
        </w:rPr>
        <w:t>במקביל לעלייה</w:t>
      </w:r>
      <w:r w:rsidR="000A09EC" w:rsidRPr="00901DBC">
        <w:rPr>
          <w:rFonts w:hint="cs"/>
          <w:rtl/>
        </w:rPr>
        <w:t xml:space="preserve"> במחירי הנכסים</w:t>
      </w:r>
      <w:r w:rsidR="00354058" w:rsidRPr="00901DBC">
        <w:rPr>
          <w:rFonts w:hint="cs"/>
          <w:rtl/>
        </w:rPr>
        <w:t>,</w:t>
      </w:r>
      <w:r w:rsidR="00C4231B" w:rsidRPr="00901DBC">
        <w:rPr>
          <w:rFonts w:hint="cs"/>
          <w:rtl/>
        </w:rPr>
        <w:t xml:space="preserve"> </w:t>
      </w:r>
      <w:r w:rsidR="00222BD6">
        <w:rPr>
          <w:rFonts w:hint="cs"/>
          <w:rtl/>
        </w:rPr>
        <w:t xml:space="preserve">הביאו לגידול של </w:t>
      </w:r>
      <w:r w:rsidR="00222BD6" w:rsidRPr="00901DBC">
        <w:rPr>
          <w:rFonts w:hint="cs"/>
          <w:rtl/>
        </w:rPr>
        <w:t>כ-</w:t>
      </w:r>
      <w:r w:rsidR="00222BD6">
        <w:rPr>
          <w:rFonts w:hint="cs"/>
          <w:rtl/>
        </w:rPr>
        <w:t>5.2</w:t>
      </w:r>
      <w:r w:rsidR="00222BD6" w:rsidRPr="00901DBC">
        <w:rPr>
          <w:rFonts w:hint="cs"/>
          <w:rtl/>
        </w:rPr>
        <w:t xml:space="preserve"> מיליארדי ש"ח.</w:t>
      </w:r>
      <w:r w:rsidR="00222BD6">
        <w:rPr>
          <w:rFonts w:hint="cs"/>
          <w:rtl/>
        </w:rPr>
        <w:t xml:space="preserve"> ב</w:t>
      </w:r>
      <w:r w:rsidR="006F3F52" w:rsidRPr="00901DBC">
        <w:rPr>
          <w:rFonts w:hint="cs"/>
          <w:rtl/>
        </w:rPr>
        <w:t xml:space="preserve">שווי יתרות קרנות הנאמנות </w:t>
      </w:r>
    </w:p>
    <w:p w:rsidR="002237F8" w:rsidRDefault="00FA766F" w:rsidP="00A868C3">
      <w:pPr>
        <w:spacing w:line="360" w:lineRule="auto"/>
        <w:jc w:val="both"/>
        <w:rPr>
          <w:rtl/>
        </w:rPr>
      </w:pPr>
      <w:r w:rsidRPr="00901DBC">
        <w:rPr>
          <w:rFonts w:hint="cs"/>
          <w:rtl/>
        </w:rPr>
        <w:t xml:space="preserve"> </w:t>
      </w:r>
      <w:r w:rsidR="00A21D66" w:rsidRPr="00901DBC">
        <w:rPr>
          <w:rFonts w:hint="cs"/>
          <w:rtl/>
        </w:rPr>
        <w:t>מהתפלגות הקרנות לפי התמחויות עולה כי</w:t>
      </w:r>
      <w:r w:rsidR="00A21D66" w:rsidRPr="00901DBC">
        <w:rPr>
          <w:rFonts w:hint="cs"/>
          <w:b/>
          <w:bCs/>
          <w:rtl/>
        </w:rPr>
        <w:t xml:space="preserve"> </w:t>
      </w:r>
      <w:r w:rsidR="00354058" w:rsidRPr="00901DBC">
        <w:rPr>
          <w:rFonts w:hint="cs"/>
          <w:rtl/>
        </w:rPr>
        <w:t>ה</w:t>
      </w:r>
      <w:r w:rsidR="00B253BE">
        <w:rPr>
          <w:rFonts w:hint="cs"/>
          <w:rtl/>
        </w:rPr>
        <w:t>הפקדות</w:t>
      </w:r>
      <w:r w:rsidR="00A21D66" w:rsidRPr="00901DBC">
        <w:rPr>
          <w:rFonts w:hint="cs"/>
          <w:rtl/>
        </w:rPr>
        <w:t xml:space="preserve"> נטו ברביע זה, התרכזו בנכסי</w:t>
      </w:r>
      <w:r w:rsidR="003A4B9B" w:rsidRPr="00901DBC">
        <w:rPr>
          <w:rFonts w:hint="cs"/>
          <w:rtl/>
        </w:rPr>
        <w:t xml:space="preserve"> האג"ח </w:t>
      </w:r>
      <w:r w:rsidR="00B253BE">
        <w:rPr>
          <w:rFonts w:hint="cs"/>
          <w:rtl/>
        </w:rPr>
        <w:t>הכללי בארץ</w:t>
      </w:r>
      <w:r w:rsidR="002A2ABD">
        <w:rPr>
          <w:rFonts w:hint="cs"/>
          <w:rtl/>
        </w:rPr>
        <w:t xml:space="preserve"> </w:t>
      </w:r>
      <w:r w:rsidR="003A4B9B" w:rsidRPr="00901DBC">
        <w:rPr>
          <w:rFonts w:hint="cs"/>
          <w:rtl/>
        </w:rPr>
        <w:t>(</w:t>
      </w:r>
      <w:r w:rsidR="00B253BE">
        <w:rPr>
          <w:rFonts w:hint="cs"/>
          <w:rtl/>
        </w:rPr>
        <w:t>6.4</w:t>
      </w:r>
      <w:r w:rsidR="003A4B9B" w:rsidRPr="00901DBC">
        <w:rPr>
          <w:rFonts w:hint="cs"/>
          <w:rtl/>
        </w:rPr>
        <w:t xml:space="preserve"> מיליארדים, </w:t>
      </w:r>
      <w:r w:rsidR="00B253BE">
        <w:rPr>
          <w:rFonts w:hint="cs"/>
          <w:rtl/>
        </w:rPr>
        <w:t>8.9</w:t>
      </w:r>
      <w:r w:rsidR="003A4B9B" w:rsidRPr="00901DBC">
        <w:rPr>
          <w:rFonts w:hint="cs"/>
          <w:rtl/>
        </w:rPr>
        <w:t xml:space="preserve">%), אג"ח </w:t>
      </w:r>
      <w:r w:rsidR="00B253BE">
        <w:rPr>
          <w:rFonts w:hint="cs"/>
          <w:rtl/>
        </w:rPr>
        <w:t>החברות</w:t>
      </w:r>
      <w:r w:rsidR="003A4B9B" w:rsidRPr="00901DBC">
        <w:rPr>
          <w:rFonts w:hint="cs"/>
          <w:rtl/>
        </w:rPr>
        <w:t xml:space="preserve"> בארץ (</w:t>
      </w:r>
      <w:r w:rsidR="00354058" w:rsidRPr="00901DBC">
        <w:rPr>
          <w:rFonts w:hint="cs"/>
          <w:rtl/>
        </w:rPr>
        <w:t>2</w:t>
      </w:r>
      <w:r w:rsidR="003A4B9B" w:rsidRPr="00901DBC">
        <w:rPr>
          <w:rFonts w:hint="cs"/>
          <w:rtl/>
        </w:rPr>
        <w:t xml:space="preserve"> מיליארדים, </w:t>
      </w:r>
      <w:r w:rsidR="00B253BE">
        <w:rPr>
          <w:rFonts w:hint="cs"/>
          <w:rtl/>
        </w:rPr>
        <w:t>6</w:t>
      </w:r>
      <w:r w:rsidR="003A4B9B" w:rsidRPr="00901DBC">
        <w:rPr>
          <w:rFonts w:hint="cs"/>
          <w:rtl/>
        </w:rPr>
        <w:t xml:space="preserve">%) </w:t>
      </w:r>
      <w:r w:rsidR="00B253BE">
        <w:rPr>
          <w:rFonts w:hint="cs"/>
          <w:rtl/>
        </w:rPr>
        <w:t>ובמניות בארץ ובחו"ל</w:t>
      </w:r>
      <w:r w:rsidR="003A4B9B" w:rsidRPr="00901DBC">
        <w:rPr>
          <w:rFonts w:hint="cs"/>
          <w:rtl/>
        </w:rPr>
        <w:t xml:space="preserve"> (1.</w:t>
      </w:r>
      <w:r w:rsidR="00B253BE">
        <w:rPr>
          <w:rFonts w:hint="cs"/>
          <w:rtl/>
        </w:rPr>
        <w:t>9</w:t>
      </w:r>
      <w:r w:rsidR="003A4B9B" w:rsidRPr="00901DBC">
        <w:rPr>
          <w:rFonts w:hint="cs"/>
          <w:rtl/>
        </w:rPr>
        <w:t xml:space="preserve"> מיליארדים, </w:t>
      </w:r>
      <w:r w:rsidR="00B253BE">
        <w:rPr>
          <w:rFonts w:hint="cs"/>
          <w:rtl/>
        </w:rPr>
        <w:t>8.2</w:t>
      </w:r>
      <w:r w:rsidR="003A4B9B" w:rsidRPr="00901DBC">
        <w:rPr>
          <w:rFonts w:hint="cs"/>
          <w:rtl/>
        </w:rPr>
        <w:t xml:space="preserve">%). מנגד חלו </w:t>
      </w:r>
      <w:r w:rsidR="00B253BE">
        <w:rPr>
          <w:rFonts w:hint="cs"/>
          <w:rtl/>
        </w:rPr>
        <w:t>פדיונות</w:t>
      </w:r>
      <w:r w:rsidR="003A4B9B" w:rsidRPr="00901DBC">
        <w:rPr>
          <w:rFonts w:hint="cs"/>
          <w:rtl/>
        </w:rPr>
        <w:t xml:space="preserve"> נטו </w:t>
      </w:r>
      <w:r w:rsidR="00354058" w:rsidRPr="00901DBC">
        <w:rPr>
          <w:rFonts w:hint="cs"/>
          <w:rtl/>
        </w:rPr>
        <w:t>ב</w:t>
      </w:r>
      <w:r w:rsidR="00A868C3">
        <w:rPr>
          <w:rFonts w:hint="cs"/>
          <w:rtl/>
        </w:rPr>
        <w:t>עיקר ב</w:t>
      </w:r>
      <w:r w:rsidR="00354058" w:rsidRPr="00901DBC">
        <w:rPr>
          <w:rFonts w:hint="cs"/>
          <w:rtl/>
        </w:rPr>
        <w:t xml:space="preserve">אג"ח </w:t>
      </w:r>
      <w:r w:rsidR="00A868C3">
        <w:rPr>
          <w:rFonts w:hint="cs"/>
          <w:rtl/>
        </w:rPr>
        <w:t>המדינה</w:t>
      </w:r>
      <w:r w:rsidR="00C91B9F" w:rsidRPr="00901DBC">
        <w:rPr>
          <w:rFonts w:hint="cs"/>
          <w:rtl/>
        </w:rPr>
        <w:t xml:space="preserve"> </w:t>
      </w:r>
      <w:r w:rsidR="003A4B9B" w:rsidRPr="00901DBC">
        <w:rPr>
          <w:rFonts w:hint="cs"/>
          <w:rtl/>
        </w:rPr>
        <w:t>(</w:t>
      </w:r>
      <w:r w:rsidR="00A868C3">
        <w:rPr>
          <w:rFonts w:hint="cs"/>
          <w:rtl/>
        </w:rPr>
        <w:t>3.5</w:t>
      </w:r>
      <w:r w:rsidR="003A4B9B" w:rsidRPr="00901DBC">
        <w:rPr>
          <w:rFonts w:hint="cs"/>
          <w:rtl/>
        </w:rPr>
        <w:t xml:space="preserve"> מיליארדים, </w:t>
      </w:r>
      <w:r w:rsidR="00A868C3">
        <w:rPr>
          <w:rFonts w:hint="cs"/>
          <w:rtl/>
        </w:rPr>
        <w:t>11%-</w:t>
      </w:r>
      <w:r w:rsidR="003A4B9B" w:rsidRPr="00901DBC">
        <w:rPr>
          <w:rFonts w:hint="cs"/>
          <w:rtl/>
        </w:rPr>
        <w:t>)</w:t>
      </w:r>
      <w:r w:rsidR="00354058" w:rsidRPr="00901DBC">
        <w:rPr>
          <w:rFonts w:hint="cs"/>
          <w:rtl/>
        </w:rPr>
        <w:t>.</w:t>
      </w:r>
    </w:p>
    <w:p w:rsidR="00855B17" w:rsidRDefault="00855B17" w:rsidP="00855B17">
      <w:pPr>
        <w:spacing w:line="360" w:lineRule="auto"/>
        <w:jc w:val="both"/>
        <w:rPr>
          <w:rtl/>
        </w:rPr>
      </w:pPr>
    </w:p>
    <w:p w:rsidR="009B0BA1" w:rsidRDefault="00B56B26" w:rsidP="00B56B26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5576EAAE">
            <wp:extent cx="4464000" cy="2723880"/>
            <wp:effectExtent l="0" t="0" r="0" b="635"/>
            <wp:docPr id="15" name="תמונה 15" descr="תרשים 7: הפקדות נטו בקרנות הנאמנות לפי התמחות&#10;2013-2017, מיליארדי ש&quot;ח&#10;" title="תרשים 7: הפקדות נטו בקרנות הנאמנות לפי התמח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72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77B" w:rsidRDefault="00C5077B" w:rsidP="00D921A2">
      <w:pPr>
        <w:autoSpaceDE w:val="0"/>
        <w:autoSpaceDN w:val="0"/>
        <w:adjustRightInd w:val="0"/>
        <w:spacing w:line="360" w:lineRule="auto"/>
        <w:rPr>
          <w:rtl/>
        </w:rPr>
      </w:pPr>
    </w:p>
    <w:p w:rsidR="002502BC" w:rsidRDefault="00CA4805" w:rsidP="00CA4805">
      <w:pPr>
        <w:autoSpaceDE w:val="0"/>
        <w:autoSpaceDN w:val="0"/>
        <w:adjustRightInd w:val="0"/>
        <w:spacing w:line="360" w:lineRule="auto"/>
        <w:rPr>
          <w:rtl/>
        </w:rPr>
      </w:pPr>
      <w:r>
        <w:rPr>
          <w:rFonts w:hint="cs"/>
          <w:rtl/>
        </w:rPr>
        <w:t xml:space="preserve">למידע נוסף בנושא זה לחץ </w:t>
      </w:r>
      <w:hyperlink r:id="rId20" w:tooltip="התפתחויות בתיק הנכסים הפיננסיים של הציבור" w:history="1">
        <w:r w:rsidRPr="00CA4805">
          <w:rPr>
            <w:rStyle w:val="Hyperlink"/>
            <w:rFonts w:hint="cs"/>
            <w:rtl/>
          </w:rPr>
          <w:t>כאן</w:t>
        </w:r>
      </w:hyperlink>
      <w:r>
        <w:rPr>
          <w:rFonts w:hint="cs"/>
          <w:rtl/>
        </w:rPr>
        <w:t>.</w:t>
      </w:r>
    </w:p>
    <w:sectPr w:rsidR="002502BC" w:rsidSect="00D921A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lowerLetter"/>
      </w:endnotePr>
      <w:pgSz w:w="11906" w:h="16838"/>
      <w:pgMar w:top="964" w:right="1797" w:bottom="1134" w:left="1797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F1" w:rsidRDefault="00A107F1">
      <w:r>
        <w:separator/>
      </w:r>
    </w:p>
  </w:endnote>
  <w:endnote w:type="continuationSeparator" w:id="0">
    <w:p w:rsidR="00A107F1" w:rsidRDefault="00A1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1A2" w:rsidRPr="00D921A2" w:rsidRDefault="00D921A2" w:rsidP="00C91D56">
    <w:pPr>
      <w:spacing w:line="360" w:lineRule="auto"/>
      <w:ind w:left="90"/>
      <w:rPr>
        <w:sz w:val="20"/>
        <w:szCs w:val="20"/>
        <w:rtl/>
        <w:cs/>
      </w:rPr>
    </w:pPr>
    <w:r>
      <w:rPr>
        <w:rFonts w:hint="cs"/>
        <w:sz w:val="20"/>
        <w:szCs w:val="20"/>
        <w:rtl/>
      </w:rPr>
      <w:t xml:space="preserve">בנק ישראל - </w:t>
    </w:r>
    <w:r w:rsidRPr="00D921A2">
      <w:rPr>
        <w:rFonts w:hint="cs"/>
        <w:sz w:val="20"/>
        <w:szCs w:val="20"/>
        <w:rtl/>
      </w:rPr>
      <w:t xml:space="preserve">התפתחויות בתיק הנכסים הפיננסיים של הציבור ברביע </w:t>
    </w:r>
    <w:r w:rsidR="00B8580E">
      <w:rPr>
        <w:rFonts w:hint="cs"/>
        <w:sz w:val="20"/>
        <w:szCs w:val="20"/>
        <w:rtl/>
      </w:rPr>
      <w:t>הר</w:t>
    </w:r>
    <w:r w:rsidR="00C91D56">
      <w:rPr>
        <w:rFonts w:hint="cs"/>
        <w:sz w:val="20"/>
        <w:szCs w:val="20"/>
        <w:rtl/>
      </w:rPr>
      <w:t>אשון</w:t>
    </w:r>
    <w:r w:rsidRPr="00D921A2">
      <w:rPr>
        <w:rFonts w:hint="cs"/>
        <w:sz w:val="20"/>
        <w:szCs w:val="20"/>
        <w:rtl/>
      </w:rPr>
      <w:t xml:space="preserve"> של שנת </w:t>
    </w:r>
    <w:r w:rsidR="009C0C19">
      <w:rPr>
        <w:rFonts w:hint="cs"/>
        <w:sz w:val="20"/>
        <w:szCs w:val="20"/>
        <w:rtl/>
      </w:rPr>
      <w:t>201</w:t>
    </w:r>
    <w:r w:rsidR="00C91D56">
      <w:rPr>
        <w:rFonts w:hint="cs"/>
        <w:sz w:val="20"/>
        <w:szCs w:val="20"/>
        <w:rtl/>
      </w:rPr>
      <w:t>7</w:t>
    </w:r>
    <w:r>
      <w:rPr>
        <w:rFonts w:hint="cs"/>
        <w:sz w:val="20"/>
        <w:szCs w:val="20"/>
        <w:rtl/>
        <w:cs/>
        <w:lang w:val="he-IL"/>
      </w:rPr>
      <w:tab/>
    </w:r>
    <w:r w:rsidRPr="00D921A2">
      <w:rPr>
        <w:sz w:val="20"/>
        <w:szCs w:val="20"/>
        <w:rtl/>
        <w:cs/>
        <w:lang w:val="he-IL"/>
      </w:rPr>
      <w:t xml:space="preserve">עמוד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PAGE</w:instrText>
    </w:r>
    <w:r w:rsidRPr="00D921A2">
      <w:rPr>
        <w:b/>
        <w:bCs/>
        <w:sz w:val="20"/>
        <w:szCs w:val="20"/>
      </w:rPr>
      <w:fldChar w:fldCharType="separate"/>
    </w:r>
    <w:r w:rsidR="009C5D78">
      <w:rPr>
        <w:b/>
        <w:bCs/>
        <w:noProof/>
        <w:sz w:val="20"/>
        <w:szCs w:val="20"/>
        <w:rtl/>
      </w:rPr>
      <w:t>1</w:t>
    </w:r>
    <w:r w:rsidRPr="00D921A2">
      <w:rPr>
        <w:b/>
        <w:bCs/>
        <w:sz w:val="20"/>
        <w:szCs w:val="20"/>
      </w:rPr>
      <w:fldChar w:fldCharType="end"/>
    </w:r>
    <w:r w:rsidRPr="00D921A2">
      <w:rPr>
        <w:sz w:val="20"/>
        <w:szCs w:val="20"/>
        <w:rtl/>
        <w:cs/>
        <w:lang w:val="he-IL"/>
      </w:rPr>
      <w:t xml:space="preserve"> מתוך </w:t>
    </w:r>
    <w:r w:rsidRPr="00D921A2">
      <w:rPr>
        <w:b/>
        <w:bCs/>
        <w:sz w:val="20"/>
        <w:szCs w:val="20"/>
      </w:rPr>
      <w:fldChar w:fldCharType="begin"/>
    </w:r>
    <w:r w:rsidRPr="00D921A2">
      <w:rPr>
        <w:b/>
        <w:bCs/>
        <w:sz w:val="20"/>
        <w:szCs w:val="20"/>
        <w:rtl/>
        <w:cs/>
      </w:rPr>
      <w:instrText>NUMPAGES</w:instrText>
    </w:r>
    <w:r w:rsidRPr="00D921A2">
      <w:rPr>
        <w:b/>
        <w:bCs/>
        <w:sz w:val="20"/>
        <w:szCs w:val="20"/>
      </w:rPr>
      <w:fldChar w:fldCharType="separate"/>
    </w:r>
    <w:r w:rsidR="009C5D78">
      <w:rPr>
        <w:b/>
        <w:bCs/>
        <w:noProof/>
        <w:sz w:val="20"/>
        <w:szCs w:val="20"/>
        <w:rtl/>
      </w:rPr>
      <w:t>6</w:t>
    </w:r>
    <w:r w:rsidRPr="00D921A2">
      <w:rPr>
        <w:b/>
        <w:bCs/>
        <w:sz w:val="20"/>
        <w:szCs w:val="20"/>
      </w:rPr>
      <w:fldChar w:fldCharType="end"/>
    </w:r>
  </w:p>
  <w:p w:rsidR="00BD3B89" w:rsidRDefault="00BD3B89" w:rsidP="005F725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78" w:rsidRDefault="009C5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F1" w:rsidRDefault="00A107F1">
      <w:r>
        <w:separator/>
      </w:r>
    </w:p>
  </w:footnote>
  <w:footnote w:type="continuationSeparator" w:id="0">
    <w:p w:rsidR="00A107F1" w:rsidRDefault="00A107F1">
      <w:r>
        <w:continuationSeparator/>
      </w:r>
    </w:p>
  </w:footnote>
  <w:footnote w:id="1">
    <w:p w:rsidR="002D1100" w:rsidRDefault="002D1100" w:rsidP="002D1100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78" w:rsidRDefault="009C5D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89" w:rsidRDefault="00BD3B89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78" w:rsidRDefault="009C5D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631CB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18"/>
  </w:num>
  <w:num w:numId="12">
    <w:abstractNumId w:val="0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8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20FA"/>
    <w:rsid w:val="000022B8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2118E"/>
    <w:rsid w:val="000217DC"/>
    <w:rsid w:val="00022355"/>
    <w:rsid w:val="00023EE3"/>
    <w:rsid w:val="00024D12"/>
    <w:rsid w:val="000257F0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21B"/>
    <w:rsid w:val="00045462"/>
    <w:rsid w:val="000458D4"/>
    <w:rsid w:val="00046F09"/>
    <w:rsid w:val="00047E41"/>
    <w:rsid w:val="0005021A"/>
    <w:rsid w:val="00051250"/>
    <w:rsid w:val="00051E43"/>
    <w:rsid w:val="00052A72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AB4"/>
    <w:rsid w:val="000611C5"/>
    <w:rsid w:val="00061509"/>
    <w:rsid w:val="00061B54"/>
    <w:rsid w:val="00062277"/>
    <w:rsid w:val="0006250C"/>
    <w:rsid w:val="00063EA2"/>
    <w:rsid w:val="00064EC7"/>
    <w:rsid w:val="00065EE2"/>
    <w:rsid w:val="00066482"/>
    <w:rsid w:val="00067385"/>
    <w:rsid w:val="00067625"/>
    <w:rsid w:val="00067ADF"/>
    <w:rsid w:val="00071052"/>
    <w:rsid w:val="00072355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142A"/>
    <w:rsid w:val="00081868"/>
    <w:rsid w:val="00081BD3"/>
    <w:rsid w:val="000820EA"/>
    <w:rsid w:val="00083BDF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6C6"/>
    <w:rsid w:val="000A5D67"/>
    <w:rsid w:val="000A689F"/>
    <w:rsid w:val="000A6DCE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73F"/>
    <w:rsid w:val="000C38CE"/>
    <w:rsid w:val="000C3A15"/>
    <w:rsid w:val="000C4070"/>
    <w:rsid w:val="000C50E1"/>
    <w:rsid w:val="000C587D"/>
    <w:rsid w:val="000C6588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3458"/>
    <w:rsid w:val="000D3971"/>
    <w:rsid w:val="000D3EDF"/>
    <w:rsid w:val="000D4218"/>
    <w:rsid w:val="000D47E5"/>
    <w:rsid w:val="000D4C8F"/>
    <w:rsid w:val="000D4E48"/>
    <w:rsid w:val="000D4F71"/>
    <w:rsid w:val="000D6B53"/>
    <w:rsid w:val="000D6E59"/>
    <w:rsid w:val="000D6FF2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14F3"/>
    <w:rsid w:val="000F2B48"/>
    <w:rsid w:val="000F2BA7"/>
    <w:rsid w:val="000F35DD"/>
    <w:rsid w:val="000F5F96"/>
    <w:rsid w:val="000F6504"/>
    <w:rsid w:val="000F6CAC"/>
    <w:rsid w:val="000F7611"/>
    <w:rsid w:val="00100334"/>
    <w:rsid w:val="00100611"/>
    <w:rsid w:val="00100FA0"/>
    <w:rsid w:val="00101362"/>
    <w:rsid w:val="00101E9A"/>
    <w:rsid w:val="00101EB2"/>
    <w:rsid w:val="00103128"/>
    <w:rsid w:val="00103942"/>
    <w:rsid w:val="00103C1F"/>
    <w:rsid w:val="00104AED"/>
    <w:rsid w:val="001056DE"/>
    <w:rsid w:val="0010593A"/>
    <w:rsid w:val="0011075A"/>
    <w:rsid w:val="00110DFF"/>
    <w:rsid w:val="00110E4D"/>
    <w:rsid w:val="00111078"/>
    <w:rsid w:val="0011121D"/>
    <w:rsid w:val="001138F6"/>
    <w:rsid w:val="00113CB0"/>
    <w:rsid w:val="00114077"/>
    <w:rsid w:val="001147D6"/>
    <w:rsid w:val="00114886"/>
    <w:rsid w:val="001153F9"/>
    <w:rsid w:val="0011547A"/>
    <w:rsid w:val="00116A10"/>
    <w:rsid w:val="0011701C"/>
    <w:rsid w:val="00117AF5"/>
    <w:rsid w:val="00117B6F"/>
    <w:rsid w:val="001206AC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5050"/>
    <w:rsid w:val="001263F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442"/>
    <w:rsid w:val="00136C0F"/>
    <w:rsid w:val="0013726C"/>
    <w:rsid w:val="001378C4"/>
    <w:rsid w:val="00140B27"/>
    <w:rsid w:val="00140F79"/>
    <w:rsid w:val="00141F2B"/>
    <w:rsid w:val="00143E3B"/>
    <w:rsid w:val="00144B17"/>
    <w:rsid w:val="0014542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D1D"/>
    <w:rsid w:val="0015236A"/>
    <w:rsid w:val="00152F2D"/>
    <w:rsid w:val="00154533"/>
    <w:rsid w:val="001553C3"/>
    <w:rsid w:val="001555E5"/>
    <w:rsid w:val="001558E4"/>
    <w:rsid w:val="00156C5F"/>
    <w:rsid w:val="00156D03"/>
    <w:rsid w:val="001574CD"/>
    <w:rsid w:val="00157E94"/>
    <w:rsid w:val="00160292"/>
    <w:rsid w:val="001602C1"/>
    <w:rsid w:val="001607A3"/>
    <w:rsid w:val="00160CCF"/>
    <w:rsid w:val="001613B9"/>
    <w:rsid w:val="00161545"/>
    <w:rsid w:val="00161BE9"/>
    <w:rsid w:val="00162774"/>
    <w:rsid w:val="00162F67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B5B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78C8"/>
    <w:rsid w:val="001A7A86"/>
    <w:rsid w:val="001B0368"/>
    <w:rsid w:val="001B09F8"/>
    <w:rsid w:val="001B0FB4"/>
    <w:rsid w:val="001B229F"/>
    <w:rsid w:val="001B320D"/>
    <w:rsid w:val="001B38D5"/>
    <w:rsid w:val="001B3EBB"/>
    <w:rsid w:val="001B4C48"/>
    <w:rsid w:val="001B5742"/>
    <w:rsid w:val="001B6C99"/>
    <w:rsid w:val="001B7547"/>
    <w:rsid w:val="001B7675"/>
    <w:rsid w:val="001C0856"/>
    <w:rsid w:val="001C1CA1"/>
    <w:rsid w:val="001C264C"/>
    <w:rsid w:val="001C33AA"/>
    <w:rsid w:val="001C46CF"/>
    <w:rsid w:val="001C6F8F"/>
    <w:rsid w:val="001C7E12"/>
    <w:rsid w:val="001D08C2"/>
    <w:rsid w:val="001D109B"/>
    <w:rsid w:val="001D115C"/>
    <w:rsid w:val="001D15FD"/>
    <w:rsid w:val="001D1B66"/>
    <w:rsid w:val="001D23E6"/>
    <w:rsid w:val="001D301D"/>
    <w:rsid w:val="001D3185"/>
    <w:rsid w:val="001D333B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EF4"/>
    <w:rsid w:val="001E6A6C"/>
    <w:rsid w:val="001E7B49"/>
    <w:rsid w:val="001F043C"/>
    <w:rsid w:val="001F0470"/>
    <w:rsid w:val="001F0485"/>
    <w:rsid w:val="001F0DF7"/>
    <w:rsid w:val="001F2087"/>
    <w:rsid w:val="001F3A15"/>
    <w:rsid w:val="001F4211"/>
    <w:rsid w:val="001F4BA3"/>
    <w:rsid w:val="001F4DAA"/>
    <w:rsid w:val="001F4DD2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AFF"/>
    <w:rsid w:val="00214B50"/>
    <w:rsid w:val="00215C50"/>
    <w:rsid w:val="0021612F"/>
    <w:rsid w:val="00217472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C10"/>
    <w:rsid w:val="00231761"/>
    <w:rsid w:val="002321B8"/>
    <w:rsid w:val="0023245F"/>
    <w:rsid w:val="00232A5E"/>
    <w:rsid w:val="00232E06"/>
    <w:rsid w:val="0023327D"/>
    <w:rsid w:val="002339EB"/>
    <w:rsid w:val="00234179"/>
    <w:rsid w:val="0023440A"/>
    <w:rsid w:val="00235DCE"/>
    <w:rsid w:val="0023775E"/>
    <w:rsid w:val="002379EF"/>
    <w:rsid w:val="00237C45"/>
    <w:rsid w:val="002403B2"/>
    <w:rsid w:val="00240D58"/>
    <w:rsid w:val="00241646"/>
    <w:rsid w:val="00241A25"/>
    <w:rsid w:val="00242714"/>
    <w:rsid w:val="002428E6"/>
    <w:rsid w:val="00242961"/>
    <w:rsid w:val="0024359D"/>
    <w:rsid w:val="00245554"/>
    <w:rsid w:val="00245655"/>
    <w:rsid w:val="00245A1A"/>
    <w:rsid w:val="0024602D"/>
    <w:rsid w:val="002467E1"/>
    <w:rsid w:val="00247E64"/>
    <w:rsid w:val="00247E9A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6235"/>
    <w:rsid w:val="00256719"/>
    <w:rsid w:val="002575D2"/>
    <w:rsid w:val="00257B08"/>
    <w:rsid w:val="00257BB1"/>
    <w:rsid w:val="002606CD"/>
    <w:rsid w:val="00261156"/>
    <w:rsid w:val="0026130C"/>
    <w:rsid w:val="00261A2B"/>
    <w:rsid w:val="002627FE"/>
    <w:rsid w:val="0026343B"/>
    <w:rsid w:val="0026446B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319D"/>
    <w:rsid w:val="002732E7"/>
    <w:rsid w:val="00273AB3"/>
    <w:rsid w:val="00273AE5"/>
    <w:rsid w:val="002742CF"/>
    <w:rsid w:val="0027468F"/>
    <w:rsid w:val="002757B9"/>
    <w:rsid w:val="002763DF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831"/>
    <w:rsid w:val="002941EA"/>
    <w:rsid w:val="00295A41"/>
    <w:rsid w:val="00295B3F"/>
    <w:rsid w:val="0029682A"/>
    <w:rsid w:val="00297B32"/>
    <w:rsid w:val="00297EF8"/>
    <w:rsid w:val="002A05B4"/>
    <w:rsid w:val="002A07C7"/>
    <w:rsid w:val="002A172C"/>
    <w:rsid w:val="002A245A"/>
    <w:rsid w:val="002A2ABD"/>
    <w:rsid w:val="002A2D9C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3BDD"/>
    <w:rsid w:val="002B4998"/>
    <w:rsid w:val="002B49E1"/>
    <w:rsid w:val="002B51DF"/>
    <w:rsid w:val="002B594E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E9B"/>
    <w:rsid w:val="002D7A01"/>
    <w:rsid w:val="002E0938"/>
    <w:rsid w:val="002E0A85"/>
    <w:rsid w:val="002E0EE1"/>
    <w:rsid w:val="002E12A7"/>
    <w:rsid w:val="002E13B6"/>
    <w:rsid w:val="002E25E3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565"/>
    <w:rsid w:val="002F0602"/>
    <w:rsid w:val="002F0D7B"/>
    <w:rsid w:val="002F0DC3"/>
    <w:rsid w:val="002F18CE"/>
    <w:rsid w:val="002F1A2D"/>
    <w:rsid w:val="002F1B65"/>
    <w:rsid w:val="002F2F3D"/>
    <w:rsid w:val="002F3383"/>
    <w:rsid w:val="002F3B73"/>
    <w:rsid w:val="002F4E60"/>
    <w:rsid w:val="002F5401"/>
    <w:rsid w:val="002F56BB"/>
    <w:rsid w:val="002F5E9B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8E"/>
    <w:rsid w:val="00330BFD"/>
    <w:rsid w:val="00331B80"/>
    <w:rsid w:val="0033294C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3418"/>
    <w:rsid w:val="00343F19"/>
    <w:rsid w:val="00344A50"/>
    <w:rsid w:val="0034590D"/>
    <w:rsid w:val="00346595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5B39"/>
    <w:rsid w:val="00355D57"/>
    <w:rsid w:val="003606FD"/>
    <w:rsid w:val="0036090B"/>
    <w:rsid w:val="00360EE1"/>
    <w:rsid w:val="003624D0"/>
    <w:rsid w:val="00362C17"/>
    <w:rsid w:val="00363003"/>
    <w:rsid w:val="00363E4A"/>
    <w:rsid w:val="00364520"/>
    <w:rsid w:val="00364782"/>
    <w:rsid w:val="00364D25"/>
    <w:rsid w:val="00364EED"/>
    <w:rsid w:val="00365B98"/>
    <w:rsid w:val="003673A0"/>
    <w:rsid w:val="00367E60"/>
    <w:rsid w:val="00370B25"/>
    <w:rsid w:val="00371A4B"/>
    <w:rsid w:val="00372C74"/>
    <w:rsid w:val="00374650"/>
    <w:rsid w:val="003746CA"/>
    <w:rsid w:val="003752C4"/>
    <w:rsid w:val="00376947"/>
    <w:rsid w:val="00377ADA"/>
    <w:rsid w:val="00380DA4"/>
    <w:rsid w:val="00380F38"/>
    <w:rsid w:val="00381900"/>
    <w:rsid w:val="00382A96"/>
    <w:rsid w:val="00384733"/>
    <w:rsid w:val="00384EEC"/>
    <w:rsid w:val="00386C83"/>
    <w:rsid w:val="003873F3"/>
    <w:rsid w:val="00387665"/>
    <w:rsid w:val="0039006D"/>
    <w:rsid w:val="00390265"/>
    <w:rsid w:val="00391FC3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43E6"/>
    <w:rsid w:val="003A4B9B"/>
    <w:rsid w:val="003A4DF9"/>
    <w:rsid w:val="003A50BB"/>
    <w:rsid w:val="003A6452"/>
    <w:rsid w:val="003A70ED"/>
    <w:rsid w:val="003A75AC"/>
    <w:rsid w:val="003B0778"/>
    <w:rsid w:val="003B0875"/>
    <w:rsid w:val="003B091C"/>
    <w:rsid w:val="003B0B89"/>
    <w:rsid w:val="003B24D1"/>
    <w:rsid w:val="003B264E"/>
    <w:rsid w:val="003B3ED7"/>
    <w:rsid w:val="003B437B"/>
    <w:rsid w:val="003B544B"/>
    <w:rsid w:val="003B5649"/>
    <w:rsid w:val="003B57D2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456"/>
    <w:rsid w:val="003C65A0"/>
    <w:rsid w:val="003C666F"/>
    <w:rsid w:val="003C6B2E"/>
    <w:rsid w:val="003C7296"/>
    <w:rsid w:val="003D236F"/>
    <w:rsid w:val="003D276A"/>
    <w:rsid w:val="003D35E1"/>
    <w:rsid w:val="003D372B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36B"/>
    <w:rsid w:val="003E5DA9"/>
    <w:rsid w:val="003E616A"/>
    <w:rsid w:val="003E61C1"/>
    <w:rsid w:val="003E6D70"/>
    <w:rsid w:val="003E740C"/>
    <w:rsid w:val="003E7730"/>
    <w:rsid w:val="003E78C4"/>
    <w:rsid w:val="003F0F09"/>
    <w:rsid w:val="003F193A"/>
    <w:rsid w:val="003F25B5"/>
    <w:rsid w:val="003F320F"/>
    <w:rsid w:val="003F39ED"/>
    <w:rsid w:val="003F3C90"/>
    <w:rsid w:val="003F4130"/>
    <w:rsid w:val="003F4B94"/>
    <w:rsid w:val="003F56FE"/>
    <w:rsid w:val="003F6511"/>
    <w:rsid w:val="003F76A6"/>
    <w:rsid w:val="00400605"/>
    <w:rsid w:val="004011E9"/>
    <w:rsid w:val="004012D8"/>
    <w:rsid w:val="0040139E"/>
    <w:rsid w:val="004017A6"/>
    <w:rsid w:val="004021CE"/>
    <w:rsid w:val="004021D8"/>
    <w:rsid w:val="00403BFB"/>
    <w:rsid w:val="0040405E"/>
    <w:rsid w:val="0040499D"/>
    <w:rsid w:val="0040667A"/>
    <w:rsid w:val="00406F16"/>
    <w:rsid w:val="004077F7"/>
    <w:rsid w:val="00410237"/>
    <w:rsid w:val="004103EF"/>
    <w:rsid w:val="0041053D"/>
    <w:rsid w:val="0041081C"/>
    <w:rsid w:val="0041231E"/>
    <w:rsid w:val="00413A2B"/>
    <w:rsid w:val="00413F0A"/>
    <w:rsid w:val="00414C0A"/>
    <w:rsid w:val="004161F0"/>
    <w:rsid w:val="00416F4B"/>
    <w:rsid w:val="00417A04"/>
    <w:rsid w:val="004207C3"/>
    <w:rsid w:val="004211E7"/>
    <w:rsid w:val="004211EB"/>
    <w:rsid w:val="00423E9F"/>
    <w:rsid w:val="00423FF4"/>
    <w:rsid w:val="004242EF"/>
    <w:rsid w:val="00424A00"/>
    <w:rsid w:val="00425589"/>
    <w:rsid w:val="00425E0E"/>
    <w:rsid w:val="004261B5"/>
    <w:rsid w:val="004267EF"/>
    <w:rsid w:val="0042718A"/>
    <w:rsid w:val="004279A7"/>
    <w:rsid w:val="00432302"/>
    <w:rsid w:val="004324AC"/>
    <w:rsid w:val="00433492"/>
    <w:rsid w:val="00433A8C"/>
    <w:rsid w:val="00433B9F"/>
    <w:rsid w:val="004340A2"/>
    <w:rsid w:val="0043465E"/>
    <w:rsid w:val="00434B2F"/>
    <w:rsid w:val="00434B61"/>
    <w:rsid w:val="00436800"/>
    <w:rsid w:val="004376A1"/>
    <w:rsid w:val="00437961"/>
    <w:rsid w:val="00440BED"/>
    <w:rsid w:val="004411E9"/>
    <w:rsid w:val="00441BA1"/>
    <w:rsid w:val="004420AD"/>
    <w:rsid w:val="0044337F"/>
    <w:rsid w:val="004437C5"/>
    <w:rsid w:val="004444F6"/>
    <w:rsid w:val="00444713"/>
    <w:rsid w:val="00444BA9"/>
    <w:rsid w:val="00444C51"/>
    <w:rsid w:val="00444CCE"/>
    <w:rsid w:val="00446E0B"/>
    <w:rsid w:val="00447086"/>
    <w:rsid w:val="004475B6"/>
    <w:rsid w:val="00447D54"/>
    <w:rsid w:val="00450711"/>
    <w:rsid w:val="00451612"/>
    <w:rsid w:val="0045263F"/>
    <w:rsid w:val="004530BD"/>
    <w:rsid w:val="004544A5"/>
    <w:rsid w:val="004548C2"/>
    <w:rsid w:val="00454A35"/>
    <w:rsid w:val="00455644"/>
    <w:rsid w:val="00455C2A"/>
    <w:rsid w:val="004571F7"/>
    <w:rsid w:val="004573B7"/>
    <w:rsid w:val="0045777A"/>
    <w:rsid w:val="00457B83"/>
    <w:rsid w:val="0046008B"/>
    <w:rsid w:val="00460297"/>
    <w:rsid w:val="004617C1"/>
    <w:rsid w:val="004617DB"/>
    <w:rsid w:val="00461B7F"/>
    <w:rsid w:val="00461D64"/>
    <w:rsid w:val="00462065"/>
    <w:rsid w:val="00462458"/>
    <w:rsid w:val="004630C4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B53"/>
    <w:rsid w:val="004770C3"/>
    <w:rsid w:val="00477660"/>
    <w:rsid w:val="004816F5"/>
    <w:rsid w:val="00482F4E"/>
    <w:rsid w:val="004830F5"/>
    <w:rsid w:val="00483238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6C0"/>
    <w:rsid w:val="00491D04"/>
    <w:rsid w:val="00491EDD"/>
    <w:rsid w:val="004922D4"/>
    <w:rsid w:val="00492BB1"/>
    <w:rsid w:val="00492DE8"/>
    <w:rsid w:val="0049302E"/>
    <w:rsid w:val="00493595"/>
    <w:rsid w:val="00493C39"/>
    <w:rsid w:val="00493F84"/>
    <w:rsid w:val="004946BD"/>
    <w:rsid w:val="00495917"/>
    <w:rsid w:val="00496899"/>
    <w:rsid w:val="0049743C"/>
    <w:rsid w:val="0049781C"/>
    <w:rsid w:val="004A1529"/>
    <w:rsid w:val="004A378B"/>
    <w:rsid w:val="004A3D2E"/>
    <w:rsid w:val="004A425C"/>
    <w:rsid w:val="004A47C0"/>
    <w:rsid w:val="004A5764"/>
    <w:rsid w:val="004A5D5C"/>
    <w:rsid w:val="004A612B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29C"/>
    <w:rsid w:val="004C0943"/>
    <w:rsid w:val="004C12F3"/>
    <w:rsid w:val="004C175D"/>
    <w:rsid w:val="004C2622"/>
    <w:rsid w:val="004C2A42"/>
    <w:rsid w:val="004C33BB"/>
    <w:rsid w:val="004C4ECE"/>
    <w:rsid w:val="004C5B0F"/>
    <w:rsid w:val="004C6117"/>
    <w:rsid w:val="004C630F"/>
    <w:rsid w:val="004C7F8A"/>
    <w:rsid w:val="004D1BB9"/>
    <w:rsid w:val="004D2132"/>
    <w:rsid w:val="004D2343"/>
    <w:rsid w:val="004D3D72"/>
    <w:rsid w:val="004D4754"/>
    <w:rsid w:val="004D5904"/>
    <w:rsid w:val="004D5F39"/>
    <w:rsid w:val="004D6685"/>
    <w:rsid w:val="004D68FA"/>
    <w:rsid w:val="004D7152"/>
    <w:rsid w:val="004D7632"/>
    <w:rsid w:val="004D7AAA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B17"/>
    <w:rsid w:val="004F11FF"/>
    <w:rsid w:val="004F1F22"/>
    <w:rsid w:val="004F2641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306E"/>
    <w:rsid w:val="0050361C"/>
    <w:rsid w:val="00504BB7"/>
    <w:rsid w:val="00505831"/>
    <w:rsid w:val="005065AB"/>
    <w:rsid w:val="005067A7"/>
    <w:rsid w:val="00506A77"/>
    <w:rsid w:val="00507A39"/>
    <w:rsid w:val="005105FC"/>
    <w:rsid w:val="005122CD"/>
    <w:rsid w:val="0051370C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4143"/>
    <w:rsid w:val="00526189"/>
    <w:rsid w:val="00526621"/>
    <w:rsid w:val="00526F17"/>
    <w:rsid w:val="00527785"/>
    <w:rsid w:val="00527BC9"/>
    <w:rsid w:val="00530CDE"/>
    <w:rsid w:val="00531339"/>
    <w:rsid w:val="005313B6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77B"/>
    <w:rsid w:val="00571C86"/>
    <w:rsid w:val="005729AD"/>
    <w:rsid w:val="00573331"/>
    <w:rsid w:val="005758BF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1B56"/>
    <w:rsid w:val="005922B7"/>
    <w:rsid w:val="00592339"/>
    <w:rsid w:val="00592C53"/>
    <w:rsid w:val="00592FC4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EB5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274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E7B"/>
    <w:rsid w:val="005D119C"/>
    <w:rsid w:val="005D14DE"/>
    <w:rsid w:val="005D2081"/>
    <w:rsid w:val="005D2D46"/>
    <w:rsid w:val="005D35B2"/>
    <w:rsid w:val="005D4007"/>
    <w:rsid w:val="005D4748"/>
    <w:rsid w:val="005D4B0B"/>
    <w:rsid w:val="005D4B8B"/>
    <w:rsid w:val="005D5633"/>
    <w:rsid w:val="005D68FE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3FFB"/>
    <w:rsid w:val="00604067"/>
    <w:rsid w:val="00604F6E"/>
    <w:rsid w:val="00605280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FE6"/>
    <w:rsid w:val="0061760A"/>
    <w:rsid w:val="00617941"/>
    <w:rsid w:val="0061797B"/>
    <w:rsid w:val="0062039E"/>
    <w:rsid w:val="00623185"/>
    <w:rsid w:val="006238E4"/>
    <w:rsid w:val="006238FB"/>
    <w:rsid w:val="00624992"/>
    <w:rsid w:val="0063002D"/>
    <w:rsid w:val="006312DD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6FF"/>
    <w:rsid w:val="00640F92"/>
    <w:rsid w:val="00641355"/>
    <w:rsid w:val="006423CF"/>
    <w:rsid w:val="006426FF"/>
    <w:rsid w:val="00642A98"/>
    <w:rsid w:val="00644304"/>
    <w:rsid w:val="00644CA0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8A6"/>
    <w:rsid w:val="00680EC7"/>
    <w:rsid w:val="00681356"/>
    <w:rsid w:val="006822D7"/>
    <w:rsid w:val="006840E0"/>
    <w:rsid w:val="00685747"/>
    <w:rsid w:val="0068589B"/>
    <w:rsid w:val="00685E9A"/>
    <w:rsid w:val="00686194"/>
    <w:rsid w:val="00687C5E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283"/>
    <w:rsid w:val="006B0A2D"/>
    <w:rsid w:val="006B2120"/>
    <w:rsid w:val="006B2423"/>
    <w:rsid w:val="006B2A0B"/>
    <w:rsid w:val="006B340D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6"/>
    <w:rsid w:val="006C7665"/>
    <w:rsid w:val="006C7854"/>
    <w:rsid w:val="006D0AE4"/>
    <w:rsid w:val="006D0CCA"/>
    <w:rsid w:val="006D1860"/>
    <w:rsid w:val="006D1DDA"/>
    <w:rsid w:val="006D22AC"/>
    <w:rsid w:val="006D313A"/>
    <w:rsid w:val="006D3724"/>
    <w:rsid w:val="006D3F8C"/>
    <w:rsid w:val="006D5195"/>
    <w:rsid w:val="006D5AD8"/>
    <w:rsid w:val="006D63A8"/>
    <w:rsid w:val="006D67C1"/>
    <w:rsid w:val="006D69C8"/>
    <w:rsid w:val="006D6FF9"/>
    <w:rsid w:val="006D76CD"/>
    <w:rsid w:val="006D7923"/>
    <w:rsid w:val="006E01BA"/>
    <w:rsid w:val="006E047B"/>
    <w:rsid w:val="006E0A34"/>
    <w:rsid w:val="006E0FDB"/>
    <w:rsid w:val="006E1C2C"/>
    <w:rsid w:val="006E1FF1"/>
    <w:rsid w:val="006E277A"/>
    <w:rsid w:val="006E284A"/>
    <w:rsid w:val="006E2FA9"/>
    <w:rsid w:val="006E3347"/>
    <w:rsid w:val="006E38E0"/>
    <w:rsid w:val="006E406F"/>
    <w:rsid w:val="006E4D58"/>
    <w:rsid w:val="006E6301"/>
    <w:rsid w:val="006E6E66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F52"/>
    <w:rsid w:val="006F58DB"/>
    <w:rsid w:val="006F5BFB"/>
    <w:rsid w:val="006F6E04"/>
    <w:rsid w:val="006F794E"/>
    <w:rsid w:val="006F7DB1"/>
    <w:rsid w:val="00700924"/>
    <w:rsid w:val="0070233A"/>
    <w:rsid w:val="00703335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70AA"/>
    <w:rsid w:val="007273B9"/>
    <w:rsid w:val="00730F38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40D6"/>
    <w:rsid w:val="00754AA0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A0A"/>
    <w:rsid w:val="007651CD"/>
    <w:rsid w:val="0076566A"/>
    <w:rsid w:val="00765BFE"/>
    <w:rsid w:val="007663AE"/>
    <w:rsid w:val="00766C85"/>
    <w:rsid w:val="00766D35"/>
    <w:rsid w:val="00767CA2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E53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E6C"/>
    <w:rsid w:val="0078645B"/>
    <w:rsid w:val="0079059D"/>
    <w:rsid w:val="00792F53"/>
    <w:rsid w:val="00794343"/>
    <w:rsid w:val="00794658"/>
    <w:rsid w:val="00794AA2"/>
    <w:rsid w:val="00794CA1"/>
    <w:rsid w:val="007955A4"/>
    <w:rsid w:val="00795879"/>
    <w:rsid w:val="00796DE9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220F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A79"/>
    <w:rsid w:val="007B2B5E"/>
    <w:rsid w:val="007B2C6A"/>
    <w:rsid w:val="007B2F32"/>
    <w:rsid w:val="007B3837"/>
    <w:rsid w:val="007B3936"/>
    <w:rsid w:val="007B40A6"/>
    <w:rsid w:val="007B4E63"/>
    <w:rsid w:val="007B5CD4"/>
    <w:rsid w:val="007C0073"/>
    <w:rsid w:val="007C0B54"/>
    <w:rsid w:val="007C1030"/>
    <w:rsid w:val="007C161B"/>
    <w:rsid w:val="007C2805"/>
    <w:rsid w:val="007C3758"/>
    <w:rsid w:val="007C48A1"/>
    <w:rsid w:val="007C4AD3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6E7B"/>
    <w:rsid w:val="007D72CD"/>
    <w:rsid w:val="007D78D0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5BA8"/>
    <w:rsid w:val="007E60C5"/>
    <w:rsid w:val="007E63B6"/>
    <w:rsid w:val="007E7D2B"/>
    <w:rsid w:val="007F0312"/>
    <w:rsid w:val="007F052C"/>
    <w:rsid w:val="007F0BA1"/>
    <w:rsid w:val="007F1F58"/>
    <w:rsid w:val="007F1FB1"/>
    <w:rsid w:val="007F4B36"/>
    <w:rsid w:val="007F4E83"/>
    <w:rsid w:val="007F5774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E61"/>
    <w:rsid w:val="0080506C"/>
    <w:rsid w:val="0080779D"/>
    <w:rsid w:val="00811536"/>
    <w:rsid w:val="00811690"/>
    <w:rsid w:val="00813914"/>
    <w:rsid w:val="008141A8"/>
    <w:rsid w:val="00814F2C"/>
    <w:rsid w:val="0081510E"/>
    <w:rsid w:val="00815961"/>
    <w:rsid w:val="00816C6C"/>
    <w:rsid w:val="00816CFC"/>
    <w:rsid w:val="00817677"/>
    <w:rsid w:val="00817A2A"/>
    <w:rsid w:val="00817DAE"/>
    <w:rsid w:val="00817E9F"/>
    <w:rsid w:val="00820488"/>
    <w:rsid w:val="0082075E"/>
    <w:rsid w:val="0082087F"/>
    <w:rsid w:val="00820DAF"/>
    <w:rsid w:val="00821181"/>
    <w:rsid w:val="008211F1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30328"/>
    <w:rsid w:val="0083079A"/>
    <w:rsid w:val="0083131E"/>
    <w:rsid w:val="00831BA6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402A3"/>
    <w:rsid w:val="00840505"/>
    <w:rsid w:val="00840B17"/>
    <w:rsid w:val="00842E88"/>
    <w:rsid w:val="008435DB"/>
    <w:rsid w:val="008444F3"/>
    <w:rsid w:val="008446CB"/>
    <w:rsid w:val="00844F9E"/>
    <w:rsid w:val="00846679"/>
    <w:rsid w:val="0084799D"/>
    <w:rsid w:val="00847AD4"/>
    <w:rsid w:val="00851C59"/>
    <w:rsid w:val="008521CA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4102"/>
    <w:rsid w:val="0086490E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A14F7"/>
    <w:rsid w:val="008A15C3"/>
    <w:rsid w:val="008A1A45"/>
    <w:rsid w:val="008A1B81"/>
    <w:rsid w:val="008A223E"/>
    <w:rsid w:val="008A23DA"/>
    <w:rsid w:val="008A548A"/>
    <w:rsid w:val="008A5BE6"/>
    <w:rsid w:val="008A6201"/>
    <w:rsid w:val="008A653B"/>
    <w:rsid w:val="008A693F"/>
    <w:rsid w:val="008A6CD6"/>
    <w:rsid w:val="008A73F3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C56"/>
    <w:rsid w:val="008B3FE7"/>
    <w:rsid w:val="008B4660"/>
    <w:rsid w:val="008B55B4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9AE"/>
    <w:rsid w:val="008D09E7"/>
    <w:rsid w:val="008D0A34"/>
    <w:rsid w:val="008D2453"/>
    <w:rsid w:val="008D28ED"/>
    <w:rsid w:val="008D46A9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AAF"/>
    <w:rsid w:val="00914662"/>
    <w:rsid w:val="00914A9F"/>
    <w:rsid w:val="009152BE"/>
    <w:rsid w:val="00915BBE"/>
    <w:rsid w:val="009161E4"/>
    <w:rsid w:val="0091696F"/>
    <w:rsid w:val="00916D75"/>
    <w:rsid w:val="00920A52"/>
    <w:rsid w:val="009218E0"/>
    <w:rsid w:val="00922CCB"/>
    <w:rsid w:val="00923B12"/>
    <w:rsid w:val="0092433A"/>
    <w:rsid w:val="0092527C"/>
    <w:rsid w:val="00927424"/>
    <w:rsid w:val="00931154"/>
    <w:rsid w:val="009322E4"/>
    <w:rsid w:val="00932F32"/>
    <w:rsid w:val="00933E33"/>
    <w:rsid w:val="00934056"/>
    <w:rsid w:val="0093443F"/>
    <w:rsid w:val="00934F6F"/>
    <w:rsid w:val="009358B8"/>
    <w:rsid w:val="00935917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47A5"/>
    <w:rsid w:val="00944A3C"/>
    <w:rsid w:val="00945C1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510"/>
    <w:rsid w:val="0096127C"/>
    <w:rsid w:val="0096175B"/>
    <w:rsid w:val="00961914"/>
    <w:rsid w:val="00961AD6"/>
    <w:rsid w:val="00962373"/>
    <w:rsid w:val="00964284"/>
    <w:rsid w:val="0096451E"/>
    <w:rsid w:val="009656EC"/>
    <w:rsid w:val="00966E6D"/>
    <w:rsid w:val="00967C05"/>
    <w:rsid w:val="00971778"/>
    <w:rsid w:val="00971C6B"/>
    <w:rsid w:val="00971E06"/>
    <w:rsid w:val="00971FF4"/>
    <w:rsid w:val="0097234F"/>
    <w:rsid w:val="009725B8"/>
    <w:rsid w:val="0097316B"/>
    <w:rsid w:val="0097430B"/>
    <w:rsid w:val="009745E7"/>
    <w:rsid w:val="00974D2D"/>
    <w:rsid w:val="009754A9"/>
    <w:rsid w:val="009756EC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17B"/>
    <w:rsid w:val="00992BE5"/>
    <w:rsid w:val="00993200"/>
    <w:rsid w:val="0099326D"/>
    <w:rsid w:val="00994404"/>
    <w:rsid w:val="009947FE"/>
    <w:rsid w:val="00994A4F"/>
    <w:rsid w:val="00994D4A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5A4"/>
    <w:rsid w:val="009A394F"/>
    <w:rsid w:val="009A4389"/>
    <w:rsid w:val="009A5F9B"/>
    <w:rsid w:val="009B08E9"/>
    <w:rsid w:val="009B0BA1"/>
    <w:rsid w:val="009B234E"/>
    <w:rsid w:val="009B253E"/>
    <w:rsid w:val="009B2782"/>
    <w:rsid w:val="009B2E23"/>
    <w:rsid w:val="009B4D55"/>
    <w:rsid w:val="009B50B0"/>
    <w:rsid w:val="009B51E4"/>
    <w:rsid w:val="009B5211"/>
    <w:rsid w:val="009B6A05"/>
    <w:rsid w:val="009B6E34"/>
    <w:rsid w:val="009B77FB"/>
    <w:rsid w:val="009B784C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30B2"/>
    <w:rsid w:val="009C40BA"/>
    <w:rsid w:val="009C4338"/>
    <w:rsid w:val="009C437E"/>
    <w:rsid w:val="009C57D7"/>
    <w:rsid w:val="009C5AEF"/>
    <w:rsid w:val="009C5D78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6206"/>
    <w:rsid w:val="009D76DF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99C"/>
    <w:rsid w:val="009F5869"/>
    <w:rsid w:val="009F63C4"/>
    <w:rsid w:val="009F6A0E"/>
    <w:rsid w:val="009F7082"/>
    <w:rsid w:val="009F776D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BEB"/>
    <w:rsid w:val="00A12CCB"/>
    <w:rsid w:val="00A13039"/>
    <w:rsid w:val="00A139AB"/>
    <w:rsid w:val="00A14046"/>
    <w:rsid w:val="00A14312"/>
    <w:rsid w:val="00A14822"/>
    <w:rsid w:val="00A14ABD"/>
    <w:rsid w:val="00A16E50"/>
    <w:rsid w:val="00A16E95"/>
    <w:rsid w:val="00A17251"/>
    <w:rsid w:val="00A1737F"/>
    <w:rsid w:val="00A219A4"/>
    <w:rsid w:val="00A21D66"/>
    <w:rsid w:val="00A21ECF"/>
    <w:rsid w:val="00A22967"/>
    <w:rsid w:val="00A22D8E"/>
    <w:rsid w:val="00A23B39"/>
    <w:rsid w:val="00A23B42"/>
    <w:rsid w:val="00A25343"/>
    <w:rsid w:val="00A253DD"/>
    <w:rsid w:val="00A257E8"/>
    <w:rsid w:val="00A25812"/>
    <w:rsid w:val="00A25C86"/>
    <w:rsid w:val="00A25D2E"/>
    <w:rsid w:val="00A25ECC"/>
    <w:rsid w:val="00A2644B"/>
    <w:rsid w:val="00A26D06"/>
    <w:rsid w:val="00A26E5E"/>
    <w:rsid w:val="00A31098"/>
    <w:rsid w:val="00A31A74"/>
    <w:rsid w:val="00A31AD5"/>
    <w:rsid w:val="00A3201C"/>
    <w:rsid w:val="00A32464"/>
    <w:rsid w:val="00A32D28"/>
    <w:rsid w:val="00A332E3"/>
    <w:rsid w:val="00A33605"/>
    <w:rsid w:val="00A35C25"/>
    <w:rsid w:val="00A40CE0"/>
    <w:rsid w:val="00A41E06"/>
    <w:rsid w:val="00A41FE4"/>
    <w:rsid w:val="00A42A14"/>
    <w:rsid w:val="00A42C01"/>
    <w:rsid w:val="00A42E4B"/>
    <w:rsid w:val="00A4475C"/>
    <w:rsid w:val="00A44891"/>
    <w:rsid w:val="00A44C00"/>
    <w:rsid w:val="00A44FF0"/>
    <w:rsid w:val="00A4538F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5765"/>
    <w:rsid w:val="00A665A8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EC"/>
    <w:rsid w:val="00A774F2"/>
    <w:rsid w:val="00A77C0F"/>
    <w:rsid w:val="00A77C3F"/>
    <w:rsid w:val="00A80C73"/>
    <w:rsid w:val="00A81E20"/>
    <w:rsid w:val="00A829E2"/>
    <w:rsid w:val="00A82E79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5016"/>
    <w:rsid w:val="00AA517F"/>
    <w:rsid w:val="00AA5A74"/>
    <w:rsid w:val="00AA5ADB"/>
    <w:rsid w:val="00AA5BDE"/>
    <w:rsid w:val="00AB0646"/>
    <w:rsid w:val="00AB0AC4"/>
    <w:rsid w:val="00AB1795"/>
    <w:rsid w:val="00AB32BC"/>
    <w:rsid w:val="00AB3CFC"/>
    <w:rsid w:val="00AB3D4D"/>
    <w:rsid w:val="00AB3DF3"/>
    <w:rsid w:val="00AB5993"/>
    <w:rsid w:val="00AB5A2C"/>
    <w:rsid w:val="00AB5BA2"/>
    <w:rsid w:val="00AB6477"/>
    <w:rsid w:val="00AB6FCB"/>
    <w:rsid w:val="00AC07A2"/>
    <w:rsid w:val="00AC1CB6"/>
    <w:rsid w:val="00AC1D6B"/>
    <w:rsid w:val="00AC39EC"/>
    <w:rsid w:val="00AC41B5"/>
    <w:rsid w:val="00AC48D1"/>
    <w:rsid w:val="00AC57A4"/>
    <w:rsid w:val="00AC5CBC"/>
    <w:rsid w:val="00AC5DD2"/>
    <w:rsid w:val="00AC7016"/>
    <w:rsid w:val="00AC71C5"/>
    <w:rsid w:val="00AD018C"/>
    <w:rsid w:val="00AD01F1"/>
    <w:rsid w:val="00AD070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5803"/>
    <w:rsid w:val="00AD5C19"/>
    <w:rsid w:val="00AD70F9"/>
    <w:rsid w:val="00AD7A37"/>
    <w:rsid w:val="00AE002D"/>
    <w:rsid w:val="00AE0F69"/>
    <w:rsid w:val="00AE101F"/>
    <w:rsid w:val="00AE16EA"/>
    <w:rsid w:val="00AE1E98"/>
    <w:rsid w:val="00AE45BB"/>
    <w:rsid w:val="00AE4DD7"/>
    <w:rsid w:val="00AE6E0F"/>
    <w:rsid w:val="00AE6EF5"/>
    <w:rsid w:val="00AE6FF6"/>
    <w:rsid w:val="00AE7AD6"/>
    <w:rsid w:val="00AF0027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4FB0"/>
    <w:rsid w:val="00AF5358"/>
    <w:rsid w:val="00AF5910"/>
    <w:rsid w:val="00AF632B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9D8"/>
    <w:rsid w:val="00B050ED"/>
    <w:rsid w:val="00B06933"/>
    <w:rsid w:val="00B06E8A"/>
    <w:rsid w:val="00B07016"/>
    <w:rsid w:val="00B0728F"/>
    <w:rsid w:val="00B07CDB"/>
    <w:rsid w:val="00B07D0D"/>
    <w:rsid w:val="00B110B8"/>
    <w:rsid w:val="00B11AD9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40CA6"/>
    <w:rsid w:val="00B41088"/>
    <w:rsid w:val="00B42E29"/>
    <w:rsid w:val="00B433F1"/>
    <w:rsid w:val="00B4484F"/>
    <w:rsid w:val="00B449D7"/>
    <w:rsid w:val="00B44FFA"/>
    <w:rsid w:val="00B45743"/>
    <w:rsid w:val="00B46D68"/>
    <w:rsid w:val="00B46E80"/>
    <w:rsid w:val="00B50AC7"/>
    <w:rsid w:val="00B50F70"/>
    <w:rsid w:val="00B5166B"/>
    <w:rsid w:val="00B51D64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B01"/>
    <w:rsid w:val="00B64239"/>
    <w:rsid w:val="00B64C87"/>
    <w:rsid w:val="00B654C5"/>
    <w:rsid w:val="00B65643"/>
    <w:rsid w:val="00B65E49"/>
    <w:rsid w:val="00B67396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1BB6"/>
    <w:rsid w:val="00B91D8F"/>
    <w:rsid w:val="00B921B8"/>
    <w:rsid w:val="00B93812"/>
    <w:rsid w:val="00B93AC3"/>
    <w:rsid w:val="00B93E27"/>
    <w:rsid w:val="00B94393"/>
    <w:rsid w:val="00B9472B"/>
    <w:rsid w:val="00B94E1F"/>
    <w:rsid w:val="00B94F3D"/>
    <w:rsid w:val="00B95415"/>
    <w:rsid w:val="00B961D9"/>
    <w:rsid w:val="00BA012F"/>
    <w:rsid w:val="00BA0464"/>
    <w:rsid w:val="00BA0C83"/>
    <w:rsid w:val="00BA0FAB"/>
    <w:rsid w:val="00BA0FF4"/>
    <w:rsid w:val="00BA15D0"/>
    <w:rsid w:val="00BA2CA9"/>
    <w:rsid w:val="00BA3F48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2294"/>
    <w:rsid w:val="00BB2F7A"/>
    <w:rsid w:val="00BB35CB"/>
    <w:rsid w:val="00BB3D35"/>
    <w:rsid w:val="00BB47C3"/>
    <w:rsid w:val="00BB5A50"/>
    <w:rsid w:val="00BB5DFF"/>
    <w:rsid w:val="00BB69E2"/>
    <w:rsid w:val="00BC0829"/>
    <w:rsid w:val="00BC13AB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4F12"/>
    <w:rsid w:val="00BE509C"/>
    <w:rsid w:val="00BE74E0"/>
    <w:rsid w:val="00BE774D"/>
    <w:rsid w:val="00BF127F"/>
    <w:rsid w:val="00BF30FF"/>
    <w:rsid w:val="00BF349D"/>
    <w:rsid w:val="00BF34ED"/>
    <w:rsid w:val="00BF44F3"/>
    <w:rsid w:val="00BF58E0"/>
    <w:rsid w:val="00BF6A98"/>
    <w:rsid w:val="00BF6B5C"/>
    <w:rsid w:val="00BF6F78"/>
    <w:rsid w:val="00C00120"/>
    <w:rsid w:val="00C00A28"/>
    <w:rsid w:val="00C00B75"/>
    <w:rsid w:val="00C01157"/>
    <w:rsid w:val="00C01269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546D"/>
    <w:rsid w:val="00C1598E"/>
    <w:rsid w:val="00C160E8"/>
    <w:rsid w:val="00C16220"/>
    <w:rsid w:val="00C1658E"/>
    <w:rsid w:val="00C2080B"/>
    <w:rsid w:val="00C20ED8"/>
    <w:rsid w:val="00C2285C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302B6"/>
    <w:rsid w:val="00C31341"/>
    <w:rsid w:val="00C313E3"/>
    <w:rsid w:val="00C31D33"/>
    <w:rsid w:val="00C32786"/>
    <w:rsid w:val="00C32C00"/>
    <w:rsid w:val="00C34E9B"/>
    <w:rsid w:val="00C35A6F"/>
    <w:rsid w:val="00C378CB"/>
    <w:rsid w:val="00C402A4"/>
    <w:rsid w:val="00C40919"/>
    <w:rsid w:val="00C40969"/>
    <w:rsid w:val="00C4231B"/>
    <w:rsid w:val="00C42B39"/>
    <w:rsid w:val="00C4316F"/>
    <w:rsid w:val="00C43209"/>
    <w:rsid w:val="00C442ED"/>
    <w:rsid w:val="00C4519F"/>
    <w:rsid w:val="00C45766"/>
    <w:rsid w:val="00C479BB"/>
    <w:rsid w:val="00C47FDC"/>
    <w:rsid w:val="00C5030C"/>
    <w:rsid w:val="00C50361"/>
    <w:rsid w:val="00C5077B"/>
    <w:rsid w:val="00C50E5F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EE1"/>
    <w:rsid w:val="00C72252"/>
    <w:rsid w:val="00C72AA7"/>
    <w:rsid w:val="00C7577B"/>
    <w:rsid w:val="00C75BF9"/>
    <w:rsid w:val="00C77624"/>
    <w:rsid w:val="00C77B5B"/>
    <w:rsid w:val="00C8051D"/>
    <w:rsid w:val="00C809F2"/>
    <w:rsid w:val="00C80BFD"/>
    <w:rsid w:val="00C81007"/>
    <w:rsid w:val="00C8154A"/>
    <w:rsid w:val="00C81DC4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17D9"/>
    <w:rsid w:val="00C91B9F"/>
    <w:rsid w:val="00C91D56"/>
    <w:rsid w:val="00C92BC6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C2E"/>
    <w:rsid w:val="00CA4805"/>
    <w:rsid w:val="00CA4C2C"/>
    <w:rsid w:val="00CA5659"/>
    <w:rsid w:val="00CA6239"/>
    <w:rsid w:val="00CA6C6E"/>
    <w:rsid w:val="00CA7571"/>
    <w:rsid w:val="00CA7D40"/>
    <w:rsid w:val="00CB028C"/>
    <w:rsid w:val="00CB0B59"/>
    <w:rsid w:val="00CB2174"/>
    <w:rsid w:val="00CB27CA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BA5"/>
    <w:rsid w:val="00CB669E"/>
    <w:rsid w:val="00CB6802"/>
    <w:rsid w:val="00CB6A1B"/>
    <w:rsid w:val="00CC0269"/>
    <w:rsid w:val="00CC041C"/>
    <w:rsid w:val="00CC0C1C"/>
    <w:rsid w:val="00CC1D2B"/>
    <w:rsid w:val="00CC2A55"/>
    <w:rsid w:val="00CC2C1A"/>
    <w:rsid w:val="00CC438F"/>
    <w:rsid w:val="00CC56B9"/>
    <w:rsid w:val="00CC5F86"/>
    <w:rsid w:val="00CC7989"/>
    <w:rsid w:val="00CC7D5A"/>
    <w:rsid w:val="00CD13D3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5EE"/>
    <w:rsid w:val="00CE05F3"/>
    <w:rsid w:val="00CE1708"/>
    <w:rsid w:val="00CE1969"/>
    <w:rsid w:val="00CE1C36"/>
    <w:rsid w:val="00CE1E89"/>
    <w:rsid w:val="00CE37AF"/>
    <w:rsid w:val="00CE3EF6"/>
    <w:rsid w:val="00CE3F5B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64DF"/>
    <w:rsid w:val="00CF6840"/>
    <w:rsid w:val="00CF7757"/>
    <w:rsid w:val="00CF7C03"/>
    <w:rsid w:val="00D0339D"/>
    <w:rsid w:val="00D037F3"/>
    <w:rsid w:val="00D04086"/>
    <w:rsid w:val="00D041A7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88F"/>
    <w:rsid w:val="00D15C91"/>
    <w:rsid w:val="00D16592"/>
    <w:rsid w:val="00D16E49"/>
    <w:rsid w:val="00D171FE"/>
    <w:rsid w:val="00D17E3C"/>
    <w:rsid w:val="00D206E4"/>
    <w:rsid w:val="00D2084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2AA"/>
    <w:rsid w:val="00D35887"/>
    <w:rsid w:val="00D36EA0"/>
    <w:rsid w:val="00D37A44"/>
    <w:rsid w:val="00D40CD4"/>
    <w:rsid w:val="00D4132F"/>
    <w:rsid w:val="00D41D62"/>
    <w:rsid w:val="00D42150"/>
    <w:rsid w:val="00D421F4"/>
    <w:rsid w:val="00D424FD"/>
    <w:rsid w:val="00D43044"/>
    <w:rsid w:val="00D4305E"/>
    <w:rsid w:val="00D43807"/>
    <w:rsid w:val="00D4431C"/>
    <w:rsid w:val="00D44C6D"/>
    <w:rsid w:val="00D44DC9"/>
    <w:rsid w:val="00D46BC2"/>
    <w:rsid w:val="00D47115"/>
    <w:rsid w:val="00D471B4"/>
    <w:rsid w:val="00D47518"/>
    <w:rsid w:val="00D47EC2"/>
    <w:rsid w:val="00D508CE"/>
    <w:rsid w:val="00D50D06"/>
    <w:rsid w:val="00D50FAB"/>
    <w:rsid w:val="00D53AE0"/>
    <w:rsid w:val="00D54D59"/>
    <w:rsid w:val="00D55475"/>
    <w:rsid w:val="00D5617E"/>
    <w:rsid w:val="00D57014"/>
    <w:rsid w:val="00D57E32"/>
    <w:rsid w:val="00D602F2"/>
    <w:rsid w:val="00D62B7E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70709"/>
    <w:rsid w:val="00D70C1F"/>
    <w:rsid w:val="00D7185F"/>
    <w:rsid w:val="00D723CD"/>
    <w:rsid w:val="00D72F0D"/>
    <w:rsid w:val="00D73171"/>
    <w:rsid w:val="00D7328E"/>
    <w:rsid w:val="00D73733"/>
    <w:rsid w:val="00D75FD8"/>
    <w:rsid w:val="00D761AA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418"/>
    <w:rsid w:val="00D84F8F"/>
    <w:rsid w:val="00D86B23"/>
    <w:rsid w:val="00D86EA4"/>
    <w:rsid w:val="00D90F9D"/>
    <w:rsid w:val="00D921A2"/>
    <w:rsid w:val="00D922CE"/>
    <w:rsid w:val="00D92B68"/>
    <w:rsid w:val="00D937AD"/>
    <w:rsid w:val="00D94AB4"/>
    <w:rsid w:val="00D94E2C"/>
    <w:rsid w:val="00D951F3"/>
    <w:rsid w:val="00D95F7F"/>
    <w:rsid w:val="00D962F2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D2F"/>
    <w:rsid w:val="00DA5D79"/>
    <w:rsid w:val="00DA5E3D"/>
    <w:rsid w:val="00DA6BEC"/>
    <w:rsid w:val="00DA7877"/>
    <w:rsid w:val="00DA7B5F"/>
    <w:rsid w:val="00DB05A6"/>
    <w:rsid w:val="00DB0A62"/>
    <w:rsid w:val="00DB12CA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D95"/>
    <w:rsid w:val="00DC1ED0"/>
    <w:rsid w:val="00DC37CE"/>
    <w:rsid w:val="00DC3EB3"/>
    <w:rsid w:val="00DC3EC5"/>
    <w:rsid w:val="00DC4A35"/>
    <w:rsid w:val="00DC4AC0"/>
    <w:rsid w:val="00DC4DDF"/>
    <w:rsid w:val="00DC5C31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12B4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7047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BC0"/>
    <w:rsid w:val="00E002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9A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EA8"/>
    <w:rsid w:val="00E25A23"/>
    <w:rsid w:val="00E25A92"/>
    <w:rsid w:val="00E25E27"/>
    <w:rsid w:val="00E26756"/>
    <w:rsid w:val="00E26C78"/>
    <w:rsid w:val="00E26CF2"/>
    <w:rsid w:val="00E26F55"/>
    <w:rsid w:val="00E27C22"/>
    <w:rsid w:val="00E304A4"/>
    <w:rsid w:val="00E30692"/>
    <w:rsid w:val="00E317EA"/>
    <w:rsid w:val="00E32723"/>
    <w:rsid w:val="00E32B7A"/>
    <w:rsid w:val="00E3302E"/>
    <w:rsid w:val="00E33931"/>
    <w:rsid w:val="00E339D5"/>
    <w:rsid w:val="00E33C57"/>
    <w:rsid w:val="00E34506"/>
    <w:rsid w:val="00E34ADB"/>
    <w:rsid w:val="00E34B71"/>
    <w:rsid w:val="00E3560A"/>
    <w:rsid w:val="00E363C7"/>
    <w:rsid w:val="00E364B6"/>
    <w:rsid w:val="00E36D02"/>
    <w:rsid w:val="00E3713D"/>
    <w:rsid w:val="00E37E63"/>
    <w:rsid w:val="00E4053C"/>
    <w:rsid w:val="00E40BD3"/>
    <w:rsid w:val="00E40E1B"/>
    <w:rsid w:val="00E41A31"/>
    <w:rsid w:val="00E426B1"/>
    <w:rsid w:val="00E428E1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AD2"/>
    <w:rsid w:val="00E57B19"/>
    <w:rsid w:val="00E60790"/>
    <w:rsid w:val="00E60874"/>
    <w:rsid w:val="00E610DE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8C3"/>
    <w:rsid w:val="00E724A2"/>
    <w:rsid w:val="00E726FF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81415"/>
    <w:rsid w:val="00E815A8"/>
    <w:rsid w:val="00E81D1D"/>
    <w:rsid w:val="00E82FDA"/>
    <w:rsid w:val="00E846DD"/>
    <w:rsid w:val="00E8554D"/>
    <w:rsid w:val="00E85B18"/>
    <w:rsid w:val="00E91078"/>
    <w:rsid w:val="00E9110C"/>
    <w:rsid w:val="00E923F7"/>
    <w:rsid w:val="00E92FCA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82D"/>
    <w:rsid w:val="00EA3D04"/>
    <w:rsid w:val="00EA3FFA"/>
    <w:rsid w:val="00EA491F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6AE9"/>
    <w:rsid w:val="00EB7B33"/>
    <w:rsid w:val="00EB7FFA"/>
    <w:rsid w:val="00EC0436"/>
    <w:rsid w:val="00EC1E2E"/>
    <w:rsid w:val="00EC1EA7"/>
    <w:rsid w:val="00EC356C"/>
    <w:rsid w:val="00EC3A69"/>
    <w:rsid w:val="00EC3DC6"/>
    <w:rsid w:val="00EC487E"/>
    <w:rsid w:val="00EC66C2"/>
    <w:rsid w:val="00ED2035"/>
    <w:rsid w:val="00ED35C8"/>
    <w:rsid w:val="00ED3DF1"/>
    <w:rsid w:val="00ED4E58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83C"/>
    <w:rsid w:val="00EE6FF1"/>
    <w:rsid w:val="00EE74C0"/>
    <w:rsid w:val="00EF08D7"/>
    <w:rsid w:val="00EF0F56"/>
    <w:rsid w:val="00EF120C"/>
    <w:rsid w:val="00EF1615"/>
    <w:rsid w:val="00EF22B5"/>
    <w:rsid w:val="00EF23EC"/>
    <w:rsid w:val="00EF250F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68A1"/>
    <w:rsid w:val="00F176B8"/>
    <w:rsid w:val="00F17D21"/>
    <w:rsid w:val="00F213A6"/>
    <w:rsid w:val="00F218D1"/>
    <w:rsid w:val="00F21E16"/>
    <w:rsid w:val="00F22A73"/>
    <w:rsid w:val="00F2324C"/>
    <w:rsid w:val="00F23CF2"/>
    <w:rsid w:val="00F258C5"/>
    <w:rsid w:val="00F26A50"/>
    <w:rsid w:val="00F30323"/>
    <w:rsid w:val="00F30DEA"/>
    <w:rsid w:val="00F30E40"/>
    <w:rsid w:val="00F324DE"/>
    <w:rsid w:val="00F33318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DA3"/>
    <w:rsid w:val="00F611CF"/>
    <w:rsid w:val="00F61ECE"/>
    <w:rsid w:val="00F61FA4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3026"/>
    <w:rsid w:val="00F7450B"/>
    <w:rsid w:val="00F74701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A221A"/>
    <w:rsid w:val="00FA2B69"/>
    <w:rsid w:val="00FA2DCB"/>
    <w:rsid w:val="00FA3EEF"/>
    <w:rsid w:val="00FA4801"/>
    <w:rsid w:val="00FA5838"/>
    <w:rsid w:val="00FA5E2C"/>
    <w:rsid w:val="00FA68DE"/>
    <w:rsid w:val="00FA6A1A"/>
    <w:rsid w:val="00FA766F"/>
    <w:rsid w:val="00FA7B36"/>
    <w:rsid w:val="00FA7C7D"/>
    <w:rsid w:val="00FB03A8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F2A"/>
    <w:rsid w:val="00FB43F4"/>
    <w:rsid w:val="00FB4877"/>
    <w:rsid w:val="00FB4CE3"/>
    <w:rsid w:val="00FB5131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C4E"/>
    <w:rsid w:val="00FD5904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DF1"/>
    <w:rsid w:val="00FE3FD3"/>
    <w:rsid w:val="00FE41FA"/>
    <w:rsid w:val="00FE4369"/>
    <w:rsid w:val="00FE4C61"/>
    <w:rsid w:val="00FE575C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e.boi.org.il/he/DataAndStatistics/Pages/MainPage.aspx?Level=3&amp;Sid=49&amp;SubjectType=2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e.boi.org.il/he/DataAndStatistics/Pages/MainPage.aspx?Level=2&amp;Sid=15&amp;SubjectType=1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66F4C-5DFD-46F1-90B4-597F1B5847F0}"/>
</file>

<file path=customXml/itemProps2.xml><?xml version="1.0" encoding="utf-8"?>
<ds:datastoreItem xmlns:ds="http://schemas.openxmlformats.org/officeDocument/2006/customXml" ds:itemID="{B94934E7-D2CA-48BF-91D9-B969ABB07EDE}"/>
</file>

<file path=customXml/itemProps3.xml><?xml version="1.0" encoding="utf-8"?>
<ds:datastoreItem xmlns:ds="http://schemas.openxmlformats.org/officeDocument/2006/customXml" ds:itemID="{A31D0766-F4A6-46DB-9CFA-EB04F5C4C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6154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2017-06-20T06:57:00Z</dcterms:created>
  <dcterms:modified xsi:type="dcterms:W3CDTF">2017-06-20T07:05:00Z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