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C82A93" w:rsidRPr="00963CBF" w:rsidTr="00045ACA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A93" w:rsidRPr="00963CBF" w:rsidRDefault="00C82A93" w:rsidP="00045ACA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963CBF">
              <w:rPr>
                <w:rFonts w:cs="David"/>
                <w:b/>
                <w:bCs/>
                <w:sz w:val="26"/>
                <w:szCs w:val="26"/>
                <w:rtl/>
              </w:rPr>
              <w:t>בנ</w:t>
            </w:r>
            <w:r w:rsidRPr="00963CBF"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ק </w:t>
            </w:r>
            <w:r w:rsidRPr="00963CBF">
              <w:rPr>
                <w:rFonts w:cs="David"/>
                <w:b/>
                <w:bCs/>
                <w:sz w:val="26"/>
                <w:szCs w:val="26"/>
                <w:rtl/>
              </w:rPr>
              <w:t>יש</w:t>
            </w:r>
            <w:r w:rsidRPr="00963CBF">
              <w:rPr>
                <w:rFonts w:cs="David" w:hint="cs"/>
                <w:b/>
                <w:bCs/>
                <w:sz w:val="26"/>
                <w:szCs w:val="26"/>
                <w:rtl/>
              </w:rPr>
              <w:t>ראל</w:t>
            </w:r>
          </w:p>
          <w:p w:rsidR="00C82A93" w:rsidRPr="00963CBF" w:rsidRDefault="00C82A93" w:rsidP="00045ACA">
            <w:pPr>
              <w:spacing w:line="360" w:lineRule="auto"/>
              <w:ind w:right="-101"/>
              <w:jc w:val="center"/>
              <w:rPr>
                <w:rFonts w:cs="David"/>
                <w:sz w:val="26"/>
                <w:szCs w:val="26"/>
              </w:rPr>
            </w:pPr>
            <w:r w:rsidRPr="00963CBF">
              <w:rPr>
                <w:rFonts w:cs="David"/>
                <w:sz w:val="26"/>
                <w:szCs w:val="26"/>
                <w:rtl/>
              </w:rPr>
              <w:t>דו</w:t>
            </w:r>
            <w:r w:rsidRPr="00963CBF">
              <w:rPr>
                <w:rFonts w:cs="David" w:hint="cs"/>
                <w:sz w:val="26"/>
                <w:szCs w:val="26"/>
                <w:rtl/>
              </w:rPr>
              <w:t>בר</w:t>
            </w:r>
            <w:r w:rsidRPr="00963CBF">
              <w:rPr>
                <w:rFonts w:cs="David"/>
                <w:sz w:val="26"/>
                <w:szCs w:val="26"/>
                <w:rtl/>
              </w:rPr>
              <w:t>ות</w:t>
            </w:r>
            <w:r w:rsidRPr="00963CBF">
              <w:rPr>
                <w:rFonts w:cs="David" w:hint="cs"/>
                <w:sz w:val="26"/>
                <w:szCs w:val="26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82A93" w:rsidRPr="00963CBF" w:rsidRDefault="00C82A93" w:rsidP="00045ACA">
            <w:pPr>
              <w:jc w:val="center"/>
              <w:rPr>
                <w:rFonts w:cs="David"/>
                <w:sz w:val="26"/>
                <w:szCs w:val="26"/>
              </w:rPr>
            </w:pPr>
            <w:r w:rsidRPr="00963CBF">
              <w:rPr>
                <w:rFonts w:cs="David"/>
                <w:noProof/>
                <w:sz w:val="26"/>
                <w:szCs w:val="26"/>
              </w:rPr>
              <w:drawing>
                <wp:inline distT="0" distB="0" distL="0" distR="0" wp14:anchorId="62DE3F9B" wp14:editId="033B1B31">
                  <wp:extent cx="1200150" cy="666750"/>
                  <wp:effectExtent l="0" t="0" r="0" b="0"/>
                  <wp:docPr id="1" name="תמונה 1" descr="60Y+bank_Color_RGB_300DPI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57F" w:rsidRDefault="0034657F" w:rsidP="0082396B">
            <w:pPr>
              <w:spacing w:line="360" w:lineRule="auto"/>
              <w:jc w:val="right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‏</w:t>
            </w:r>
            <w:r w:rsidR="00A9122F">
              <w:rPr>
                <w:rFonts w:cs="David" w:hint="cs"/>
                <w:sz w:val="26"/>
                <w:szCs w:val="26"/>
                <w:rtl/>
              </w:rPr>
              <w:t xml:space="preserve">ירושלים, </w:t>
            </w:r>
            <w:r w:rsidR="007322AC">
              <w:rPr>
                <w:rFonts w:cs="David" w:hint="cs"/>
                <w:sz w:val="26"/>
                <w:szCs w:val="26"/>
                <w:rtl/>
              </w:rPr>
              <w:t>כ"</w:t>
            </w:r>
            <w:r w:rsidR="0082396B">
              <w:rPr>
                <w:rFonts w:cs="David" w:hint="cs"/>
                <w:sz w:val="26"/>
                <w:szCs w:val="26"/>
                <w:rtl/>
              </w:rPr>
              <w:t>ה</w:t>
            </w:r>
            <w:r>
              <w:rPr>
                <w:rFonts w:cs="David"/>
                <w:sz w:val="26"/>
                <w:szCs w:val="26"/>
                <w:rtl/>
              </w:rPr>
              <w:t xml:space="preserve"> </w:t>
            </w:r>
            <w:r w:rsidR="007322AC">
              <w:rPr>
                <w:rFonts w:cs="David" w:hint="cs"/>
                <w:sz w:val="26"/>
                <w:szCs w:val="26"/>
                <w:rtl/>
              </w:rPr>
              <w:t>באב</w:t>
            </w:r>
            <w:r>
              <w:rPr>
                <w:rFonts w:cs="David"/>
                <w:sz w:val="26"/>
                <w:szCs w:val="26"/>
                <w:rtl/>
              </w:rPr>
              <w:t xml:space="preserve"> </w:t>
            </w:r>
            <w:r w:rsidR="00A9122F">
              <w:rPr>
                <w:rFonts w:cs="David" w:hint="cs"/>
                <w:sz w:val="26"/>
                <w:szCs w:val="26"/>
                <w:rtl/>
              </w:rPr>
              <w:t>ה</w:t>
            </w:r>
            <w:r>
              <w:rPr>
                <w:rFonts w:cs="David" w:hint="cs"/>
                <w:sz w:val="26"/>
                <w:szCs w:val="26"/>
                <w:rtl/>
              </w:rPr>
              <w:t>תשע</w:t>
            </w:r>
            <w:r>
              <w:rPr>
                <w:rFonts w:cs="David"/>
                <w:sz w:val="26"/>
                <w:szCs w:val="26"/>
                <w:rtl/>
              </w:rPr>
              <w:t>"</w:t>
            </w:r>
            <w:r>
              <w:rPr>
                <w:rFonts w:cs="David" w:hint="cs"/>
                <w:sz w:val="26"/>
                <w:szCs w:val="26"/>
                <w:rtl/>
              </w:rPr>
              <w:t>ה</w:t>
            </w:r>
          </w:p>
          <w:p w:rsidR="00C82A93" w:rsidRPr="00963CBF" w:rsidRDefault="00C82A93" w:rsidP="0082396B">
            <w:pPr>
              <w:spacing w:line="360" w:lineRule="auto"/>
              <w:jc w:val="right"/>
              <w:rPr>
                <w:rFonts w:cs="David"/>
                <w:sz w:val="26"/>
                <w:szCs w:val="26"/>
              </w:rPr>
            </w:pPr>
            <w:r w:rsidRPr="00963CBF">
              <w:rPr>
                <w:rFonts w:cs="David" w:hint="eastAsia"/>
                <w:sz w:val="26"/>
                <w:szCs w:val="26"/>
                <w:rtl/>
              </w:rPr>
              <w:t>‏‏</w:t>
            </w:r>
            <w:r w:rsidR="0034657F">
              <w:rPr>
                <w:rFonts w:cs="David" w:hint="cs"/>
                <w:sz w:val="26"/>
                <w:szCs w:val="26"/>
                <w:rtl/>
              </w:rPr>
              <w:t>‏</w:t>
            </w:r>
            <w:r w:rsidR="0082396B">
              <w:rPr>
                <w:rFonts w:cs="David" w:hint="cs"/>
                <w:sz w:val="26"/>
                <w:szCs w:val="26"/>
                <w:rtl/>
              </w:rPr>
              <w:t>10</w:t>
            </w:r>
            <w:r w:rsidR="0034657F">
              <w:rPr>
                <w:rFonts w:cs="David"/>
                <w:sz w:val="26"/>
                <w:szCs w:val="26"/>
                <w:rtl/>
              </w:rPr>
              <w:t xml:space="preserve"> </w:t>
            </w:r>
            <w:r w:rsidR="007322AC">
              <w:rPr>
                <w:rFonts w:cs="David" w:hint="cs"/>
                <w:sz w:val="26"/>
                <w:szCs w:val="26"/>
                <w:rtl/>
              </w:rPr>
              <w:t>באוגוסט</w:t>
            </w:r>
            <w:r w:rsidR="0034657F">
              <w:rPr>
                <w:rFonts w:cs="David"/>
                <w:sz w:val="26"/>
                <w:szCs w:val="26"/>
                <w:rtl/>
              </w:rPr>
              <w:t xml:space="preserve">, </w:t>
            </w:r>
            <w:r w:rsidR="007322AC">
              <w:rPr>
                <w:rFonts w:cs="David" w:hint="cs"/>
                <w:sz w:val="26"/>
                <w:szCs w:val="26"/>
                <w:rtl/>
              </w:rPr>
              <w:t>2015</w:t>
            </w:r>
          </w:p>
        </w:tc>
      </w:tr>
    </w:tbl>
    <w:p w:rsidR="00A62332" w:rsidRDefault="00A62332" w:rsidP="00C82A93">
      <w:pPr>
        <w:spacing w:line="360" w:lineRule="auto"/>
        <w:ind w:right="-101"/>
        <w:rPr>
          <w:rFonts w:cs="David"/>
          <w:sz w:val="24"/>
          <w:szCs w:val="24"/>
          <w:rtl/>
        </w:rPr>
      </w:pPr>
    </w:p>
    <w:p w:rsidR="00C82A93" w:rsidRPr="00A9122F" w:rsidRDefault="00C82A93" w:rsidP="00C82A93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A9122F">
        <w:rPr>
          <w:rFonts w:cs="David" w:hint="cs"/>
          <w:sz w:val="24"/>
          <w:szCs w:val="24"/>
          <w:rtl/>
        </w:rPr>
        <w:t>הודעה לעיתונות:</w:t>
      </w:r>
    </w:p>
    <w:p w:rsidR="00C64D96" w:rsidRPr="00683FAB" w:rsidRDefault="00C64D96" w:rsidP="00C64D96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683FAB">
        <w:rPr>
          <w:rFonts w:cs="David" w:hint="cs"/>
          <w:b/>
          <w:bCs/>
          <w:sz w:val="26"/>
          <w:szCs w:val="26"/>
          <w:u w:val="single"/>
          <w:rtl/>
        </w:rPr>
        <w:t xml:space="preserve">הרצאת נגידת בנק ישראל </w:t>
      </w:r>
      <w:r>
        <w:rPr>
          <w:rFonts w:cs="David" w:hint="cs"/>
          <w:b/>
          <w:bCs/>
          <w:sz w:val="26"/>
          <w:szCs w:val="26"/>
          <w:u w:val="single"/>
          <w:rtl/>
        </w:rPr>
        <w:t>בבית המשפט העליון בירושלים</w:t>
      </w:r>
    </w:p>
    <w:p w:rsidR="00C64D96" w:rsidRPr="00ED2A63" w:rsidRDefault="00C64D96" w:rsidP="000F7BA8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ED2A63">
        <w:rPr>
          <w:rFonts w:cs="David" w:hint="cs"/>
          <w:b/>
          <w:bCs/>
          <w:sz w:val="28"/>
          <w:szCs w:val="28"/>
          <w:u w:val="single"/>
          <w:rtl/>
        </w:rPr>
        <w:t>"ה</w:t>
      </w:r>
      <w:r w:rsidR="000F7BA8">
        <w:rPr>
          <w:rFonts w:cs="David" w:hint="cs"/>
          <w:b/>
          <w:bCs/>
          <w:sz w:val="28"/>
          <w:szCs w:val="28"/>
          <w:u w:val="single"/>
          <w:rtl/>
        </w:rPr>
        <w:t>כלכלה הישראלית במבט מקרו כלכלי</w:t>
      </w:r>
      <w:r w:rsidRPr="00ED2A63">
        <w:rPr>
          <w:rFonts w:cs="David" w:hint="cs"/>
          <w:b/>
          <w:bCs/>
          <w:sz w:val="28"/>
          <w:szCs w:val="28"/>
          <w:u w:val="single"/>
          <w:rtl/>
        </w:rPr>
        <w:t>"</w:t>
      </w:r>
    </w:p>
    <w:p w:rsidR="0034657F" w:rsidRPr="0051168D" w:rsidRDefault="0034657F" w:rsidP="00ED0B71">
      <w:pPr>
        <w:spacing w:line="360" w:lineRule="auto"/>
        <w:jc w:val="both"/>
        <w:rPr>
          <w:rFonts w:cs="David"/>
          <w:i/>
          <w:iCs/>
          <w:sz w:val="24"/>
          <w:szCs w:val="24"/>
          <w:rtl/>
        </w:rPr>
      </w:pPr>
      <w:r w:rsidRPr="0051168D">
        <w:rPr>
          <w:rFonts w:cs="David" w:hint="cs"/>
          <w:i/>
          <w:iCs/>
          <w:sz w:val="24"/>
          <w:szCs w:val="24"/>
          <w:rtl/>
        </w:rPr>
        <w:t>נגידת בנק ישראל, ד"ר קרנית פלוג</w:t>
      </w:r>
      <w:r w:rsidR="00467066">
        <w:rPr>
          <w:rFonts w:cs="David" w:hint="cs"/>
          <w:i/>
          <w:iCs/>
          <w:sz w:val="24"/>
          <w:szCs w:val="24"/>
          <w:rtl/>
        </w:rPr>
        <w:t xml:space="preserve"> הרצתה בפורום מתמחים</w:t>
      </w:r>
      <w:r w:rsidR="00D27EBC" w:rsidRPr="0051168D">
        <w:rPr>
          <w:rFonts w:cs="David" w:hint="cs"/>
          <w:i/>
          <w:iCs/>
          <w:sz w:val="24"/>
          <w:szCs w:val="24"/>
          <w:rtl/>
        </w:rPr>
        <w:t xml:space="preserve"> </w:t>
      </w:r>
      <w:r w:rsidR="00C64D96" w:rsidRPr="0051168D">
        <w:rPr>
          <w:rFonts w:cs="David" w:hint="cs"/>
          <w:i/>
          <w:iCs/>
          <w:sz w:val="24"/>
          <w:szCs w:val="24"/>
          <w:rtl/>
        </w:rPr>
        <w:t xml:space="preserve">בבית המשפט העליון </w:t>
      </w:r>
      <w:r w:rsidR="007322AC" w:rsidRPr="0051168D">
        <w:rPr>
          <w:rFonts w:cs="David" w:hint="cs"/>
          <w:i/>
          <w:iCs/>
          <w:sz w:val="24"/>
          <w:szCs w:val="24"/>
          <w:rtl/>
        </w:rPr>
        <w:t>בירושלים</w:t>
      </w:r>
      <w:r w:rsidR="00D27EBC" w:rsidRPr="0051168D">
        <w:rPr>
          <w:rFonts w:cs="David" w:hint="cs"/>
          <w:i/>
          <w:iCs/>
          <w:sz w:val="24"/>
          <w:szCs w:val="24"/>
          <w:rtl/>
        </w:rPr>
        <w:t xml:space="preserve">. בראשית דבריה התייחסה למצב המאקרו כלכלי במשק, ובהמשך דנה </w:t>
      </w:r>
      <w:proofErr w:type="spellStart"/>
      <w:r w:rsidR="00D27EBC" w:rsidRPr="0051168D">
        <w:rPr>
          <w:rFonts w:cs="David" w:hint="cs"/>
          <w:i/>
          <w:iCs/>
          <w:sz w:val="24"/>
          <w:szCs w:val="24"/>
          <w:rtl/>
        </w:rPr>
        <w:t>בחוזקות</w:t>
      </w:r>
      <w:proofErr w:type="spellEnd"/>
      <w:r w:rsidR="00D27EBC" w:rsidRPr="0051168D">
        <w:rPr>
          <w:rFonts w:cs="David" w:hint="cs"/>
          <w:i/>
          <w:iCs/>
          <w:sz w:val="24"/>
          <w:szCs w:val="24"/>
          <w:rtl/>
        </w:rPr>
        <w:t xml:space="preserve"> ובאתגרים העומדים בפני המשק </w:t>
      </w:r>
      <w:r w:rsidR="00851490">
        <w:rPr>
          <w:rFonts w:cs="David" w:hint="cs"/>
          <w:i/>
          <w:iCs/>
          <w:sz w:val="24"/>
          <w:szCs w:val="24"/>
          <w:rtl/>
        </w:rPr>
        <w:t>הישראלי</w:t>
      </w:r>
      <w:r w:rsidR="00833E8A">
        <w:rPr>
          <w:rFonts w:cs="David" w:hint="cs"/>
          <w:i/>
          <w:iCs/>
          <w:sz w:val="24"/>
          <w:szCs w:val="24"/>
          <w:rtl/>
        </w:rPr>
        <w:t xml:space="preserve"> </w:t>
      </w:r>
      <w:r w:rsidR="00833E8A" w:rsidRPr="00833E8A">
        <w:rPr>
          <w:rFonts w:cs="David" w:hint="cs"/>
          <w:i/>
          <w:iCs/>
          <w:sz w:val="24"/>
          <w:szCs w:val="24"/>
          <w:rtl/>
        </w:rPr>
        <w:t>והתייחסה גם</w:t>
      </w:r>
      <w:r w:rsidR="00C64D96" w:rsidRPr="00833E8A">
        <w:rPr>
          <w:rFonts w:cs="David"/>
          <w:i/>
          <w:iCs/>
          <w:sz w:val="24"/>
          <w:szCs w:val="24"/>
          <w:rtl/>
        </w:rPr>
        <w:t xml:space="preserve"> </w:t>
      </w:r>
      <w:r w:rsidR="00C64D96" w:rsidRPr="00833E8A">
        <w:rPr>
          <w:rFonts w:cs="David" w:hint="cs"/>
          <w:i/>
          <w:iCs/>
          <w:sz w:val="24"/>
          <w:szCs w:val="24"/>
          <w:rtl/>
        </w:rPr>
        <w:t>למתווה</w:t>
      </w:r>
      <w:r w:rsidR="00C64D96" w:rsidRPr="00833E8A">
        <w:rPr>
          <w:rFonts w:cs="David"/>
          <w:i/>
          <w:iCs/>
          <w:sz w:val="24"/>
          <w:szCs w:val="24"/>
          <w:rtl/>
        </w:rPr>
        <w:t xml:space="preserve"> </w:t>
      </w:r>
      <w:r w:rsidR="00467066" w:rsidRPr="00833E8A">
        <w:rPr>
          <w:rFonts w:cs="David" w:hint="cs"/>
          <w:i/>
          <w:iCs/>
          <w:sz w:val="24"/>
          <w:szCs w:val="24"/>
          <w:rtl/>
        </w:rPr>
        <w:t>המתגבש</w:t>
      </w:r>
      <w:r w:rsidR="00467066" w:rsidRPr="00833E8A">
        <w:rPr>
          <w:rFonts w:cs="David"/>
          <w:i/>
          <w:iCs/>
          <w:sz w:val="24"/>
          <w:szCs w:val="24"/>
          <w:rtl/>
        </w:rPr>
        <w:t xml:space="preserve"> </w:t>
      </w:r>
      <w:r w:rsidR="00467066" w:rsidRPr="00833E8A">
        <w:rPr>
          <w:rFonts w:cs="David" w:hint="cs"/>
          <w:i/>
          <w:iCs/>
          <w:sz w:val="24"/>
          <w:szCs w:val="24"/>
          <w:rtl/>
        </w:rPr>
        <w:t>על</w:t>
      </w:r>
      <w:r w:rsidR="00467066" w:rsidRPr="00833E8A">
        <w:rPr>
          <w:rFonts w:cs="David"/>
          <w:i/>
          <w:iCs/>
          <w:sz w:val="24"/>
          <w:szCs w:val="24"/>
          <w:rtl/>
        </w:rPr>
        <w:t xml:space="preserve"> </w:t>
      </w:r>
      <w:r w:rsidR="00467066" w:rsidRPr="00833E8A">
        <w:rPr>
          <w:rFonts w:cs="David" w:hint="cs"/>
          <w:i/>
          <w:iCs/>
          <w:sz w:val="24"/>
          <w:szCs w:val="24"/>
          <w:rtl/>
        </w:rPr>
        <w:t>ידי</w:t>
      </w:r>
      <w:r w:rsidR="00C64D96" w:rsidRPr="00833E8A">
        <w:rPr>
          <w:rFonts w:cs="David"/>
          <w:i/>
          <w:iCs/>
          <w:sz w:val="24"/>
          <w:szCs w:val="24"/>
          <w:rtl/>
        </w:rPr>
        <w:t xml:space="preserve"> </w:t>
      </w:r>
      <w:r w:rsidR="00C64D96" w:rsidRPr="00833E8A">
        <w:rPr>
          <w:rFonts w:cs="David" w:hint="cs"/>
          <w:i/>
          <w:iCs/>
          <w:sz w:val="24"/>
          <w:szCs w:val="24"/>
          <w:rtl/>
        </w:rPr>
        <w:t>הצוות</w:t>
      </w:r>
      <w:r w:rsidR="00C64D96" w:rsidRPr="00833E8A">
        <w:rPr>
          <w:rFonts w:cs="David"/>
          <w:i/>
          <w:iCs/>
          <w:sz w:val="24"/>
          <w:szCs w:val="24"/>
          <w:rtl/>
        </w:rPr>
        <w:t xml:space="preserve"> </w:t>
      </w:r>
      <w:r w:rsidR="00C64D96" w:rsidRPr="00833E8A">
        <w:rPr>
          <w:rFonts w:cs="David" w:hint="cs"/>
          <w:i/>
          <w:iCs/>
          <w:sz w:val="24"/>
          <w:szCs w:val="24"/>
          <w:rtl/>
        </w:rPr>
        <w:t>הבין</w:t>
      </w:r>
      <w:r w:rsidR="00C64D96" w:rsidRPr="00833E8A">
        <w:rPr>
          <w:rFonts w:cs="David"/>
          <w:i/>
          <w:iCs/>
          <w:sz w:val="24"/>
          <w:szCs w:val="24"/>
          <w:rtl/>
        </w:rPr>
        <w:t>-</w:t>
      </w:r>
      <w:r w:rsidR="00C64D96" w:rsidRPr="00833E8A">
        <w:rPr>
          <w:rFonts w:cs="David" w:hint="cs"/>
          <w:i/>
          <w:iCs/>
          <w:sz w:val="24"/>
          <w:szCs w:val="24"/>
          <w:rtl/>
        </w:rPr>
        <w:t>משרדי</w:t>
      </w:r>
      <w:r w:rsidR="00C64D96" w:rsidRPr="00833E8A">
        <w:rPr>
          <w:rFonts w:cs="David"/>
          <w:i/>
          <w:iCs/>
          <w:sz w:val="24"/>
          <w:szCs w:val="24"/>
          <w:rtl/>
        </w:rPr>
        <w:t xml:space="preserve"> </w:t>
      </w:r>
      <w:r w:rsidR="00C64D96" w:rsidRPr="00833E8A">
        <w:rPr>
          <w:rFonts w:cs="David" w:hint="cs"/>
          <w:i/>
          <w:iCs/>
          <w:sz w:val="24"/>
          <w:szCs w:val="24"/>
          <w:rtl/>
        </w:rPr>
        <w:t>שעסק</w:t>
      </w:r>
      <w:r w:rsidR="00C64D96" w:rsidRPr="00833E8A">
        <w:rPr>
          <w:rFonts w:cs="David"/>
          <w:i/>
          <w:iCs/>
          <w:sz w:val="24"/>
          <w:szCs w:val="24"/>
          <w:rtl/>
        </w:rPr>
        <w:t xml:space="preserve"> </w:t>
      </w:r>
      <w:r w:rsidR="00C64D96" w:rsidRPr="00833E8A">
        <w:rPr>
          <w:rFonts w:cs="David" w:hint="cs"/>
          <w:i/>
          <w:iCs/>
          <w:sz w:val="24"/>
          <w:szCs w:val="24"/>
          <w:rtl/>
        </w:rPr>
        <w:t>בנושא</w:t>
      </w:r>
      <w:r w:rsidR="007322AC" w:rsidRPr="00833E8A">
        <w:rPr>
          <w:rFonts w:cs="David"/>
          <w:i/>
          <w:iCs/>
          <w:sz w:val="24"/>
          <w:szCs w:val="24"/>
          <w:rtl/>
        </w:rPr>
        <w:t xml:space="preserve"> </w:t>
      </w:r>
      <w:r w:rsidR="007322AC" w:rsidRPr="00833E8A">
        <w:rPr>
          <w:rFonts w:cs="David" w:hint="cs"/>
          <w:i/>
          <w:iCs/>
          <w:sz w:val="24"/>
          <w:szCs w:val="24"/>
          <w:rtl/>
        </w:rPr>
        <w:t>פיתוח</w:t>
      </w:r>
      <w:r w:rsidR="007322AC" w:rsidRPr="00833E8A">
        <w:rPr>
          <w:rFonts w:cs="David"/>
          <w:i/>
          <w:iCs/>
          <w:sz w:val="24"/>
          <w:szCs w:val="24"/>
          <w:rtl/>
        </w:rPr>
        <w:t xml:space="preserve"> </w:t>
      </w:r>
      <w:r w:rsidR="007322AC" w:rsidRPr="00833E8A">
        <w:rPr>
          <w:rFonts w:cs="David" w:hint="cs"/>
          <w:i/>
          <w:iCs/>
          <w:sz w:val="24"/>
          <w:szCs w:val="24"/>
          <w:rtl/>
        </w:rPr>
        <w:t>מאגרי</w:t>
      </w:r>
      <w:r w:rsidR="007322AC" w:rsidRPr="00833E8A">
        <w:rPr>
          <w:rFonts w:cs="David"/>
          <w:i/>
          <w:iCs/>
          <w:sz w:val="24"/>
          <w:szCs w:val="24"/>
          <w:rtl/>
        </w:rPr>
        <w:t xml:space="preserve"> </w:t>
      </w:r>
      <w:r w:rsidR="007322AC" w:rsidRPr="00833E8A">
        <w:rPr>
          <w:rFonts w:cs="David" w:hint="cs"/>
          <w:i/>
          <w:iCs/>
          <w:sz w:val="24"/>
          <w:szCs w:val="24"/>
          <w:rtl/>
        </w:rPr>
        <w:t>הגז</w:t>
      </w:r>
      <w:r w:rsidR="00C64D96" w:rsidRPr="00833E8A">
        <w:rPr>
          <w:rFonts w:cs="David"/>
          <w:i/>
          <w:iCs/>
          <w:sz w:val="24"/>
          <w:szCs w:val="24"/>
          <w:rtl/>
        </w:rPr>
        <w:t xml:space="preserve"> </w:t>
      </w:r>
      <w:r w:rsidR="00C64D96" w:rsidRPr="00833E8A">
        <w:rPr>
          <w:rFonts w:cs="David" w:hint="cs"/>
          <w:i/>
          <w:iCs/>
          <w:sz w:val="24"/>
          <w:szCs w:val="24"/>
          <w:rtl/>
        </w:rPr>
        <w:t>וחברות</w:t>
      </w:r>
      <w:r w:rsidR="00C64D96" w:rsidRPr="00833E8A">
        <w:rPr>
          <w:rFonts w:cs="David"/>
          <w:i/>
          <w:iCs/>
          <w:sz w:val="24"/>
          <w:szCs w:val="24"/>
          <w:rtl/>
        </w:rPr>
        <w:t xml:space="preserve"> </w:t>
      </w:r>
      <w:r w:rsidR="00C64D96" w:rsidRPr="00833E8A">
        <w:rPr>
          <w:rFonts w:cs="David" w:hint="cs"/>
          <w:i/>
          <w:iCs/>
          <w:sz w:val="24"/>
          <w:szCs w:val="24"/>
          <w:rtl/>
        </w:rPr>
        <w:t>הגז</w:t>
      </w:r>
      <w:r w:rsidR="00D27EBC" w:rsidRPr="00833E8A">
        <w:rPr>
          <w:rFonts w:cs="David" w:hint="cs"/>
          <w:i/>
          <w:iCs/>
          <w:sz w:val="24"/>
          <w:szCs w:val="24"/>
          <w:rtl/>
        </w:rPr>
        <w:t xml:space="preserve">. להלן עיקרי דבריה. </w:t>
      </w:r>
      <w:r w:rsidR="00DE54E8" w:rsidRPr="00833E8A">
        <w:rPr>
          <w:rFonts w:cs="David" w:hint="cs"/>
          <w:i/>
          <w:iCs/>
          <w:sz w:val="24"/>
          <w:szCs w:val="24"/>
          <w:rtl/>
        </w:rPr>
        <w:t>המצגת אותה הציגה מצורפת.</w:t>
      </w:r>
      <w:r w:rsidR="00DE54E8" w:rsidRPr="0051168D">
        <w:rPr>
          <w:rFonts w:cs="David" w:hint="cs"/>
          <w:i/>
          <w:iCs/>
          <w:sz w:val="24"/>
          <w:szCs w:val="24"/>
          <w:rtl/>
        </w:rPr>
        <w:t xml:space="preserve"> </w:t>
      </w:r>
    </w:p>
    <w:p w:rsidR="00D27EBC" w:rsidRPr="0051168D" w:rsidRDefault="00D27EBC" w:rsidP="00942FBA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51168D">
        <w:rPr>
          <w:rFonts w:cs="David" w:hint="cs"/>
          <w:sz w:val="24"/>
          <w:szCs w:val="24"/>
          <w:rtl/>
        </w:rPr>
        <w:t xml:space="preserve">המשק הישראלי הוא משק פתוח המושפע מאוד מההתפתחויות בחו"ל, מה שבא לידי ביטוי גם </w:t>
      </w:r>
      <w:bookmarkStart w:id="0" w:name="_GoBack"/>
      <w:bookmarkEnd w:id="0"/>
      <w:r w:rsidRPr="0051168D">
        <w:rPr>
          <w:rFonts w:cs="David" w:hint="cs"/>
          <w:sz w:val="24"/>
          <w:szCs w:val="24"/>
          <w:rtl/>
        </w:rPr>
        <w:t xml:space="preserve">בשיעורי הצמיחה במשק, שהם מתואמים </w:t>
      </w:r>
      <w:r w:rsidR="00942FBA" w:rsidRPr="0051168D">
        <w:rPr>
          <w:rFonts w:cs="David" w:hint="cs"/>
          <w:sz w:val="24"/>
          <w:szCs w:val="24"/>
          <w:rtl/>
        </w:rPr>
        <w:t xml:space="preserve">מאוד </w:t>
      </w:r>
      <w:r w:rsidRPr="0051168D">
        <w:rPr>
          <w:rFonts w:cs="David" w:hint="cs"/>
          <w:sz w:val="24"/>
          <w:szCs w:val="24"/>
          <w:rtl/>
        </w:rPr>
        <w:t xml:space="preserve">עם אלו שבעולם (שקף 2). ההשפעה של הפעילות בחו"ל באה לידי ביטוי בעיקר דרך הסחר </w:t>
      </w:r>
      <w:r w:rsidR="0013333B" w:rsidRPr="0051168D">
        <w:rPr>
          <w:rFonts w:cs="David" w:hint="cs"/>
          <w:sz w:val="24"/>
          <w:szCs w:val="24"/>
          <w:rtl/>
        </w:rPr>
        <w:t>העולמי, אשר</w:t>
      </w:r>
      <w:r w:rsidRPr="0051168D">
        <w:rPr>
          <w:rFonts w:cs="David" w:hint="cs"/>
          <w:sz w:val="24"/>
          <w:szCs w:val="24"/>
          <w:rtl/>
        </w:rPr>
        <w:t xml:space="preserve"> משפיע על הביקוש ליצוא הישראלי, הן בסחורות והן בשירותים (שקף 3). יצוא הסחורות נמצא בקיפאון</w:t>
      </w:r>
      <w:r w:rsidR="002934A1" w:rsidRPr="0051168D">
        <w:rPr>
          <w:rFonts w:cs="David" w:hint="cs"/>
          <w:sz w:val="24"/>
          <w:szCs w:val="24"/>
          <w:rtl/>
        </w:rPr>
        <w:t xml:space="preserve">, על רקע הקיפאון בסחר העולמי </w:t>
      </w:r>
      <w:r w:rsidRPr="0051168D">
        <w:rPr>
          <w:rFonts w:cs="David"/>
          <w:sz w:val="24"/>
          <w:szCs w:val="24"/>
          <w:rtl/>
        </w:rPr>
        <w:t>–</w:t>
      </w:r>
      <w:r w:rsidRPr="0051168D">
        <w:rPr>
          <w:rFonts w:cs="David" w:hint="cs"/>
          <w:sz w:val="24"/>
          <w:szCs w:val="24"/>
          <w:rtl/>
        </w:rPr>
        <w:t xml:space="preserve"> הוא ירד מעט ב-2013 והתאושש קלות במהלך 2014. יצוא השירותים </w:t>
      </w:r>
      <w:r w:rsidR="00942FBA" w:rsidRPr="0051168D">
        <w:rPr>
          <w:rFonts w:cs="David" w:hint="cs"/>
          <w:sz w:val="24"/>
          <w:szCs w:val="24"/>
          <w:rtl/>
        </w:rPr>
        <w:t xml:space="preserve">לעומת זאת, </w:t>
      </w:r>
      <w:r w:rsidRPr="0051168D">
        <w:rPr>
          <w:rFonts w:cs="David" w:hint="cs"/>
          <w:sz w:val="24"/>
          <w:szCs w:val="24"/>
          <w:rtl/>
        </w:rPr>
        <w:t xml:space="preserve">הפגין ביצועים טובים יותר מאשר הסחר העולמי. </w:t>
      </w:r>
    </w:p>
    <w:p w:rsidR="00D27EBC" w:rsidRPr="0051168D" w:rsidRDefault="00D27EBC" w:rsidP="00895B79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51168D">
        <w:rPr>
          <w:rFonts w:cs="David" w:hint="cs"/>
          <w:sz w:val="24"/>
          <w:szCs w:val="24"/>
          <w:rtl/>
        </w:rPr>
        <w:t xml:space="preserve">שוק העבודה נמצא במצב טוב (שקף </w:t>
      </w:r>
      <w:r w:rsidR="00942FBA" w:rsidRPr="0051168D">
        <w:rPr>
          <w:rFonts w:cs="David" w:hint="cs"/>
          <w:sz w:val="24"/>
          <w:szCs w:val="24"/>
          <w:rtl/>
        </w:rPr>
        <w:t>4</w:t>
      </w:r>
      <w:r w:rsidRPr="0051168D">
        <w:rPr>
          <w:rFonts w:cs="David" w:hint="cs"/>
          <w:sz w:val="24"/>
          <w:szCs w:val="24"/>
          <w:rtl/>
        </w:rPr>
        <w:t xml:space="preserve">) </w:t>
      </w:r>
      <w:r w:rsidRPr="0051168D">
        <w:rPr>
          <w:rFonts w:cs="David"/>
          <w:sz w:val="24"/>
          <w:szCs w:val="24"/>
          <w:rtl/>
        </w:rPr>
        <w:t>–</w:t>
      </w:r>
      <w:r w:rsidRPr="0051168D">
        <w:rPr>
          <w:rFonts w:cs="David" w:hint="cs"/>
          <w:sz w:val="24"/>
          <w:szCs w:val="24"/>
          <w:rtl/>
        </w:rPr>
        <w:t xml:space="preserve"> שיעור האבטלה  נמצא ברמות נמוכות מאוד, וזאת </w:t>
      </w:r>
      <w:r w:rsidR="00895B79">
        <w:rPr>
          <w:rFonts w:cs="David" w:hint="cs"/>
          <w:sz w:val="24"/>
          <w:szCs w:val="24"/>
          <w:rtl/>
        </w:rPr>
        <w:t>לצד</w:t>
      </w:r>
      <w:r w:rsidR="00895B79" w:rsidRPr="0051168D">
        <w:rPr>
          <w:rFonts w:cs="David" w:hint="cs"/>
          <w:sz w:val="24"/>
          <w:szCs w:val="24"/>
          <w:rtl/>
        </w:rPr>
        <w:t xml:space="preserve"> </w:t>
      </w:r>
      <w:r w:rsidRPr="0051168D">
        <w:rPr>
          <w:rFonts w:cs="David" w:hint="cs"/>
          <w:sz w:val="24"/>
          <w:szCs w:val="24"/>
          <w:rtl/>
        </w:rPr>
        <w:t xml:space="preserve">מגמה מתמשכת בשיעור ההשתתפות </w:t>
      </w:r>
      <w:r w:rsidR="00A9122F" w:rsidRPr="0051168D">
        <w:rPr>
          <w:rFonts w:cs="David" w:hint="cs"/>
          <w:sz w:val="24"/>
          <w:szCs w:val="24"/>
          <w:rtl/>
        </w:rPr>
        <w:t>בכוח</w:t>
      </w:r>
      <w:r w:rsidRPr="0051168D">
        <w:rPr>
          <w:rFonts w:cs="David" w:hint="cs"/>
          <w:sz w:val="24"/>
          <w:szCs w:val="24"/>
          <w:rtl/>
        </w:rPr>
        <w:t xml:space="preserve"> העבודה, </w:t>
      </w:r>
      <w:r w:rsidR="00467066">
        <w:rPr>
          <w:rFonts w:cs="David" w:hint="cs"/>
          <w:sz w:val="24"/>
          <w:szCs w:val="24"/>
          <w:rtl/>
        </w:rPr>
        <w:t>כאשר המצטרפים החדשים נקלטים בתעסוקה</w:t>
      </w:r>
      <w:r w:rsidR="00895B79">
        <w:rPr>
          <w:rFonts w:cs="David" w:hint="cs"/>
          <w:sz w:val="24"/>
          <w:szCs w:val="24"/>
          <w:rtl/>
        </w:rPr>
        <w:t>,</w:t>
      </w:r>
      <w:r w:rsidR="00467066">
        <w:rPr>
          <w:rFonts w:cs="David" w:hint="cs"/>
          <w:sz w:val="24"/>
          <w:szCs w:val="24"/>
          <w:rtl/>
        </w:rPr>
        <w:t xml:space="preserve"> </w:t>
      </w:r>
      <w:r w:rsidR="00895B79">
        <w:rPr>
          <w:rFonts w:cs="David" w:hint="cs"/>
          <w:sz w:val="24"/>
          <w:szCs w:val="24"/>
          <w:rtl/>
        </w:rPr>
        <w:t>דבר</w:t>
      </w:r>
      <w:r w:rsidR="00467066">
        <w:rPr>
          <w:rFonts w:cs="David" w:hint="cs"/>
          <w:sz w:val="24"/>
          <w:szCs w:val="24"/>
          <w:rtl/>
        </w:rPr>
        <w:t xml:space="preserve"> המשתקף ב</w:t>
      </w:r>
      <w:r w:rsidRPr="0051168D">
        <w:rPr>
          <w:rFonts w:cs="David" w:hint="cs"/>
          <w:sz w:val="24"/>
          <w:szCs w:val="24"/>
          <w:rtl/>
        </w:rPr>
        <w:t>מגמ</w:t>
      </w:r>
      <w:r w:rsidR="00467066">
        <w:rPr>
          <w:rFonts w:cs="David" w:hint="cs"/>
          <w:sz w:val="24"/>
          <w:szCs w:val="24"/>
          <w:rtl/>
        </w:rPr>
        <w:t>ת</w:t>
      </w:r>
      <w:r w:rsidRPr="0051168D">
        <w:rPr>
          <w:rFonts w:cs="David" w:hint="cs"/>
          <w:sz w:val="24"/>
          <w:szCs w:val="24"/>
          <w:rtl/>
        </w:rPr>
        <w:t xml:space="preserve"> </w:t>
      </w:r>
      <w:r w:rsidR="00467066">
        <w:rPr>
          <w:rFonts w:cs="David" w:hint="cs"/>
          <w:sz w:val="24"/>
          <w:szCs w:val="24"/>
          <w:rtl/>
        </w:rPr>
        <w:t>ה</w:t>
      </w:r>
      <w:r w:rsidRPr="0051168D">
        <w:rPr>
          <w:rFonts w:cs="David" w:hint="cs"/>
          <w:sz w:val="24"/>
          <w:szCs w:val="24"/>
          <w:rtl/>
        </w:rPr>
        <w:t xml:space="preserve">עלייה בשיעור התעסוקה. </w:t>
      </w:r>
      <w:r w:rsidR="00942FBA" w:rsidRPr="0051168D">
        <w:rPr>
          <w:rFonts w:cs="David" w:hint="cs"/>
          <w:sz w:val="24"/>
          <w:szCs w:val="24"/>
          <w:rtl/>
        </w:rPr>
        <w:t>התפתחות השכר הריאלי למשרת שכיר, מצביעה על עלייה מתונה בשנים האחרונות</w:t>
      </w:r>
      <w:r w:rsidR="00DE54E8" w:rsidRPr="0051168D">
        <w:rPr>
          <w:rFonts w:cs="David" w:hint="cs"/>
          <w:sz w:val="24"/>
          <w:szCs w:val="24"/>
          <w:rtl/>
        </w:rPr>
        <w:t xml:space="preserve"> </w:t>
      </w:r>
      <w:r w:rsidR="00467066">
        <w:rPr>
          <w:rFonts w:cs="David" w:hint="cs"/>
          <w:sz w:val="24"/>
          <w:szCs w:val="24"/>
          <w:rtl/>
        </w:rPr>
        <w:t>והאצה בשנה האחרונה</w:t>
      </w:r>
      <w:r w:rsidR="00833E8A">
        <w:rPr>
          <w:rFonts w:cs="David" w:hint="cs"/>
          <w:sz w:val="24"/>
          <w:szCs w:val="24"/>
          <w:rtl/>
        </w:rPr>
        <w:t xml:space="preserve"> </w:t>
      </w:r>
      <w:r w:rsidR="00DE54E8" w:rsidRPr="0051168D">
        <w:rPr>
          <w:rFonts w:cs="David" w:hint="cs"/>
          <w:sz w:val="24"/>
          <w:szCs w:val="24"/>
          <w:rtl/>
        </w:rPr>
        <w:t xml:space="preserve">(שקף </w:t>
      </w:r>
      <w:r w:rsidR="00942FBA" w:rsidRPr="0051168D">
        <w:rPr>
          <w:rFonts w:cs="David" w:hint="cs"/>
          <w:sz w:val="24"/>
          <w:szCs w:val="24"/>
          <w:rtl/>
        </w:rPr>
        <w:t>5</w:t>
      </w:r>
      <w:r w:rsidR="00DE54E8" w:rsidRPr="0051168D">
        <w:rPr>
          <w:rFonts w:cs="David" w:hint="cs"/>
          <w:sz w:val="24"/>
          <w:szCs w:val="24"/>
          <w:rtl/>
        </w:rPr>
        <w:t xml:space="preserve">). </w:t>
      </w:r>
    </w:p>
    <w:p w:rsidR="00A62332" w:rsidRPr="00A62332" w:rsidRDefault="00A62332" w:rsidP="00057F1C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A62332">
        <w:rPr>
          <w:rFonts w:cs="David" w:hint="cs"/>
          <w:b/>
          <w:bCs/>
          <w:sz w:val="24"/>
          <w:szCs w:val="24"/>
          <w:rtl/>
        </w:rPr>
        <w:t>המדיניות המוניטרית</w:t>
      </w:r>
    </w:p>
    <w:p w:rsidR="00DE54E8" w:rsidRDefault="00DE54E8" w:rsidP="00ED0B7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51168D">
        <w:rPr>
          <w:rFonts w:cs="David" w:hint="cs"/>
          <w:sz w:val="24"/>
          <w:szCs w:val="24"/>
          <w:rtl/>
        </w:rPr>
        <w:t xml:space="preserve">מדיניות בנק ישראל פועלת להשיג את יעדי בנק ישראל הקבועים בחוק. היעד העיקרי הוא השגת יציבות מחירים, כלומר, עמידה ביעד האינפלציה, ובכפוף </w:t>
      </w:r>
      <w:r w:rsidR="00467066">
        <w:rPr>
          <w:rFonts w:cs="David" w:hint="cs"/>
          <w:sz w:val="24"/>
          <w:szCs w:val="24"/>
          <w:rtl/>
        </w:rPr>
        <w:t xml:space="preserve">לכך, </w:t>
      </w:r>
      <w:r w:rsidR="00467066" w:rsidRPr="0051168D">
        <w:rPr>
          <w:rFonts w:cs="David" w:hint="cs"/>
          <w:sz w:val="24"/>
          <w:szCs w:val="24"/>
          <w:rtl/>
        </w:rPr>
        <w:t xml:space="preserve">תמיכה </w:t>
      </w:r>
      <w:r w:rsidRPr="0051168D">
        <w:rPr>
          <w:rFonts w:cs="David" w:hint="cs"/>
          <w:sz w:val="24"/>
          <w:szCs w:val="24"/>
          <w:rtl/>
        </w:rPr>
        <w:t xml:space="preserve">ביעדים הכלכליים האחרים, </w:t>
      </w:r>
      <w:r w:rsidR="00467066">
        <w:rPr>
          <w:rFonts w:cs="David" w:hint="cs"/>
          <w:sz w:val="24"/>
          <w:szCs w:val="24"/>
          <w:rtl/>
        </w:rPr>
        <w:t>ובראשם</w:t>
      </w:r>
      <w:r w:rsidR="00467066" w:rsidRPr="0051168D">
        <w:rPr>
          <w:rFonts w:cs="David" w:hint="cs"/>
          <w:sz w:val="24"/>
          <w:szCs w:val="24"/>
          <w:rtl/>
        </w:rPr>
        <w:t xml:space="preserve"> </w:t>
      </w:r>
      <w:r w:rsidRPr="0051168D">
        <w:rPr>
          <w:rFonts w:cs="David" w:hint="cs"/>
          <w:sz w:val="24"/>
          <w:szCs w:val="24"/>
          <w:rtl/>
        </w:rPr>
        <w:t xml:space="preserve">צמיחה, </w:t>
      </w:r>
      <w:r w:rsidR="00467066">
        <w:rPr>
          <w:rFonts w:cs="David" w:hint="cs"/>
          <w:sz w:val="24"/>
          <w:szCs w:val="24"/>
          <w:rtl/>
        </w:rPr>
        <w:t>ו</w:t>
      </w:r>
      <w:r w:rsidR="00467066" w:rsidRPr="0051168D">
        <w:rPr>
          <w:rFonts w:cs="David" w:hint="cs"/>
          <w:sz w:val="24"/>
          <w:szCs w:val="24"/>
          <w:rtl/>
        </w:rPr>
        <w:t>תעסוקה</w:t>
      </w:r>
      <w:r w:rsidRPr="0051168D">
        <w:rPr>
          <w:rFonts w:cs="David" w:hint="cs"/>
          <w:sz w:val="24"/>
          <w:szCs w:val="24"/>
          <w:rtl/>
        </w:rPr>
        <w:t>, ו</w:t>
      </w:r>
      <w:r w:rsidR="00467066">
        <w:rPr>
          <w:rFonts w:cs="David" w:hint="cs"/>
          <w:sz w:val="24"/>
          <w:szCs w:val="24"/>
          <w:rtl/>
        </w:rPr>
        <w:t>כן תמיכה ב</w:t>
      </w:r>
      <w:r w:rsidR="00467066" w:rsidRPr="0051168D">
        <w:rPr>
          <w:rFonts w:cs="David" w:hint="cs"/>
          <w:sz w:val="24"/>
          <w:szCs w:val="24"/>
          <w:rtl/>
        </w:rPr>
        <w:t xml:space="preserve">יציבות </w:t>
      </w:r>
      <w:r w:rsidRPr="0051168D">
        <w:rPr>
          <w:rFonts w:cs="David" w:hint="cs"/>
          <w:sz w:val="24"/>
          <w:szCs w:val="24"/>
          <w:rtl/>
        </w:rPr>
        <w:t>הפיננסית. בתקופה האחרונה שיעור האינפלציה מצוי מתחת ליעד, וב-12 החודשים האחרונים המחירים ירדו ב-0.</w:t>
      </w:r>
      <w:r w:rsidR="000D41F6" w:rsidRPr="0051168D">
        <w:rPr>
          <w:rFonts w:cs="David" w:hint="cs"/>
          <w:sz w:val="24"/>
          <w:szCs w:val="24"/>
          <w:rtl/>
        </w:rPr>
        <w:t>4%,</w:t>
      </w:r>
      <w:r w:rsidR="00681AA5">
        <w:rPr>
          <w:rFonts w:cs="David" w:hint="cs"/>
          <w:sz w:val="24"/>
          <w:szCs w:val="24"/>
          <w:rtl/>
        </w:rPr>
        <w:t xml:space="preserve"> </w:t>
      </w:r>
      <w:r w:rsidR="00833E8A">
        <w:rPr>
          <w:rFonts w:cs="David" w:hint="cs"/>
          <w:sz w:val="24"/>
          <w:szCs w:val="24"/>
          <w:rtl/>
        </w:rPr>
        <w:t>בעיקר עקב ירידת מחירי הדלק והסחורות;</w:t>
      </w:r>
      <w:r w:rsidR="000D41F6" w:rsidRPr="0051168D">
        <w:rPr>
          <w:rFonts w:cs="David" w:hint="cs"/>
          <w:sz w:val="24"/>
          <w:szCs w:val="24"/>
          <w:rtl/>
        </w:rPr>
        <w:t xml:space="preserve"> לעומת זאת, הציפיות לאינפלציה לשנה קדימה מצויות </w:t>
      </w:r>
      <w:r w:rsidR="00833E8A">
        <w:rPr>
          <w:rFonts w:cs="David" w:hint="cs"/>
          <w:sz w:val="24"/>
          <w:szCs w:val="24"/>
          <w:rtl/>
        </w:rPr>
        <w:t xml:space="preserve">בגבולו </w:t>
      </w:r>
      <w:r w:rsidR="000D41F6" w:rsidRPr="0051168D">
        <w:rPr>
          <w:rFonts w:cs="David" w:hint="cs"/>
          <w:sz w:val="24"/>
          <w:szCs w:val="24"/>
          <w:rtl/>
        </w:rPr>
        <w:t xml:space="preserve">התחתון של תחום היעד </w:t>
      </w:r>
      <w:r w:rsidR="00833E8A">
        <w:rPr>
          <w:rFonts w:cs="David" w:hint="cs"/>
          <w:sz w:val="24"/>
          <w:szCs w:val="24"/>
          <w:rtl/>
        </w:rPr>
        <w:t>--</w:t>
      </w:r>
      <w:r w:rsidR="000D41F6" w:rsidRPr="0051168D">
        <w:rPr>
          <w:rFonts w:cs="David" w:hint="cs"/>
          <w:sz w:val="24"/>
          <w:szCs w:val="24"/>
          <w:rtl/>
        </w:rPr>
        <w:t xml:space="preserve"> 1.0% </w:t>
      </w:r>
      <w:r w:rsidRPr="0051168D">
        <w:rPr>
          <w:rFonts w:cs="David" w:hint="cs"/>
          <w:sz w:val="24"/>
          <w:szCs w:val="24"/>
          <w:rtl/>
        </w:rPr>
        <w:t xml:space="preserve">(שקף </w:t>
      </w:r>
      <w:r w:rsidR="000D41F6" w:rsidRPr="0051168D">
        <w:rPr>
          <w:rFonts w:cs="David" w:hint="cs"/>
          <w:sz w:val="24"/>
          <w:szCs w:val="24"/>
          <w:rtl/>
        </w:rPr>
        <w:t>7</w:t>
      </w:r>
      <w:r w:rsidRPr="0051168D">
        <w:rPr>
          <w:rFonts w:cs="David" w:hint="cs"/>
          <w:sz w:val="24"/>
          <w:szCs w:val="24"/>
          <w:rtl/>
        </w:rPr>
        <w:t xml:space="preserve">). </w:t>
      </w:r>
      <w:r w:rsidR="00057F1C" w:rsidRPr="0051168D">
        <w:rPr>
          <w:rFonts w:cs="David" w:hint="cs"/>
          <w:sz w:val="24"/>
          <w:szCs w:val="24"/>
          <w:rtl/>
        </w:rPr>
        <w:t>מתחילת השנה</w:t>
      </w:r>
      <w:r w:rsidRPr="0051168D">
        <w:rPr>
          <w:rFonts w:cs="David" w:hint="cs"/>
          <w:sz w:val="24"/>
          <w:szCs w:val="24"/>
          <w:rtl/>
        </w:rPr>
        <w:t xml:space="preserve"> התרחש גם ייסוף </w:t>
      </w:r>
      <w:r w:rsidR="00057F1C" w:rsidRPr="0051168D">
        <w:rPr>
          <w:rFonts w:cs="David" w:hint="cs"/>
          <w:sz w:val="24"/>
          <w:szCs w:val="24"/>
          <w:rtl/>
        </w:rPr>
        <w:t xml:space="preserve">בשער החליפין, שתרם לירידת המחירים, זאת לאחר מספר חודשי פיחות בחודשים האחרונים של שנת 2014 </w:t>
      </w:r>
      <w:r w:rsidRPr="0051168D">
        <w:rPr>
          <w:rFonts w:cs="David" w:hint="cs"/>
          <w:sz w:val="24"/>
          <w:szCs w:val="24"/>
          <w:rtl/>
        </w:rPr>
        <w:t xml:space="preserve">(שקף </w:t>
      </w:r>
      <w:r w:rsidR="00057F1C" w:rsidRPr="0051168D">
        <w:rPr>
          <w:rFonts w:cs="David" w:hint="cs"/>
          <w:sz w:val="24"/>
          <w:szCs w:val="24"/>
          <w:rtl/>
        </w:rPr>
        <w:t>8).</w:t>
      </w:r>
      <w:r w:rsidRPr="0051168D">
        <w:rPr>
          <w:rFonts w:cs="David" w:hint="cs"/>
          <w:sz w:val="24"/>
          <w:szCs w:val="24"/>
          <w:rtl/>
        </w:rPr>
        <w:t xml:space="preserve"> הי</w:t>
      </w:r>
      <w:r w:rsidR="00A31310" w:rsidRPr="0051168D">
        <w:rPr>
          <w:rFonts w:cs="David" w:hint="cs"/>
          <w:sz w:val="24"/>
          <w:szCs w:val="24"/>
          <w:rtl/>
        </w:rPr>
        <w:t>י</w:t>
      </w:r>
      <w:r w:rsidRPr="0051168D">
        <w:rPr>
          <w:rFonts w:cs="David" w:hint="cs"/>
          <w:sz w:val="24"/>
          <w:szCs w:val="24"/>
          <w:rtl/>
        </w:rPr>
        <w:t>סוף גם מקשה על היכולת של היצואנים הישראלים להתחרות במשק העולמי</w:t>
      </w:r>
      <w:r w:rsidR="002934A1" w:rsidRPr="0051168D">
        <w:rPr>
          <w:rFonts w:cs="David" w:hint="cs"/>
          <w:sz w:val="24"/>
          <w:szCs w:val="24"/>
          <w:rtl/>
        </w:rPr>
        <w:t xml:space="preserve">, </w:t>
      </w:r>
      <w:r w:rsidR="004C08D3">
        <w:rPr>
          <w:rFonts w:cs="David" w:hint="cs"/>
          <w:sz w:val="24"/>
          <w:szCs w:val="24"/>
          <w:rtl/>
        </w:rPr>
        <w:t>ואנו מעריכים ששער החליפין מיוסף ביחס לרמת שווי המשקל</w:t>
      </w:r>
      <w:r w:rsidRPr="0051168D">
        <w:rPr>
          <w:rFonts w:cs="David" w:hint="cs"/>
          <w:sz w:val="24"/>
          <w:szCs w:val="24"/>
          <w:rtl/>
        </w:rPr>
        <w:t xml:space="preserve">. </w:t>
      </w:r>
      <w:r w:rsidR="004C08D3">
        <w:rPr>
          <w:rFonts w:cs="David" w:hint="cs"/>
          <w:sz w:val="24"/>
          <w:szCs w:val="24"/>
          <w:rtl/>
        </w:rPr>
        <w:t>על רקע התפתחויות אלה</w:t>
      </w:r>
      <w:r w:rsidR="00E36EFF">
        <w:rPr>
          <w:rFonts w:cs="David" w:hint="cs"/>
          <w:sz w:val="24"/>
          <w:szCs w:val="24"/>
          <w:rtl/>
        </w:rPr>
        <w:t xml:space="preserve"> - </w:t>
      </w:r>
      <w:r w:rsidR="004C08D3">
        <w:rPr>
          <w:rFonts w:cs="David" w:hint="cs"/>
          <w:sz w:val="24"/>
          <w:szCs w:val="24"/>
          <w:rtl/>
        </w:rPr>
        <w:t>המושפעות גם מהתפתחויות הכלכלה העולמית</w:t>
      </w:r>
      <w:r w:rsidR="00ED0B71">
        <w:rPr>
          <w:rFonts w:cs="David" w:hint="cs"/>
          <w:sz w:val="24"/>
          <w:szCs w:val="24"/>
          <w:rtl/>
        </w:rPr>
        <w:t xml:space="preserve"> </w:t>
      </w:r>
      <w:r w:rsidR="00E36EFF">
        <w:rPr>
          <w:rFonts w:cs="David" w:hint="cs"/>
          <w:sz w:val="24"/>
          <w:szCs w:val="24"/>
          <w:rtl/>
        </w:rPr>
        <w:t>-</w:t>
      </w:r>
      <w:r w:rsidRPr="0051168D">
        <w:rPr>
          <w:rFonts w:cs="David" w:hint="cs"/>
          <w:sz w:val="24"/>
          <w:szCs w:val="24"/>
          <w:rtl/>
        </w:rPr>
        <w:t xml:space="preserve"> </w:t>
      </w:r>
      <w:r w:rsidR="004C08D3">
        <w:rPr>
          <w:rFonts w:cs="David" w:hint="cs"/>
          <w:sz w:val="24"/>
          <w:szCs w:val="24"/>
          <w:rtl/>
        </w:rPr>
        <w:t>הפחית בנק ישראל</w:t>
      </w:r>
      <w:r w:rsidRPr="0051168D">
        <w:rPr>
          <w:rFonts w:cs="David" w:hint="cs"/>
          <w:sz w:val="24"/>
          <w:szCs w:val="24"/>
          <w:rtl/>
        </w:rPr>
        <w:t xml:space="preserve"> </w:t>
      </w:r>
      <w:r w:rsidR="004C08D3">
        <w:rPr>
          <w:rFonts w:cs="David" w:hint="cs"/>
          <w:sz w:val="24"/>
          <w:szCs w:val="24"/>
          <w:rtl/>
        </w:rPr>
        <w:t>את הריבית</w:t>
      </w:r>
      <w:r w:rsidRPr="0051168D">
        <w:rPr>
          <w:rFonts w:cs="David" w:hint="cs"/>
          <w:sz w:val="24"/>
          <w:szCs w:val="24"/>
          <w:rtl/>
        </w:rPr>
        <w:t>, עד לרמה נמוכה היסטורית של 0.</w:t>
      </w:r>
      <w:r w:rsidR="00057F1C" w:rsidRPr="0051168D">
        <w:rPr>
          <w:rFonts w:cs="David" w:hint="cs"/>
          <w:sz w:val="24"/>
          <w:szCs w:val="24"/>
          <w:rtl/>
        </w:rPr>
        <w:t>1</w:t>
      </w:r>
      <w:r w:rsidRPr="0051168D">
        <w:rPr>
          <w:rFonts w:cs="David" w:hint="cs"/>
          <w:sz w:val="24"/>
          <w:szCs w:val="24"/>
          <w:rtl/>
        </w:rPr>
        <w:t xml:space="preserve">%, ורכש מט"ח </w:t>
      </w:r>
      <w:r w:rsidR="004C08D3" w:rsidRPr="0051168D">
        <w:rPr>
          <w:rFonts w:cs="David" w:hint="cs"/>
          <w:sz w:val="24"/>
          <w:szCs w:val="24"/>
          <w:rtl/>
        </w:rPr>
        <w:t>(שקף 9)</w:t>
      </w:r>
      <w:r w:rsidR="00057F1C" w:rsidRPr="0051168D">
        <w:rPr>
          <w:rFonts w:cs="David" w:hint="cs"/>
          <w:sz w:val="24"/>
          <w:szCs w:val="24"/>
          <w:rtl/>
        </w:rPr>
        <w:t>.</w:t>
      </w:r>
    </w:p>
    <w:p w:rsidR="00ED2A63" w:rsidRPr="0051168D" w:rsidRDefault="00ED2A63" w:rsidP="00ED0B7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A62332" w:rsidRPr="00A62332" w:rsidRDefault="00992F2E" w:rsidP="00524790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A62332">
        <w:rPr>
          <w:rFonts w:cs="David" w:hint="cs"/>
          <w:b/>
          <w:bCs/>
          <w:sz w:val="24"/>
          <w:szCs w:val="24"/>
          <w:rtl/>
        </w:rPr>
        <w:lastRenderedPageBreak/>
        <w:t>ת</w:t>
      </w:r>
      <w:r w:rsidR="00A62332" w:rsidRPr="00A62332">
        <w:rPr>
          <w:rFonts w:cs="David" w:hint="cs"/>
          <w:b/>
          <w:bCs/>
          <w:sz w:val="24"/>
          <w:szCs w:val="24"/>
          <w:rtl/>
        </w:rPr>
        <w:t>מונת התקציב והמצרפים הפיסקליים</w:t>
      </w:r>
    </w:p>
    <w:p w:rsidR="00290DB4" w:rsidRDefault="00290DB4" w:rsidP="00833E8A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51168D">
        <w:rPr>
          <w:rFonts w:cs="David" w:hint="cs"/>
          <w:sz w:val="24"/>
          <w:szCs w:val="24"/>
          <w:rtl/>
        </w:rPr>
        <w:t xml:space="preserve">בימים האחרונים עוסקת הממשלה בהשלמת </w:t>
      </w:r>
      <w:r w:rsidR="004C08D3">
        <w:rPr>
          <w:rFonts w:cs="David" w:hint="cs"/>
          <w:sz w:val="24"/>
          <w:szCs w:val="24"/>
          <w:rtl/>
        </w:rPr>
        <w:t>בניית</w:t>
      </w:r>
      <w:r w:rsidR="004C08D3" w:rsidRPr="0051168D">
        <w:rPr>
          <w:rFonts w:cs="David" w:hint="cs"/>
          <w:sz w:val="24"/>
          <w:szCs w:val="24"/>
          <w:rtl/>
        </w:rPr>
        <w:t xml:space="preserve"> </w:t>
      </w:r>
      <w:r w:rsidRPr="0051168D">
        <w:rPr>
          <w:rFonts w:cs="David" w:hint="cs"/>
          <w:sz w:val="24"/>
          <w:szCs w:val="24"/>
          <w:rtl/>
        </w:rPr>
        <w:t>התקציב. הצעת התקציב לשנים 2015 ו-2016</w:t>
      </w:r>
      <w:r w:rsidR="00833E8A">
        <w:rPr>
          <w:rFonts w:cs="David" w:hint="cs"/>
          <w:sz w:val="24"/>
          <w:szCs w:val="24"/>
          <w:rtl/>
        </w:rPr>
        <w:t xml:space="preserve"> שאושרה בממשלה</w:t>
      </w:r>
      <w:r w:rsidRPr="0051168D">
        <w:rPr>
          <w:rFonts w:cs="David" w:hint="cs"/>
          <w:sz w:val="24"/>
          <w:szCs w:val="24"/>
          <w:rtl/>
        </w:rPr>
        <w:t xml:space="preserve">, כוללת יעדי גירעון של 2.9 אחוזי תוצר לכל אחת מהשנים, הגבוהים מאלו המתאימים למשק במצבו הנוכחי, המצוי ברמת פעילות קרובה לפוטנציאל, בשיעורי תעסוקה גבוהים ובשיעור אבטלה נמוך בפרספקטיבה </w:t>
      </w:r>
      <w:r w:rsidR="004C08D3">
        <w:rPr>
          <w:rFonts w:cs="David" w:hint="cs"/>
          <w:sz w:val="24"/>
          <w:szCs w:val="24"/>
          <w:rtl/>
        </w:rPr>
        <w:t>ה</w:t>
      </w:r>
      <w:r w:rsidR="00A05363">
        <w:rPr>
          <w:rFonts w:cs="David" w:hint="cs"/>
          <w:sz w:val="24"/>
          <w:szCs w:val="24"/>
          <w:rtl/>
        </w:rPr>
        <w:t>י</w:t>
      </w:r>
      <w:r w:rsidR="004C08D3">
        <w:rPr>
          <w:rFonts w:cs="David" w:hint="cs"/>
          <w:sz w:val="24"/>
          <w:szCs w:val="24"/>
          <w:rtl/>
        </w:rPr>
        <w:t>סטורית</w:t>
      </w:r>
      <w:r w:rsidRPr="0051168D">
        <w:rPr>
          <w:rFonts w:cs="David" w:hint="cs"/>
          <w:sz w:val="24"/>
          <w:szCs w:val="24"/>
          <w:rtl/>
        </w:rPr>
        <w:t xml:space="preserve"> (שקף 11). יעדי הגירעון המוצע</w:t>
      </w:r>
      <w:r w:rsidR="004C08D3">
        <w:rPr>
          <w:rFonts w:cs="David" w:hint="cs"/>
          <w:sz w:val="24"/>
          <w:szCs w:val="24"/>
          <w:rtl/>
        </w:rPr>
        <w:t>ים</w:t>
      </w:r>
      <w:r w:rsidRPr="0051168D">
        <w:rPr>
          <w:rFonts w:cs="David" w:hint="cs"/>
          <w:sz w:val="24"/>
          <w:szCs w:val="24"/>
          <w:rtl/>
        </w:rPr>
        <w:t xml:space="preserve"> </w:t>
      </w:r>
      <w:r w:rsidR="004C08D3">
        <w:rPr>
          <w:rFonts w:cs="David" w:hint="cs"/>
          <w:sz w:val="24"/>
          <w:szCs w:val="24"/>
          <w:rtl/>
        </w:rPr>
        <w:t>אינם</w:t>
      </w:r>
      <w:r w:rsidRPr="0051168D">
        <w:rPr>
          <w:rFonts w:cs="David" w:hint="cs"/>
          <w:sz w:val="24"/>
          <w:szCs w:val="24"/>
          <w:rtl/>
        </w:rPr>
        <w:t xml:space="preserve"> </w:t>
      </w:r>
      <w:r w:rsidR="004C08D3" w:rsidRPr="0051168D">
        <w:rPr>
          <w:rFonts w:cs="David" w:hint="cs"/>
          <w:sz w:val="24"/>
          <w:szCs w:val="24"/>
          <w:rtl/>
        </w:rPr>
        <w:t>תומ</w:t>
      </w:r>
      <w:r w:rsidR="004C08D3">
        <w:rPr>
          <w:rFonts w:cs="David" w:hint="cs"/>
          <w:sz w:val="24"/>
          <w:szCs w:val="24"/>
          <w:rtl/>
        </w:rPr>
        <w:t>כים</w:t>
      </w:r>
      <w:r w:rsidR="004C08D3" w:rsidRPr="0051168D">
        <w:rPr>
          <w:rFonts w:cs="David" w:hint="cs"/>
          <w:sz w:val="24"/>
          <w:szCs w:val="24"/>
          <w:rtl/>
        </w:rPr>
        <w:t xml:space="preserve"> </w:t>
      </w:r>
      <w:r w:rsidRPr="0051168D">
        <w:rPr>
          <w:rFonts w:cs="David" w:hint="cs"/>
          <w:sz w:val="24"/>
          <w:szCs w:val="24"/>
          <w:rtl/>
        </w:rPr>
        <w:t xml:space="preserve">בהמשך הפחתתו של יחס החוב לתוצר (שקף 12). </w:t>
      </w:r>
      <w:r w:rsidR="00833E8A">
        <w:rPr>
          <w:rFonts w:cs="David" w:hint="cs"/>
          <w:sz w:val="24"/>
          <w:szCs w:val="24"/>
          <w:rtl/>
        </w:rPr>
        <w:t xml:space="preserve">השוואה </w:t>
      </w:r>
      <w:r w:rsidR="00524790">
        <w:rPr>
          <w:rFonts w:cs="David" w:hint="cs"/>
          <w:sz w:val="24"/>
          <w:szCs w:val="24"/>
          <w:rtl/>
        </w:rPr>
        <w:t xml:space="preserve"> </w:t>
      </w:r>
      <w:r w:rsidR="00833E8A">
        <w:rPr>
          <w:rFonts w:cs="David" w:hint="cs"/>
          <w:sz w:val="24"/>
          <w:szCs w:val="24"/>
          <w:rtl/>
        </w:rPr>
        <w:t xml:space="preserve">בינ"ל של </w:t>
      </w:r>
      <w:r w:rsidR="00524790">
        <w:rPr>
          <w:rFonts w:cs="David" w:hint="cs"/>
          <w:sz w:val="24"/>
          <w:szCs w:val="24"/>
          <w:rtl/>
        </w:rPr>
        <w:t xml:space="preserve">נטל המס </w:t>
      </w:r>
      <w:r w:rsidR="00833E8A">
        <w:rPr>
          <w:rFonts w:cs="David" w:hint="cs"/>
          <w:sz w:val="24"/>
          <w:szCs w:val="24"/>
          <w:rtl/>
        </w:rPr>
        <w:t>מראה</w:t>
      </w:r>
      <w:r w:rsidR="00524790">
        <w:rPr>
          <w:rFonts w:cs="David" w:hint="cs"/>
          <w:sz w:val="24"/>
          <w:szCs w:val="24"/>
          <w:rtl/>
        </w:rPr>
        <w:t xml:space="preserve"> שנטל המס בישראל נמוך מזה של המדינה הממוצעת ב-</w:t>
      </w:r>
      <w:r w:rsidR="00524790" w:rsidRPr="00E36EFF">
        <w:rPr>
          <w:rFonts w:asciiTheme="majorBidi" w:hAnsiTheme="majorBidi" w:cstheme="majorBidi"/>
        </w:rPr>
        <w:t>OECD</w:t>
      </w:r>
      <w:r w:rsidR="00524790">
        <w:rPr>
          <w:rFonts w:cs="David" w:hint="cs"/>
          <w:sz w:val="24"/>
          <w:szCs w:val="24"/>
          <w:rtl/>
        </w:rPr>
        <w:t xml:space="preserve">, (שקף 13), </w:t>
      </w:r>
      <w:r w:rsidR="004C08D3">
        <w:rPr>
          <w:rFonts w:cs="David" w:hint="cs"/>
          <w:sz w:val="24"/>
          <w:szCs w:val="24"/>
          <w:rtl/>
        </w:rPr>
        <w:t>ו</w:t>
      </w:r>
      <w:r w:rsidR="00524790">
        <w:rPr>
          <w:rFonts w:cs="David" w:hint="cs"/>
          <w:sz w:val="24"/>
          <w:szCs w:val="24"/>
          <w:rtl/>
        </w:rPr>
        <w:t xml:space="preserve">גם משקל ההוצאה הציבורית בישראל </w:t>
      </w:r>
      <w:r w:rsidR="004C08D3">
        <w:rPr>
          <w:rFonts w:cs="David" w:hint="cs"/>
          <w:sz w:val="24"/>
          <w:szCs w:val="24"/>
          <w:rtl/>
        </w:rPr>
        <w:t xml:space="preserve">קטן </w:t>
      </w:r>
      <w:r w:rsidR="00524790">
        <w:rPr>
          <w:rFonts w:cs="David" w:hint="cs"/>
          <w:sz w:val="24"/>
          <w:szCs w:val="24"/>
          <w:rtl/>
        </w:rPr>
        <w:t>מהממוצע ב-</w:t>
      </w:r>
      <w:r w:rsidR="00524790" w:rsidRPr="00E36EFF">
        <w:rPr>
          <w:rFonts w:asciiTheme="majorBidi" w:hAnsiTheme="majorBidi" w:cstheme="majorBidi"/>
        </w:rPr>
        <w:t>OECD</w:t>
      </w:r>
      <w:r w:rsidR="00524790">
        <w:rPr>
          <w:rFonts w:cs="David" w:hint="cs"/>
          <w:sz w:val="24"/>
          <w:szCs w:val="24"/>
          <w:rtl/>
        </w:rPr>
        <w:t xml:space="preserve"> (שקף 14). </w:t>
      </w:r>
      <w:r w:rsidR="004C08D3">
        <w:rPr>
          <w:rFonts w:cs="David" w:hint="cs"/>
          <w:sz w:val="24"/>
          <w:szCs w:val="24"/>
          <w:rtl/>
        </w:rPr>
        <w:t>ומאחר שההוצאות הביטחון שלנו גבוהות בהרבה מאלה של המדיניות המפתחות, וגם הוצאות הריבית על החוב גבוהות יחסית,</w:t>
      </w:r>
      <w:r w:rsidR="00524790">
        <w:rPr>
          <w:rFonts w:cs="David" w:hint="cs"/>
          <w:sz w:val="24"/>
          <w:szCs w:val="24"/>
          <w:rtl/>
        </w:rPr>
        <w:t xml:space="preserve"> ההוצאה האזרחית (ללא הוצאות בטחון וריבית) </w:t>
      </w:r>
      <w:r w:rsidR="004C08D3">
        <w:rPr>
          <w:rFonts w:cs="David" w:hint="cs"/>
          <w:sz w:val="24"/>
          <w:szCs w:val="24"/>
          <w:rtl/>
        </w:rPr>
        <w:t>המתקבלת היא נמוכה מאוד</w:t>
      </w:r>
      <w:r w:rsidR="00524790">
        <w:rPr>
          <w:rFonts w:cs="David" w:hint="cs"/>
          <w:sz w:val="24"/>
          <w:szCs w:val="24"/>
          <w:rtl/>
        </w:rPr>
        <w:t xml:space="preserve"> </w:t>
      </w:r>
      <w:r w:rsidR="004C08D3">
        <w:rPr>
          <w:rFonts w:cs="David" w:hint="cs"/>
          <w:sz w:val="24"/>
          <w:szCs w:val="24"/>
          <w:rtl/>
        </w:rPr>
        <w:t>--</w:t>
      </w:r>
      <w:r w:rsidR="00524790">
        <w:rPr>
          <w:rFonts w:cs="David" w:hint="cs"/>
          <w:sz w:val="24"/>
          <w:szCs w:val="24"/>
          <w:rtl/>
        </w:rPr>
        <w:t xml:space="preserve">ישראל היא המדינה במקום </w:t>
      </w:r>
      <w:proofErr w:type="spellStart"/>
      <w:r w:rsidR="00524790">
        <w:rPr>
          <w:rFonts w:cs="David" w:hint="cs"/>
          <w:sz w:val="24"/>
          <w:szCs w:val="24"/>
          <w:rtl/>
        </w:rPr>
        <w:t>הלפני</w:t>
      </w:r>
      <w:proofErr w:type="spellEnd"/>
      <w:r w:rsidR="00524790">
        <w:rPr>
          <w:rFonts w:cs="David" w:hint="cs"/>
          <w:sz w:val="24"/>
          <w:szCs w:val="24"/>
          <w:rtl/>
        </w:rPr>
        <w:t xml:space="preserve"> אחרון בהשוואה בינ"ל של ההוצאות האזרחיות</w:t>
      </w:r>
      <w:r w:rsidR="007B2641">
        <w:rPr>
          <w:rFonts w:cs="David" w:hint="cs"/>
          <w:sz w:val="24"/>
          <w:szCs w:val="24"/>
          <w:rtl/>
        </w:rPr>
        <w:t xml:space="preserve"> </w:t>
      </w:r>
      <w:r w:rsidR="00833E8A">
        <w:rPr>
          <w:rFonts w:cs="David" w:hint="cs"/>
          <w:sz w:val="24"/>
          <w:szCs w:val="24"/>
          <w:rtl/>
        </w:rPr>
        <w:t xml:space="preserve">(ההוצאות האזרחיות כוללות את </w:t>
      </w:r>
      <w:r w:rsidR="004C08D3">
        <w:rPr>
          <w:rFonts w:cs="David" w:hint="cs"/>
          <w:sz w:val="24"/>
          <w:szCs w:val="24"/>
          <w:rtl/>
        </w:rPr>
        <w:t xml:space="preserve">השירותים הציבוריים כמו חינוך, בריאות, רווחה ובטחון פנים, וגם </w:t>
      </w:r>
      <w:r w:rsidR="00833E8A">
        <w:rPr>
          <w:rFonts w:cs="David" w:hint="cs"/>
          <w:sz w:val="24"/>
          <w:szCs w:val="24"/>
          <w:rtl/>
        </w:rPr>
        <w:t xml:space="preserve">את </w:t>
      </w:r>
      <w:r w:rsidR="004C08D3">
        <w:rPr>
          <w:rFonts w:cs="David" w:hint="cs"/>
          <w:sz w:val="24"/>
          <w:szCs w:val="24"/>
          <w:rtl/>
        </w:rPr>
        <w:t>ההוצאות על מנועי הצמיחה</w:t>
      </w:r>
      <w:r w:rsidR="00524790">
        <w:rPr>
          <w:rFonts w:cs="David" w:hint="cs"/>
          <w:sz w:val="24"/>
          <w:szCs w:val="24"/>
          <w:rtl/>
        </w:rPr>
        <w:t xml:space="preserve"> </w:t>
      </w:r>
      <w:r w:rsidR="004C08D3">
        <w:rPr>
          <w:rFonts w:cs="David" w:hint="cs"/>
          <w:sz w:val="24"/>
          <w:szCs w:val="24"/>
          <w:rtl/>
        </w:rPr>
        <w:t>ובכללן ההשקעה בתשתיות</w:t>
      </w:r>
      <w:r w:rsidR="00A05363">
        <w:rPr>
          <w:rFonts w:cs="David" w:hint="cs"/>
          <w:sz w:val="24"/>
          <w:szCs w:val="24"/>
          <w:rtl/>
        </w:rPr>
        <w:t xml:space="preserve"> </w:t>
      </w:r>
      <w:r w:rsidR="00524790">
        <w:rPr>
          <w:rFonts w:cs="David" w:hint="cs"/>
          <w:sz w:val="24"/>
          <w:szCs w:val="24"/>
          <w:rtl/>
        </w:rPr>
        <w:t>שמטרתן בין היתר לעודד צמיחה עתידית</w:t>
      </w:r>
      <w:r w:rsidR="00833E8A">
        <w:rPr>
          <w:rFonts w:cs="David" w:hint="cs"/>
          <w:sz w:val="24"/>
          <w:szCs w:val="24"/>
          <w:rtl/>
        </w:rPr>
        <w:t>)</w:t>
      </w:r>
      <w:r w:rsidR="00524790">
        <w:rPr>
          <w:rFonts w:cs="David" w:hint="cs"/>
          <w:sz w:val="24"/>
          <w:szCs w:val="24"/>
          <w:rtl/>
        </w:rPr>
        <w:t xml:space="preserve"> (שקף 15).</w:t>
      </w:r>
    </w:p>
    <w:p w:rsidR="00992F2E" w:rsidRDefault="00A05363" w:rsidP="00A05363">
      <w:pPr>
        <w:pStyle w:val="aa"/>
        <w:spacing w:after="120" w:line="360" w:lineRule="auto"/>
        <w:ind w:left="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סוגיה שיש לה השפעות הן בתחום הפיסקאלי בטווח הארוך יותר, והן על יוקר המחייה, הינה </w:t>
      </w:r>
      <w:r w:rsidR="00992F2E" w:rsidRPr="00992F2E">
        <w:rPr>
          <w:rFonts w:cs="David" w:hint="cs"/>
          <w:sz w:val="24"/>
          <w:szCs w:val="24"/>
          <w:rtl/>
        </w:rPr>
        <w:t xml:space="preserve">מתווה ההסכמות </w:t>
      </w:r>
      <w:r>
        <w:rPr>
          <w:rFonts w:cs="David" w:hint="cs"/>
          <w:sz w:val="24"/>
          <w:szCs w:val="24"/>
          <w:rtl/>
        </w:rPr>
        <w:t xml:space="preserve">המתגבש </w:t>
      </w:r>
      <w:r w:rsidR="00992F2E" w:rsidRPr="00992F2E">
        <w:rPr>
          <w:rFonts w:cs="David" w:hint="cs"/>
          <w:sz w:val="24"/>
          <w:szCs w:val="24"/>
          <w:rtl/>
        </w:rPr>
        <w:t xml:space="preserve">בין הצוות הבין-משרדי שעסק בנושא </w:t>
      </w:r>
      <w:r w:rsidR="00992F2E">
        <w:rPr>
          <w:rFonts w:cs="David" w:hint="cs"/>
          <w:sz w:val="24"/>
          <w:szCs w:val="24"/>
          <w:rtl/>
        </w:rPr>
        <w:t xml:space="preserve">לבין </w:t>
      </w:r>
      <w:r w:rsidR="00992F2E" w:rsidRPr="00992F2E">
        <w:rPr>
          <w:rFonts w:cs="David" w:hint="cs"/>
          <w:sz w:val="24"/>
          <w:szCs w:val="24"/>
          <w:rtl/>
        </w:rPr>
        <w:t xml:space="preserve">חברות הגז. עמדת בנק ישראל היא כי בנסיבות שנוצרו המתווה החדש נותן מענה סביר לצרכי המשק, ובפרט לצורך לזרז את חיבורו של צינור גז נוסף </w:t>
      </w:r>
      <w:r w:rsidR="00992F2E">
        <w:rPr>
          <w:rFonts w:cs="David" w:hint="cs"/>
          <w:sz w:val="24"/>
          <w:szCs w:val="24"/>
          <w:rtl/>
        </w:rPr>
        <w:t>ולקדם את פיתוח מאגרי ל</w:t>
      </w:r>
      <w:r w:rsidR="00992F2E" w:rsidRPr="00992F2E">
        <w:rPr>
          <w:rFonts w:cs="David" w:hint="cs"/>
          <w:sz w:val="24"/>
          <w:szCs w:val="24"/>
          <w:rtl/>
        </w:rPr>
        <w:t>וויתן וכריש-תנין. כדרכ</w:t>
      </w:r>
      <w:r w:rsidR="00992F2E">
        <w:rPr>
          <w:rFonts w:cs="David" w:hint="cs"/>
          <w:sz w:val="24"/>
          <w:szCs w:val="24"/>
          <w:rtl/>
        </w:rPr>
        <w:t>ו</w:t>
      </w:r>
      <w:r w:rsidR="00992F2E" w:rsidRPr="00992F2E">
        <w:rPr>
          <w:rFonts w:cs="David" w:hint="cs"/>
          <w:sz w:val="24"/>
          <w:szCs w:val="24"/>
          <w:rtl/>
        </w:rPr>
        <w:t xml:space="preserve"> של </w:t>
      </w:r>
      <w:r w:rsidR="00992F2E">
        <w:rPr>
          <w:rFonts w:cs="David" w:hint="cs"/>
          <w:sz w:val="24"/>
          <w:szCs w:val="24"/>
          <w:rtl/>
        </w:rPr>
        <w:t>משא ומתן,</w:t>
      </w:r>
      <w:r w:rsidR="00992F2E" w:rsidRPr="00992F2E">
        <w:rPr>
          <w:rFonts w:cs="David" w:hint="cs"/>
          <w:sz w:val="24"/>
          <w:szCs w:val="24"/>
          <w:rtl/>
        </w:rPr>
        <w:t xml:space="preserve"> המתווה אינו משיג את התוצאה האידיאלית, אך יש בו יתרונות רבים למשק. משום כך, בנק ישראל תומך בעיקרי המתווה ובהתקדמות ליישומו. </w:t>
      </w:r>
    </w:p>
    <w:p w:rsidR="00992F2E" w:rsidRPr="00992F2E" w:rsidRDefault="00992F2E" w:rsidP="00992F2E">
      <w:pPr>
        <w:pStyle w:val="aa"/>
        <w:spacing w:after="120" w:line="360" w:lineRule="auto"/>
        <w:ind w:left="0"/>
        <w:jc w:val="both"/>
        <w:rPr>
          <w:rFonts w:cs="David"/>
          <w:sz w:val="24"/>
          <w:szCs w:val="24"/>
        </w:rPr>
      </w:pPr>
      <w:r w:rsidRPr="00992F2E">
        <w:rPr>
          <w:rFonts w:cs="David" w:hint="cs"/>
          <w:sz w:val="24"/>
          <w:szCs w:val="24"/>
          <w:rtl/>
        </w:rPr>
        <w:t>המתווה מסדיר מגוון נושאים במשק הגז שהיו נתונים באי-ודאות, ובכך יאפשר אסדרה יציבה יותר של משק הגז</w:t>
      </w:r>
      <w:r>
        <w:rPr>
          <w:rFonts w:cs="David" w:hint="cs"/>
          <w:sz w:val="24"/>
          <w:szCs w:val="24"/>
          <w:rtl/>
        </w:rPr>
        <w:t>,</w:t>
      </w:r>
      <w:r w:rsidRPr="00992F2E">
        <w:rPr>
          <w:rFonts w:cs="David" w:hint="cs"/>
          <w:sz w:val="24"/>
          <w:szCs w:val="24"/>
          <w:rtl/>
        </w:rPr>
        <w:t xml:space="preserve"> שתקל על קידום המימון והפיתוח של המאגרים, ו</w:t>
      </w:r>
      <w:r>
        <w:rPr>
          <w:rFonts w:cs="David" w:hint="cs"/>
          <w:sz w:val="24"/>
          <w:szCs w:val="24"/>
          <w:rtl/>
        </w:rPr>
        <w:t>ש</w:t>
      </w:r>
      <w:r w:rsidRPr="00992F2E">
        <w:rPr>
          <w:rFonts w:cs="David" w:hint="cs"/>
          <w:sz w:val="24"/>
          <w:szCs w:val="24"/>
          <w:rtl/>
        </w:rPr>
        <w:t>תאפשר בסופו של דבר יתירות באספקה ומבנה שוק תחרותי יותר מהנוכחי. המתווה</w:t>
      </w:r>
      <w:r w:rsidRPr="00992F2E">
        <w:rPr>
          <w:rFonts w:cs="David"/>
          <w:sz w:val="24"/>
          <w:szCs w:val="24"/>
          <w:rtl/>
        </w:rPr>
        <w:t xml:space="preserve"> </w:t>
      </w:r>
      <w:r w:rsidRPr="00992F2E">
        <w:rPr>
          <w:rFonts w:cs="David" w:hint="cs"/>
          <w:sz w:val="24"/>
          <w:szCs w:val="24"/>
          <w:rtl/>
        </w:rPr>
        <w:t>תומך</w:t>
      </w:r>
      <w:r w:rsidRPr="00992F2E">
        <w:rPr>
          <w:rFonts w:cs="David"/>
          <w:sz w:val="24"/>
          <w:szCs w:val="24"/>
          <w:rtl/>
        </w:rPr>
        <w:t xml:space="preserve"> </w:t>
      </w:r>
      <w:r w:rsidRPr="00992F2E">
        <w:rPr>
          <w:rFonts w:cs="David" w:hint="cs"/>
          <w:sz w:val="24"/>
          <w:szCs w:val="24"/>
          <w:rtl/>
        </w:rPr>
        <w:t>גם בהשגת</w:t>
      </w:r>
      <w:r w:rsidRPr="00992F2E">
        <w:rPr>
          <w:rFonts w:cs="David"/>
          <w:sz w:val="24"/>
          <w:szCs w:val="24"/>
          <w:rtl/>
        </w:rPr>
        <w:t xml:space="preserve"> </w:t>
      </w:r>
      <w:r w:rsidRPr="00992F2E">
        <w:rPr>
          <w:rFonts w:cs="David" w:hint="cs"/>
          <w:sz w:val="24"/>
          <w:szCs w:val="24"/>
          <w:rtl/>
        </w:rPr>
        <w:t>יעד</w:t>
      </w:r>
      <w:r w:rsidRPr="00992F2E">
        <w:rPr>
          <w:rFonts w:cs="David"/>
          <w:sz w:val="24"/>
          <w:szCs w:val="24"/>
          <w:rtl/>
        </w:rPr>
        <w:t xml:space="preserve"> </w:t>
      </w:r>
      <w:r w:rsidRPr="00992F2E">
        <w:rPr>
          <w:rFonts w:cs="David" w:hint="cs"/>
          <w:sz w:val="24"/>
          <w:szCs w:val="24"/>
          <w:rtl/>
        </w:rPr>
        <w:t>הממשלה</w:t>
      </w:r>
      <w:r w:rsidRPr="00992F2E">
        <w:rPr>
          <w:rFonts w:cs="David"/>
          <w:sz w:val="24"/>
          <w:szCs w:val="24"/>
          <w:rtl/>
        </w:rPr>
        <w:t xml:space="preserve"> </w:t>
      </w:r>
      <w:r w:rsidRPr="00992F2E">
        <w:rPr>
          <w:rFonts w:cs="David" w:hint="cs"/>
          <w:sz w:val="24"/>
          <w:szCs w:val="24"/>
          <w:rtl/>
        </w:rPr>
        <w:t>לאפשר</w:t>
      </w:r>
      <w:r w:rsidRPr="00992F2E">
        <w:rPr>
          <w:rFonts w:cs="David"/>
          <w:sz w:val="24"/>
          <w:szCs w:val="24"/>
          <w:rtl/>
        </w:rPr>
        <w:t xml:space="preserve"> </w:t>
      </w:r>
      <w:r w:rsidR="00895B79">
        <w:rPr>
          <w:rFonts w:cs="David" w:hint="cs"/>
          <w:sz w:val="24"/>
          <w:szCs w:val="24"/>
          <w:rtl/>
        </w:rPr>
        <w:t xml:space="preserve">את </w:t>
      </w:r>
      <w:r w:rsidRPr="00992F2E">
        <w:rPr>
          <w:rFonts w:cs="David" w:hint="cs"/>
          <w:sz w:val="24"/>
          <w:szCs w:val="24"/>
          <w:rtl/>
        </w:rPr>
        <w:t>מימוש</w:t>
      </w:r>
      <w:r>
        <w:rPr>
          <w:rFonts w:cs="David" w:hint="cs"/>
          <w:sz w:val="24"/>
          <w:szCs w:val="24"/>
          <w:rtl/>
        </w:rPr>
        <w:t>ם</w:t>
      </w:r>
      <w:r w:rsidRPr="00992F2E">
        <w:rPr>
          <w:rFonts w:cs="David"/>
          <w:sz w:val="24"/>
          <w:szCs w:val="24"/>
          <w:rtl/>
        </w:rPr>
        <w:t xml:space="preserve"> </w:t>
      </w:r>
      <w:r w:rsidRPr="00992F2E">
        <w:rPr>
          <w:rFonts w:cs="David" w:hint="cs"/>
          <w:sz w:val="24"/>
          <w:szCs w:val="24"/>
          <w:rtl/>
        </w:rPr>
        <w:t>של</w:t>
      </w:r>
      <w:r w:rsidRPr="00992F2E">
        <w:rPr>
          <w:rFonts w:cs="David"/>
          <w:sz w:val="24"/>
          <w:szCs w:val="24"/>
          <w:rtl/>
        </w:rPr>
        <w:t xml:space="preserve"> </w:t>
      </w:r>
      <w:r w:rsidRPr="00992F2E">
        <w:rPr>
          <w:rFonts w:cs="David" w:hint="cs"/>
          <w:sz w:val="24"/>
          <w:szCs w:val="24"/>
          <w:rtl/>
        </w:rPr>
        <w:t>חוזי</w:t>
      </w:r>
      <w:r w:rsidRPr="00992F2E">
        <w:rPr>
          <w:rFonts w:cs="David"/>
          <w:sz w:val="24"/>
          <w:szCs w:val="24"/>
          <w:rtl/>
        </w:rPr>
        <w:t xml:space="preserve"> </w:t>
      </w:r>
      <w:r w:rsidRPr="00992F2E">
        <w:rPr>
          <w:rFonts w:cs="David" w:hint="cs"/>
          <w:sz w:val="24"/>
          <w:szCs w:val="24"/>
          <w:rtl/>
        </w:rPr>
        <w:t>היצוא</w:t>
      </w:r>
      <w:r w:rsidRPr="00992F2E">
        <w:rPr>
          <w:rFonts w:cs="David"/>
          <w:sz w:val="24"/>
          <w:szCs w:val="24"/>
          <w:rtl/>
        </w:rPr>
        <w:t xml:space="preserve"> </w:t>
      </w:r>
      <w:r w:rsidRPr="00992F2E">
        <w:rPr>
          <w:rFonts w:cs="David" w:hint="cs"/>
          <w:sz w:val="24"/>
          <w:szCs w:val="24"/>
          <w:rtl/>
        </w:rPr>
        <w:t>עם</w:t>
      </w:r>
      <w:r w:rsidRPr="00992F2E">
        <w:rPr>
          <w:rFonts w:cs="David"/>
          <w:sz w:val="24"/>
          <w:szCs w:val="24"/>
          <w:rtl/>
        </w:rPr>
        <w:t xml:space="preserve"> </w:t>
      </w:r>
      <w:r w:rsidRPr="00992F2E">
        <w:rPr>
          <w:rFonts w:cs="David" w:hint="cs"/>
          <w:sz w:val="24"/>
          <w:szCs w:val="24"/>
          <w:rtl/>
        </w:rPr>
        <w:t>מצרים</w:t>
      </w:r>
      <w:r w:rsidRPr="00992F2E">
        <w:rPr>
          <w:rFonts w:cs="David"/>
          <w:sz w:val="24"/>
          <w:szCs w:val="24"/>
          <w:rtl/>
        </w:rPr>
        <w:t xml:space="preserve"> </w:t>
      </w:r>
      <w:r w:rsidRPr="00992F2E">
        <w:rPr>
          <w:rFonts w:cs="David" w:hint="cs"/>
          <w:sz w:val="24"/>
          <w:szCs w:val="24"/>
          <w:rtl/>
        </w:rPr>
        <w:t>וירדן</w:t>
      </w:r>
      <w:r w:rsidRPr="00992F2E">
        <w:rPr>
          <w:rFonts w:cs="David"/>
          <w:sz w:val="24"/>
          <w:szCs w:val="24"/>
          <w:rtl/>
        </w:rPr>
        <w:t xml:space="preserve"> </w:t>
      </w:r>
      <w:r w:rsidRPr="00992F2E">
        <w:rPr>
          <w:rFonts w:cs="David" w:hint="cs"/>
          <w:sz w:val="24"/>
          <w:szCs w:val="24"/>
          <w:rtl/>
        </w:rPr>
        <w:t>משיקולים</w:t>
      </w:r>
      <w:r w:rsidRPr="00992F2E">
        <w:rPr>
          <w:rFonts w:cs="David"/>
          <w:sz w:val="24"/>
          <w:szCs w:val="24"/>
          <w:rtl/>
        </w:rPr>
        <w:t xml:space="preserve"> </w:t>
      </w:r>
      <w:r w:rsidRPr="00992F2E">
        <w:rPr>
          <w:rFonts w:cs="David" w:hint="cs"/>
          <w:sz w:val="24"/>
          <w:szCs w:val="24"/>
          <w:rtl/>
        </w:rPr>
        <w:t>כלכליים</w:t>
      </w:r>
      <w:r w:rsidRPr="00992F2E">
        <w:rPr>
          <w:rFonts w:cs="David"/>
          <w:sz w:val="24"/>
          <w:szCs w:val="24"/>
          <w:rtl/>
        </w:rPr>
        <w:t xml:space="preserve"> </w:t>
      </w:r>
      <w:r w:rsidRPr="00992F2E">
        <w:rPr>
          <w:rFonts w:cs="David" w:hint="cs"/>
          <w:sz w:val="24"/>
          <w:szCs w:val="24"/>
          <w:rtl/>
        </w:rPr>
        <w:t>ומדיניים</w:t>
      </w:r>
      <w:r>
        <w:rPr>
          <w:rFonts w:cs="David" w:hint="cs"/>
          <w:sz w:val="24"/>
          <w:szCs w:val="24"/>
          <w:rtl/>
        </w:rPr>
        <w:t>.</w:t>
      </w:r>
    </w:p>
    <w:p w:rsidR="00992F2E" w:rsidRDefault="00992F2E" w:rsidP="00D95986">
      <w:pPr>
        <w:pStyle w:val="aa"/>
        <w:spacing w:after="120" w:line="360" w:lineRule="auto"/>
        <w:ind w:left="0"/>
        <w:jc w:val="both"/>
        <w:rPr>
          <w:rFonts w:cs="David"/>
          <w:sz w:val="24"/>
          <w:szCs w:val="24"/>
          <w:rtl/>
        </w:rPr>
      </w:pPr>
      <w:r w:rsidRPr="00992F2E">
        <w:rPr>
          <w:rFonts w:cs="David" w:hint="cs"/>
          <w:sz w:val="24"/>
          <w:szCs w:val="24"/>
          <w:rtl/>
        </w:rPr>
        <w:t xml:space="preserve">לפני אישורו הסופי של המתווה חשוב שייקבעו בו </w:t>
      </w:r>
      <w:r w:rsidR="00681AA5">
        <w:rPr>
          <w:rFonts w:cs="David" w:hint="cs"/>
          <w:sz w:val="24"/>
          <w:szCs w:val="24"/>
          <w:rtl/>
        </w:rPr>
        <w:t>אבני דרך להתקדמות בפיתוח מאגר ל</w:t>
      </w:r>
      <w:r w:rsidRPr="00992F2E">
        <w:rPr>
          <w:rFonts w:cs="David" w:hint="cs"/>
          <w:sz w:val="24"/>
          <w:szCs w:val="24"/>
          <w:rtl/>
        </w:rPr>
        <w:t>וויתן וחיבורו למשק הגז הישראלי, ו</w:t>
      </w:r>
      <w:r w:rsidR="00895B79">
        <w:rPr>
          <w:rFonts w:cs="David" w:hint="cs"/>
          <w:sz w:val="24"/>
          <w:szCs w:val="24"/>
          <w:rtl/>
        </w:rPr>
        <w:t>שיוחלט על</w:t>
      </w:r>
      <w:r w:rsidRPr="00992F2E">
        <w:rPr>
          <w:rFonts w:cs="David" w:hint="cs"/>
          <w:sz w:val="24"/>
          <w:szCs w:val="24"/>
          <w:rtl/>
        </w:rPr>
        <w:t xml:space="preserve"> הצעדים שיינקטו במידה וקצב הפיתוח לא יהיה בהתאם למוסכם. בפרט חשוב כי</w:t>
      </w:r>
      <w:r w:rsidR="00A05363">
        <w:rPr>
          <w:rFonts w:cs="David" w:hint="cs"/>
          <w:sz w:val="24"/>
          <w:szCs w:val="24"/>
          <w:rtl/>
        </w:rPr>
        <w:t xml:space="preserve"> אם עיכוב הפיתוח ימנע את היווצרות</w:t>
      </w:r>
      <w:r w:rsidR="00D95986">
        <w:rPr>
          <w:rFonts w:cs="David" w:hint="cs"/>
          <w:sz w:val="24"/>
          <w:szCs w:val="24"/>
          <w:rtl/>
        </w:rPr>
        <w:t xml:space="preserve">ו של מבנה </w:t>
      </w:r>
      <w:r w:rsidR="00A05363">
        <w:rPr>
          <w:rFonts w:cs="David" w:hint="cs"/>
          <w:sz w:val="24"/>
          <w:szCs w:val="24"/>
          <w:rtl/>
        </w:rPr>
        <w:t>תחרות</w:t>
      </w:r>
      <w:r w:rsidR="00D95986">
        <w:rPr>
          <w:rFonts w:cs="David" w:hint="cs"/>
          <w:sz w:val="24"/>
          <w:szCs w:val="24"/>
          <w:rtl/>
        </w:rPr>
        <w:t>י יותר מהנוכחי</w:t>
      </w:r>
      <w:r w:rsidR="00A05363">
        <w:rPr>
          <w:rFonts w:cs="David" w:hint="cs"/>
          <w:sz w:val="24"/>
          <w:szCs w:val="24"/>
          <w:rtl/>
        </w:rPr>
        <w:t xml:space="preserve"> בשוק הגז</w:t>
      </w:r>
      <w:r w:rsidRPr="00992F2E">
        <w:rPr>
          <w:rFonts w:cs="David" w:hint="cs"/>
          <w:sz w:val="24"/>
          <w:szCs w:val="24"/>
          <w:rtl/>
        </w:rPr>
        <w:t xml:space="preserve"> יוגדרו מהלכים חלופיים שיקדמו במקרה זה את חיבורם של מאגרי הגז למשק הישראלי באופן המהיר ביותר האפשרי, לצד מנגנון שיגן על הצרכנים בישראל מפני תמחור מונופוליסטי.</w:t>
      </w:r>
    </w:p>
    <w:p w:rsidR="00A62332" w:rsidRPr="00524790" w:rsidRDefault="00A62332" w:rsidP="00992F2E">
      <w:pPr>
        <w:pStyle w:val="aa"/>
        <w:spacing w:after="120" w:line="360" w:lineRule="auto"/>
        <w:ind w:left="0"/>
        <w:jc w:val="both"/>
        <w:rPr>
          <w:rFonts w:cs="David"/>
          <w:sz w:val="24"/>
          <w:szCs w:val="24"/>
          <w:rtl/>
        </w:rPr>
      </w:pPr>
    </w:p>
    <w:p w:rsidR="00A05363" w:rsidRPr="00ED0B71" w:rsidRDefault="00833E8A" w:rsidP="00ED0B7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הנגידה התייחסה </w:t>
      </w:r>
      <w:r w:rsidR="00ED0B71">
        <w:rPr>
          <w:rFonts w:cs="David" w:hint="cs"/>
          <w:sz w:val="24"/>
          <w:szCs w:val="24"/>
          <w:rtl/>
        </w:rPr>
        <w:t xml:space="preserve">בהמשך הרצאתה </w:t>
      </w:r>
      <w:r>
        <w:rPr>
          <w:rFonts w:cs="David" w:hint="cs"/>
          <w:sz w:val="24"/>
          <w:szCs w:val="24"/>
          <w:rtl/>
        </w:rPr>
        <w:t>גם ל</w:t>
      </w:r>
      <w:r w:rsidR="00ED0B71">
        <w:rPr>
          <w:rFonts w:cs="David" w:hint="cs"/>
          <w:sz w:val="24"/>
          <w:szCs w:val="24"/>
          <w:rtl/>
        </w:rPr>
        <w:t>נקודות ה</w:t>
      </w:r>
      <w:r>
        <w:rPr>
          <w:rFonts w:cs="David" w:hint="cs"/>
          <w:sz w:val="24"/>
          <w:szCs w:val="24"/>
          <w:rtl/>
        </w:rPr>
        <w:t xml:space="preserve">חוזק של המשק הישראלי </w:t>
      </w:r>
      <w:r w:rsidR="00BE1574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לאתגרים הניצבים בפניו (שקפים</w:t>
      </w:r>
      <w:r w:rsidR="00ED0B71">
        <w:rPr>
          <w:rFonts w:cs="David" w:hint="cs"/>
          <w:sz w:val="24"/>
          <w:szCs w:val="24"/>
          <w:rtl/>
        </w:rPr>
        <w:t xml:space="preserve"> 17-26</w:t>
      </w:r>
      <w:r>
        <w:rPr>
          <w:rFonts w:cs="David" w:hint="cs"/>
          <w:sz w:val="24"/>
          <w:szCs w:val="24"/>
          <w:rtl/>
        </w:rPr>
        <w:t>)</w:t>
      </w:r>
      <w:r w:rsidR="00ED0B71">
        <w:rPr>
          <w:rFonts w:cs="David" w:hint="cs"/>
          <w:sz w:val="24"/>
          <w:szCs w:val="24"/>
          <w:rtl/>
        </w:rPr>
        <w:t>.</w:t>
      </w:r>
    </w:p>
    <w:p w:rsidR="00A05363" w:rsidRDefault="00A05363" w:rsidP="00F72C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4322B1" w:rsidRPr="0051168D" w:rsidRDefault="004322B1" w:rsidP="002934A1">
      <w:pPr>
        <w:spacing w:line="360" w:lineRule="auto"/>
        <w:jc w:val="both"/>
        <w:rPr>
          <w:rFonts w:cs="David"/>
          <w:sz w:val="24"/>
          <w:szCs w:val="24"/>
          <w:rtl/>
        </w:rPr>
      </w:pPr>
    </w:p>
    <w:sectPr w:rsidR="004322B1" w:rsidRPr="0051168D" w:rsidSect="00AF29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1" w:right="1797" w:bottom="1021" w:left="1797" w:header="709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70" w:rsidRDefault="00060770" w:rsidP="00C82A93">
      <w:pPr>
        <w:spacing w:after="0" w:line="240" w:lineRule="auto"/>
      </w:pPr>
      <w:r>
        <w:separator/>
      </w:r>
    </w:p>
  </w:endnote>
  <w:endnote w:type="continuationSeparator" w:id="0">
    <w:p w:rsidR="00060770" w:rsidRDefault="00060770" w:rsidP="00C8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33" w:rsidRDefault="00B7383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18"/>
        <w:szCs w:val="18"/>
        <w:rtl/>
        <w:lang w:val="he-IL"/>
      </w:rPr>
      <w:id w:val="1232576530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18"/>
            <w:szCs w:val="18"/>
            <w:rtl/>
            <w:lang w:val="he-IL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82A93" w:rsidRPr="00E93018" w:rsidRDefault="00E93018" w:rsidP="0082396B">
            <w:pPr>
              <w:pStyle w:val="a8"/>
              <w:rPr>
                <w:rFonts w:cs="David"/>
                <w:sz w:val="18"/>
                <w:szCs w:val="18"/>
              </w:rPr>
            </w:pPr>
            <w:r w:rsidRPr="00E93018">
              <w:rPr>
                <w:rFonts w:cs="David" w:hint="cs"/>
                <w:sz w:val="18"/>
                <w:szCs w:val="18"/>
                <w:rtl/>
                <w:lang w:val="he-IL"/>
              </w:rPr>
              <w:t xml:space="preserve">דברי נגידת בנק ישראל </w:t>
            </w:r>
            <w:r w:rsidR="00CE2571">
              <w:rPr>
                <w:rFonts w:cs="David" w:hint="cs"/>
                <w:sz w:val="18"/>
                <w:szCs w:val="18"/>
                <w:rtl/>
                <w:lang w:val="he-IL"/>
              </w:rPr>
              <w:t>בבית המשפט העליון</w:t>
            </w:r>
            <w:r w:rsidRPr="00E93018">
              <w:rPr>
                <w:rFonts w:cs="David" w:hint="cs"/>
                <w:sz w:val="18"/>
                <w:szCs w:val="18"/>
                <w:rtl/>
                <w:lang w:val="he-IL"/>
              </w:rPr>
              <w:t xml:space="preserve"> בירושלים</w:t>
            </w:r>
            <w:r w:rsidR="00AF2940">
              <w:rPr>
                <w:rFonts w:cs="David" w:hint="cs"/>
                <w:sz w:val="18"/>
                <w:szCs w:val="18"/>
                <w:rtl/>
                <w:lang w:val="he-IL"/>
              </w:rPr>
              <w:t xml:space="preserve"> </w:t>
            </w:r>
            <w:r w:rsidR="0082396B">
              <w:rPr>
                <w:rFonts w:cs="David" w:hint="cs"/>
                <w:sz w:val="18"/>
                <w:szCs w:val="18"/>
                <w:rtl/>
                <w:lang w:val="he-IL"/>
              </w:rPr>
              <w:t>(</w:t>
            </w:r>
            <w:r w:rsidR="007A1306">
              <w:rPr>
                <w:rFonts w:cs="David" w:hint="cs"/>
                <w:sz w:val="18"/>
                <w:szCs w:val="18"/>
                <w:rtl/>
                <w:lang w:val="he-IL"/>
              </w:rPr>
              <w:t>6 ב</w:t>
            </w:r>
            <w:r w:rsidR="00AF2940">
              <w:rPr>
                <w:rFonts w:cs="David" w:hint="cs"/>
                <w:sz w:val="18"/>
                <w:szCs w:val="18"/>
                <w:rtl/>
                <w:lang w:val="he-IL"/>
              </w:rPr>
              <w:t>אוגוסט 2015</w:t>
            </w:r>
            <w:r w:rsidR="0082396B">
              <w:rPr>
                <w:rFonts w:cs="David" w:hint="cs"/>
                <w:sz w:val="18"/>
                <w:szCs w:val="18"/>
                <w:rtl/>
                <w:lang w:val="he-IL"/>
              </w:rPr>
              <w:t>)</w:t>
            </w:r>
            <w:r w:rsidR="007A1306">
              <w:rPr>
                <w:rFonts w:cs="David" w:hint="cs"/>
                <w:sz w:val="18"/>
                <w:szCs w:val="18"/>
                <w:rtl/>
                <w:cs/>
                <w:lang w:val="he-IL"/>
              </w:rPr>
              <w:t xml:space="preserve">  </w:t>
            </w:r>
            <w:r w:rsidR="00CE2571">
              <w:rPr>
                <w:rFonts w:cs="David" w:hint="cs"/>
                <w:sz w:val="18"/>
                <w:szCs w:val="18"/>
                <w:rtl/>
                <w:cs/>
                <w:lang w:val="he-IL"/>
              </w:rPr>
              <w:t xml:space="preserve">                                                                </w:t>
            </w:r>
            <w:r w:rsidRPr="00E93018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E93018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E93018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PAGE</w:instrText>
            </w:r>
            <w:r w:rsidRPr="00E93018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4D40C0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1</w:t>
            </w:r>
            <w:r w:rsidRPr="00E93018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  <w:r w:rsidRPr="00E93018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E93018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E93018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NUMPAGES</w:instrText>
            </w:r>
            <w:r w:rsidRPr="00E93018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4D40C0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2</w:t>
            </w:r>
            <w:r w:rsidRPr="00E93018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33" w:rsidRDefault="00B738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70" w:rsidRDefault="00060770" w:rsidP="00C82A93">
      <w:pPr>
        <w:spacing w:after="0" w:line="240" w:lineRule="auto"/>
      </w:pPr>
      <w:r>
        <w:separator/>
      </w:r>
    </w:p>
  </w:footnote>
  <w:footnote w:type="continuationSeparator" w:id="0">
    <w:p w:rsidR="00060770" w:rsidRDefault="00060770" w:rsidP="00C8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33" w:rsidRDefault="00B738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33" w:rsidRDefault="00B7383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33" w:rsidRDefault="00B738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1C48"/>
    <w:multiLevelType w:val="hybridMultilevel"/>
    <w:tmpl w:val="413633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4337A"/>
    <w:multiLevelType w:val="hybridMultilevel"/>
    <w:tmpl w:val="5D445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552FF9"/>
    <w:multiLevelType w:val="hybridMultilevel"/>
    <w:tmpl w:val="5DA2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E452A"/>
    <w:multiLevelType w:val="hybridMultilevel"/>
    <w:tmpl w:val="2E8E7A68"/>
    <w:lvl w:ilvl="0" w:tplc="68C611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4A2A8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BAB1A2">
      <w:start w:val="20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A71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06AA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ACC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2D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6D8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D0D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2A"/>
    <w:rsid w:val="0005222C"/>
    <w:rsid w:val="00057F1C"/>
    <w:rsid w:val="00060770"/>
    <w:rsid w:val="00082B28"/>
    <w:rsid w:val="000A41FC"/>
    <w:rsid w:val="000C1F94"/>
    <w:rsid w:val="000C5A0D"/>
    <w:rsid w:val="000D41F6"/>
    <w:rsid w:val="000D7CCE"/>
    <w:rsid w:val="000E336E"/>
    <w:rsid w:val="000F2671"/>
    <w:rsid w:val="000F7BA8"/>
    <w:rsid w:val="0013333B"/>
    <w:rsid w:val="00165C3D"/>
    <w:rsid w:val="001C3A23"/>
    <w:rsid w:val="001E7C4E"/>
    <w:rsid w:val="001F1905"/>
    <w:rsid w:val="0021262F"/>
    <w:rsid w:val="0022069A"/>
    <w:rsid w:val="00240AE2"/>
    <w:rsid w:val="00253581"/>
    <w:rsid w:val="0027426C"/>
    <w:rsid w:val="0027534C"/>
    <w:rsid w:val="00290DB4"/>
    <w:rsid w:val="0029293D"/>
    <w:rsid w:val="002934A1"/>
    <w:rsid w:val="002A1D5F"/>
    <w:rsid w:val="002C73B1"/>
    <w:rsid w:val="002D3A9D"/>
    <w:rsid w:val="00300332"/>
    <w:rsid w:val="0032046A"/>
    <w:rsid w:val="0033280C"/>
    <w:rsid w:val="00333F2A"/>
    <w:rsid w:val="0033741A"/>
    <w:rsid w:val="0034657F"/>
    <w:rsid w:val="00412FC4"/>
    <w:rsid w:val="00424B2B"/>
    <w:rsid w:val="004322B1"/>
    <w:rsid w:val="00450B74"/>
    <w:rsid w:val="00467066"/>
    <w:rsid w:val="00485E24"/>
    <w:rsid w:val="004C08D3"/>
    <w:rsid w:val="004D40C0"/>
    <w:rsid w:val="0051168D"/>
    <w:rsid w:val="00522886"/>
    <w:rsid w:val="00524790"/>
    <w:rsid w:val="005512F8"/>
    <w:rsid w:val="005A032C"/>
    <w:rsid w:val="005C4B3D"/>
    <w:rsid w:val="005D68F7"/>
    <w:rsid w:val="00605709"/>
    <w:rsid w:val="006250C0"/>
    <w:rsid w:val="00627E05"/>
    <w:rsid w:val="00647548"/>
    <w:rsid w:val="00681AA5"/>
    <w:rsid w:val="0069321A"/>
    <w:rsid w:val="006B68B9"/>
    <w:rsid w:val="006F39B5"/>
    <w:rsid w:val="00705AA5"/>
    <w:rsid w:val="007322AC"/>
    <w:rsid w:val="00737110"/>
    <w:rsid w:val="00751045"/>
    <w:rsid w:val="0078302A"/>
    <w:rsid w:val="00785D05"/>
    <w:rsid w:val="007A1306"/>
    <w:rsid w:val="007B2641"/>
    <w:rsid w:val="007C1ABE"/>
    <w:rsid w:val="008169E2"/>
    <w:rsid w:val="0082396B"/>
    <w:rsid w:val="00827E9A"/>
    <w:rsid w:val="00833E8A"/>
    <w:rsid w:val="00851490"/>
    <w:rsid w:val="00895B79"/>
    <w:rsid w:val="008A333D"/>
    <w:rsid w:val="008C0824"/>
    <w:rsid w:val="008C4A73"/>
    <w:rsid w:val="0091336A"/>
    <w:rsid w:val="00921F35"/>
    <w:rsid w:val="00930FCF"/>
    <w:rsid w:val="0093484A"/>
    <w:rsid w:val="00937AEA"/>
    <w:rsid w:val="00942FBA"/>
    <w:rsid w:val="00963CBF"/>
    <w:rsid w:val="00976F5F"/>
    <w:rsid w:val="00992F2E"/>
    <w:rsid w:val="009975E2"/>
    <w:rsid w:val="00A05363"/>
    <w:rsid w:val="00A31310"/>
    <w:rsid w:val="00A565B6"/>
    <w:rsid w:val="00A62332"/>
    <w:rsid w:val="00A63652"/>
    <w:rsid w:val="00A64852"/>
    <w:rsid w:val="00A660A6"/>
    <w:rsid w:val="00A9122F"/>
    <w:rsid w:val="00AE546E"/>
    <w:rsid w:val="00AF2940"/>
    <w:rsid w:val="00B15C47"/>
    <w:rsid w:val="00B73833"/>
    <w:rsid w:val="00BE1574"/>
    <w:rsid w:val="00C32D0F"/>
    <w:rsid w:val="00C3778A"/>
    <w:rsid w:val="00C62B30"/>
    <w:rsid w:val="00C64D96"/>
    <w:rsid w:val="00C67C95"/>
    <w:rsid w:val="00C82A93"/>
    <w:rsid w:val="00C90A8B"/>
    <w:rsid w:val="00CE2571"/>
    <w:rsid w:val="00CF56C8"/>
    <w:rsid w:val="00D245C4"/>
    <w:rsid w:val="00D27EBC"/>
    <w:rsid w:val="00D91134"/>
    <w:rsid w:val="00D95986"/>
    <w:rsid w:val="00DE54E8"/>
    <w:rsid w:val="00E05568"/>
    <w:rsid w:val="00E31100"/>
    <w:rsid w:val="00E36EFF"/>
    <w:rsid w:val="00E80276"/>
    <w:rsid w:val="00E93018"/>
    <w:rsid w:val="00ED0B71"/>
    <w:rsid w:val="00ED2A63"/>
    <w:rsid w:val="00ED786E"/>
    <w:rsid w:val="00F05EF1"/>
    <w:rsid w:val="00F25CD1"/>
    <w:rsid w:val="00F56A9D"/>
    <w:rsid w:val="00F56ACF"/>
    <w:rsid w:val="00F72CA2"/>
    <w:rsid w:val="00F95684"/>
    <w:rsid w:val="00FC3AE6"/>
    <w:rsid w:val="00FE08A4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E08A4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C1A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2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82A93"/>
  </w:style>
  <w:style w:type="paragraph" w:styleId="a8">
    <w:name w:val="footer"/>
    <w:basedOn w:val="a"/>
    <w:link w:val="a9"/>
    <w:uiPriority w:val="99"/>
    <w:unhideWhenUsed/>
    <w:rsid w:val="00C82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82A93"/>
  </w:style>
  <w:style w:type="paragraph" w:styleId="aa">
    <w:name w:val="List Paragraph"/>
    <w:basedOn w:val="a"/>
    <w:uiPriority w:val="34"/>
    <w:qFormat/>
    <w:rsid w:val="00424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E08A4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C1A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2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82A93"/>
  </w:style>
  <w:style w:type="paragraph" w:styleId="a8">
    <w:name w:val="footer"/>
    <w:basedOn w:val="a"/>
    <w:link w:val="a9"/>
    <w:uiPriority w:val="99"/>
    <w:unhideWhenUsed/>
    <w:rsid w:val="00C82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82A93"/>
  </w:style>
  <w:style w:type="paragraph" w:styleId="aa">
    <w:name w:val="List Paragraph"/>
    <w:basedOn w:val="a"/>
    <w:uiPriority w:val="34"/>
    <w:qFormat/>
    <w:rsid w:val="00424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4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9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5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39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71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3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15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4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6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99BA89C-6BFF-4DDD-B6EE-707855B95B23}"/>
</file>

<file path=customXml/itemProps2.xml><?xml version="1.0" encoding="utf-8"?>
<ds:datastoreItem xmlns:ds="http://schemas.openxmlformats.org/officeDocument/2006/customXml" ds:itemID="{8ACBBC90-3DB4-4BEC-8B5C-A0DAE72E4FF5}"/>
</file>

<file path=customXml/itemProps3.xml><?xml version="1.0" encoding="utf-8"?>
<ds:datastoreItem xmlns:ds="http://schemas.openxmlformats.org/officeDocument/2006/customXml" ds:itemID="{9D2395D9-B43A-4468-9A4B-662422B04078}"/>
</file>

<file path=customXml/itemProps4.xml><?xml version="1.0" encoding="utf-8"?>
<ds:datastoreItem xmlns:ds="http://schemas.openxmlformats.org/officeDocument/2006/customXml" ds:itemID="{6928BAA0-144D-4E37-AC9A-7831B1FB9A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2015-08-10T06:21:00Z</dcterms:created>
  <dcterms:modified xsi:type="dcterms:W3CDTF">2015-08-10T06:21:00Z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