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C1BF8" w14:textId="77777777" w:rsidR="001F5175" w:rsidRPr="00507575" w:rsidRDefault="001F5175" w:rsidP="001F5175">
      <w:pPr>
        <w:bidi w:val="0"/>
        <w:rPr>
          <w:rFonts w:ascii="Calibri" w:hAnsi="Calibri" w:cs="Calibri"/>
          <w:b/>
          <w:bCs/>
          <w:sz w:val="26"/>
          <w:szCs w:val="26"/>
          <w:rtl/>
        </w:rPr>
      </w:pPr>
    </w:p>
    <w:p w14:paraId="6669B82E" w14:textId="77777777" w:rsidR="001F5175" w:rsidRPr="00507575" w:rsidRDefault="001F5175" w:rsidP="001F5175">
      <w:pPr>
        <w:bidi w:val="0"/>
        <w:spacing w:line="300" w:lineRule="atLeast"/>
        <w:rPr>
          <w:rFonts w:ascii="Calibri" w:hAnsi="Calibri" w:cs="Calibri"/>
          <w:bCs/>
        </w:rPr>
      </w:pPr>
      <w:r w:rsidRPr="00507575">
        <w:rPr>
          <w:rFonts w:ascii="Calibri" w:hAnsi="Calibri" w:cs="Calibri"/>
          <w:noProof/>
        </w:rPr>
        <w:drawing>
          <wp:anchor distT="0" distB="0" distL="114300" distR="114300" simplePos="0" relativeHeight="251702272" behindDoc="0" locked="0" layoutInCell="1" allowOverlap="1" wp14:anchorId="2CFFC899" wp14:editId="6BBF6288">
            <wp:simplePos x="0" y="0"/>
            <wp:positionH relativeFrom="margin">
              <wp:align>center</wp:align>
            </wp:positionH>
            <wp:positionV relativeFrom="paragraph">
              <wp:posOffset>-601585</wp:posOffset>
            </wp:positionV>
            <wp:extent cx="2124075" cy="764540"/>
            <wp:effectExtent l="0" t="0" r="0" b="0"/>
            <wp:wrapNone/>
            <wp:docPr id="2" name="תמונה 2" descr="C:\Users\u34r\AppData\Local\Microsoft\Windows\INetCache\Content.Word\logo 70-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34r\AppData\Local\Microsoft\Windows\INetCache\Content.Word\logo 70-e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345" t="43675" r="31903" b="43451"/>
                    <a:stretch/>
                  </pic:blipFill>
                  <pic:spPr bwMode="auto">
                    <a:xfrm>
                      <a:off x="0" y="0"/>
                      <a:ext cx="2124075" cy="76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CBBAAB" w14:textId="77777777" w:rsidR="001F5175" w:rsidRPr="00507575" w:rsidRDefault="001F5175" w:rsidP="001F5175">
      <w:pPr>
        <w:bidi w:val="0"/>
        <w:spacing w:line="300" w:lineRule="atLeast"/>
        <w:jc w:val="both"/>
        <w:rPr>
          <w:rFonts w:ascii="Calibri" w:hAnsi="Calibri" w:cs="Calibri"/>
          <w:bCs/>
        </w:rPr>
      </w:pPr>
    </w:p>
    <w:p w14:paraId="22C4F290" w14:textId="77777777" w:rsidR="001F5175" w:rsidRPr="00507575" w:rsidRDefault="001F5175" w:rsidP="001F5175">
      <w:pPr>
        <w:bidi w:val="0"/>
        <w:spacing w:line="300" w:lineRule="atLeast"/>
        <w:jc w:val="center"/>
        <w:rPr>
          <w:rFonts w:ascii="Calibri" w:hAnsi="Calibri" w:cs="Calibri"/>
          <w:bCs/>
        </w:rPr>
      </w:pPr>
      <w:r w:rsidRPr="00507575">
        <w:rPr>
          <w:rFonts w:ascii="Calibri" w:hAnsi="Calibri" w:cs="Calibri"/>
          <w:bCs/>
        </w:rPr>
        <w:t>BANK OF ISRAEL</w:t>
      </w:r>
    </w:p>
    <w:p w14:paraId="789A39E1" w14:textId="77777777" w:rsidR="001F5175" w:rsidRPr="00507575" w:rsidRDefault="001F5175" w:rsidP="001F5175">
      <w:pPr>
        <w:bidi w:val="0"/>
        <w:spacing w:line="300" w:lineRule="atLeast"/>
        <w:jc w:val="center"/>
        <w:rPr>
          <w:rFonts w:ascii="Calibri" w:hAnsi="Calibri" w:cs="Calibri"/>
        </w:rPr>
      </w:pPr>
      <w:r w:rsidRPr="00507575">
        <w:rPr>
          <w:rFonts w:ascii="Calibri" w:hAnsi="Calibri" w:cs="Calibri"/>
        </w:rPr>
        <w:t>Office of the Spokesperson and Economic Information</w:t>
      </w:r>
    </w:p>
    <w:p w14:paraId="4FAB6197" w14:textId="77777777" w:rsidR="001F5175" w:rsidRPr="00507575" w:rsidRDefault="001F5175" w:rsidP="001F5175">
      <w:pPr>
        <w:pStyle w:val="Letterhead2"/>
        <w:tabs>
          <w:tab w:val="center" w:pos="5174"/>
          <w:tab w:val="left" w:pos="9088"/>
        </w:tabs>
        <w:rPr>
          <w:rFonts w:ascii="Calibri" w:hAnsi="Calibri" w:cs="Calibri"/>
          <w:sz w:val="24"/>
          <w:szCs w:val="24"/>
        </w:rPr>
      </w:pPr>
    </w:p>
    <w:p w14:paraId="7CCBAED9" w14:textId="03F23724" w:rsidR="001F5175" w:rsidRPr="00507575" w:rsidRDefault="001F5175" w:rsidP="001F5175">
      <w:pPr>
        <w:bidi w:val="0"/>
        <w:ind w:right="283"/>
        <w:jc w:val="right"/>
        <w:rPr>
          <w:rFonts w:ascii="Calibri" w:hAnsi="Calibri" w:cs="Calibri"/>
        </w:rPr>
      </w:pPr>
      <w:r>
        <w:rPr>
          <w:rFonts w:ascii="Calibri" w:hAnsi="Calibri" w:cs="Calibri"/>
        </w:rPr>
        <w:t>May 5</w:t>
      </w:r>
      <w:r w:rsidRPr="00507575">
        <w:rPr>
          <w:rFonts w:ascii="Calibri" w:hAnsi="Calibri" w:cs="Calibri"/>
        </w:rPr>
        <w:t>, 2025</w:t>
      </w:r>
    </w:p>
    <w:p w14:paraId="4B4E6470" w14:textId="52BE1C7B" w:rsidR="00716379" w:rsidRPr="001F5175" w:rsidRDefault="00716379" w:rsidP="001F5175">
      <w:pPr>
        <w:pStyle w:val="PressReleaseTitle"/>
        <w:rPr>
          <w:rFonts w:asciiTheme="minorHAnsi" w:hAnsiTheme="minorHAnsi" w:cstheme="minorHAnsi"/>
          <w:sz w:val="24"/>
          <w:szCs w:val="24"/>
        </w:rPr>
      </w:pPr>
      <w:r w:rsidRPr="001F5175">
        <w:rPr>
          <w:rFonts w:asciiTheme="minorHAnsi" w:hAnsiTheme="minorHAnsi" w:cstheme="minorHAnsi"/>
          <w:sz w:val="24"/>
          <w:szCs w:val="24"/>
        </w:rPr>
        <w:t>Press Release</w:t>
      </w:r>
      <w:r w:rsidR="00A725A1" w:rsidRPr="001F5175">
        <w:rPr>
          <w:rFonts w:asciiTheme="minorHAnsi" w:hAnsiTheme="minorHAnsi" w:cstheme="minorHAnsi"/>
          <w:sz w:val="24"/>
          <w:szCs w:val="24"/>
        </w:rPr>
        <w:t>:</w:t>
      </w:r>
    </w:p>
    <w:p w14:paraId="62578AA0" w14:textId="77777777" w:rsidR="00A725A1" w:rsidRPr="001F5175" w:rsidRDefault="00A725A1" w:rsidP="00A725A1">
      <w:pPr>
        <w:pStyle w:val="PressReleaseTitle"/>
        <w:jc w:val="left"/>
        <w:rPr>
          <w:rFonts w:ascii="Calibri" w:hAnsi="Calibri" w:cs="Calibri"/>
        </w:rPr>
      </w:pPr>
    </w:p>
    <w:p w14:paraId="772C0C65" w14:textId="66662D3E" w:rsidR="00716379" w:rsidRPr="001F5175" w:rsidRDefault="00716379" w:rsidP="00AE7F22">
      <w:pPr>
        <w:pStyle w:val="PressReleaseTitle"/>
        <w:rPr>
          <w:rFonts w:ascii="Calibri" w:hAnsi="Calibri" w:cs="Calibri"/>
          <w:sz w:val="28"/>
          <w:szCs w:val="28"/>
        </w:rPr>
      </w:pPr>
      <w:bookmarkStart w:id="0" w:name="_GoBack"/>
      <w:r w:rsidRPr="001F5175">
        <w:rPr>
          <w:rFonts w:ascii="Calibri" w:hAnsi="Calibri" w:cs="Calibri"/>
          <w:sz w:val="28"/>
          <w:szCs w:val="28"/>
        </w:rPr>
        <w:t xml:space="preserve">Israel’s foreign currency market in </w:t>
      </w:r>
      <w:r w:rsidR="006811E6" w:rsidRPr="001F5175">
        <w:rPr>
          <w:rFonts w:ascii="Calibri" w:hAnsi="Calibri" w:cs="Calibri"/>
          <w:sz w:val="28"/>
          <w:szCs w:val="28"/>
        </w:rPr>
        <w:t xml:space="preserve">the </w:t>
      </w:r>
      <w:r w:rsidR="00353385" w:rsidRPr="001F5175">
        <w:rPr>
          <w:rFonts w:ascii="Calibri" w:hAnsi="Calibri" w:cs="Calibri"/>
          <w:sz w:val="28"/>
          <w:szCs w:val="28"/>
        </w:rPr>
        <w:t>first</w:t>
      </w:r>
      <w:r w:rsidR="006346E3" w:rsidRPr="001F5175">
        <w:rPr>
          <w:rFonts w:ascii="Calibri" w:hAnsi="Calibri" w:cs="Calibri"/>
          <w:sz w:val="28"/>
          <w:szCs w:val="28"/>
        </w:rPr>
        <w:t xml:space="preserve"> </w:t>
      </w:r>
      <w:r w:rsidR="0013070F" w:rsidRPr="001F5175">
        <w:rPr>
          <w:rFonts w:ascii="Calibri" w:hAnsi="Calibri" w:cs="Calibri"/>
          <w:sz w:val="28"/>
          <w:szCs w:val="28"/>
        </w:rPr>
        <w:t>quarter</w:t>
      </w:r>
      <w:r w:rsidR="0017665B" w:rsidRPr="001F5175">
        <w:rPr>
          <w:rFonts w:ascii="Calibri" w:hAnsi="Calibri" w:cs="Calibri"/>
          <w:sz w:val="28"/>
          <w:szCs w:val="28"/>
        </w:rPr>
        <w:t xml:space="preserve"> </w:t>
      </w:r>
      <w:r w:rsidR="00B9767B" w:rsidRPr="001F5175">
        <w:rPr>
          <w:rFonts w:ascii="Calibri" w:hAnsi="Calibri" w:cs="Calibri"/>
          <w:sz w:val="28"/>
          <w:szCs w:val="28"/>
        </w:rPr>
        <w:t>of</w:t>
      </w:r>
      <w:r w:rsidR="006346E3" w:rsidRPr="001F5175">
        <w:rPr>
          <w:rFonts w:ascii="Calibri" w:hAnsi="Calibri" w:cs="Calibri"/>
          <w:sz w:val="28"/>
          <w:szCs w:val="28"/>
        </w:rPr>
        <w:t xml:space="preserve"> </w:t>
      </w:r>
      <w:r w:rsidR="00353385" w:rsidRPr="001F5175">
        <w:rPr>
          <w:rFonts w:ascii="Calibri" w:hAnsi="Calibri" w:cs="Calibri"/>
          <w:sz w:val="28"/>
          <w:szCs w:val="28"/>
        </w:rPr>
        <w:t>2025</w:t>
      </w:r>
    </w:p>
    <w:bookmarkEnd w:id="0"/>
    <w:p w14:paraId="6FE4674A" w14:textId="77777777" w:rsidR="00316A5F" w:rsidRPr="001F5175" w:rsidRDefault="00316A5F" w:rsidP="001E3DF2">
      <w:pPr>
        <w:bidi w:val="0"/>
        <w:jc w:val="center"/>
        <w:rPr>
          <w:rFonts w:ascii="Calibri" w:hAnsi="Calibri" w:cs="Calibri"/>
          <w:sz w:val="22"/>
          <w:szCs w:val="22"/>
        </w:rPr>
      </w:pPr>
    </w:p>
    <w:p w14:paraId="285B719A" w14:textId="77777777" w:rsidR="00716379" w:rsidRPr="001F5175" w:rsidRDefault="00716379" w:rsidP="001E3DF2">
      <w:pPr>
        <w:bidi w:val="0"/>
        <w:jc w:val="both"/>
        <w:rPr>
          <w:rFonts w:ascii="Calibri" w:hAnsi="Calibri" w:cs="Calibri"/>
          <w:b/>
          <w:bCs/>
        </w:rPr>
      </w:pPr>
    </w:p>
    <w:p w14:paraId="5721F431" w14:textId="5C1D20E8" w:rsidR="00716379" w:rsidRPr="001F5175" w:rsidRDefault="00716379" w:rsidP="001E6AE3">
      <w:pPr>
        <w:bidi w:val="0"/>
        <w:jc w:val="both"/>
        <w:rPr>
          <w:rFonts w:ascii="Calibri" w:hAnsi="Calibri" w:cs="Calibri"/>
          <w:b/>
          <w:bCs/>
        </w:rPr>
      </w:pPr>
      <w:r w:rsidRPr="001F5175">
        <w:rPr>
          <w:rFonts w:ascii="Calibri" w:hAnsi="Calibri" w:cs="Calibri"/>
          <w:b/>
          <w:bCs/>
        </w:rPr>
        <w:t>1. Exchange Rate</w:t>
      </w:r>
      <w:r w:rsidR="001E6AE3" w:rsidRPr="001F5175">
        <w:rPr>
          <w:rFonts w:ascii="Calibri" w:hAnsi="Calibri" w:cs="Calibri"/>
          <w:b/>
          <w:bCs/>
        </w:rPr>
        <w:t xml:space="preserve"> Development</w:t>
      </w:r>
    </w:p>
    <w:p w14:paraId="5B18533B" w14:textId="77777777" w:rsidR="001E3DF2" w:rsidRPr="001F5175" w:rsidRDefault="001E3DF2" w:rsidP="001E3DF2">
      <w:pPr>
        <w:bidi w:val="0"/>
        <w:jc w:val="both"/>
        <w:rPr>
          <w:rFonts w:ascii="Calibri" w:hAnsi="Calibri" w:cs="Calibri"/>
          <w:b/>
          <w:bCs/>
        </w:rPr>
      </w:pPr>
    </w:p>
    <w:p w14:paraId="4CA1CE12" w14:textId="34C999BD" w:rsidR="00716379" w:rsidRPr="001F5175" w:rsidRDefault="007F44E2" w:rsidP="00353385">
      <w:pPr>
        <w:bidi w:val="0"/>
        <w:jc w:val="both"/>
        <w:rPr>
          <w:rFonts w:ascii="Calibri" w:hAnsi="Calibri" w:cs="Calibri"/>
          <w:b/>
          <w:bCs/>
        </w:rPr>
      </w:pPr>
      <w:r w:rsidRPr="001F5175">
        <w:rPr>
          <w:rFonts w:ascii="Calibri" w:hAnsi="Calibri" w:cs="Calibri"/>
          <w:b/>
          <w:bCs/>
        </w:rPr>
        <w:t xml:space="preserve">A </w:t>
      </w:r>
      <w:r w:rsidR="00353385" w:rsidRPr="001F5175">
        <w:rPr>
          <w:rFonts w:ascii="Calibri" w:hAnsi="Calibri" w:cs="Calibri"/>
          <w:b/>
          <w:bCs/>
        </w:rPr>
        <w:t xml:space="preserve">weakening </w:t>
      </w:r>
      <w:r w:rsidR="00A3533A" w:rsidRPr="001F5175">
        <w:rPr>
          <w:rFonts w:ascii="Calibri" w:hAnsi="Calibri" w:cs="Calibri"/>
          <w:b/>
          <w:bCs/>
        </w:rPr>
        <w:t xml:space="preserve">of the shekel </w:t>
      </w:r>
      <w:r w:rsidR="00EC6A33" w:rsidRPr="001F5175">
        <w:rPr>
          <w:rFonts w:ascii="Calibri" w:hAnsi="Calibri" w:cs="Calibri"/>
          <w:b/>
          <w:bCs/>
        </w:rPr>
        <w:t xml:space="preserve">alongside </w:t>
      </w:r>
      <w:r w:rsidR="00AE7F22" w:rsidRPr="001F5175">
        <w:rPr>
          <w:rFonts w:ascii="Calibri" w:hAnsi="Calibri" w:cs="Calibri"/>
          <w:b/>
          <w:bCs/>
        </w:rPr>
        <w:t>a weak</w:t>
      </w:r>
      <w:r w:rsidR="006346E3" w:rsidRPr="001F5175">
        <w:rPr>
          <w:rFonts w:ascii="Calibri" w:hAnsi="Calibri" w:cs="Calibri"/>
          <w:b/>
          <w:bCs/>
        </w:rPr>
        <w:t xml:space="preserve">ening </w:t>
      </w:r>
      <w:r w:rsidR="00EC6A33" w:rsidRPr="001F5175">
        <w:rPr>
          <w:rFonts w:ascii="Calibri" w:hAnsi="Calibri" w:cs="Calibri"/>
          <w:b/>
          <w:bCs/>
        </w:rPr>
        <w:t xml:space="preserve">of </w:t>
      </w:r>
      <w:r w:rsidR="00716379" w:rsidRPr="001F5175">
        <w:rPr>
          <w:rFonts w:ascii="Calibri" w:hAnsi="Calibri" w:cs="Calibri"/>
          <w:b/>
          <w:bCs/>
        </w:rPr>
        <w:t>the dollar</w:t>
      </w:r>
      <w:r w:rsidR="00EC6A33" w:rsidRPr="001F5175">
        <w:rPr>
          <w:rFonts w:ascii="Calibri" w:hAnsi="Calibri" w:cs="Calibri"/>
          <w:b/>
          <w:bCs/>
        </w:rPr>
        <w:t xml:space="preserve"> worldwide</w:t>
      </w:r>
      <w:r w:rsidR="00ED2DF8" w:rsidRPr="001F5175">
        <w:rPr>
          <w:rFonts w:ascii="Calibri" w:hAnsi="Calibri" w:cs="Calibri"/>
          <w:b/>
          <w:bCs/>
        </w:rPr>
        <w:t>.</w:t>
      </w:r>
    </w:p>
    <w:p w14:paraId="6868F97A" w14:textId="77777777" w:rsidR="001E3DF2" w:rsidRPr="001F5175" w:rsidRDefault="001E3DF2" w:rsidP="001E3DF2">
      <w:pPr>
        <w:bidi w:val="0"/>
        <w:jc w:val="both"/>
        <w:rPr>
          <w:rFonts w:ascii="Calibri" w:hAnsi="Calibri" w:cs="Calibri"/>
        </w:rPr>
      </w:pPr>
    </w:p>
    <w:p w14:paraId="133397AF" w14:textId="3731C0AD" w:rsidR="00AB5B37" w:rsidRPr="001F5175" w:rsidRDefault="006811E6" w:rsidP="00441348">
      <w:pPr>
        <w:bidi w:val="0"/>
        <w:jc w:val="both"/>
        <w:rPr>
          <w:rFonts w:ascii="Calibri" w:hAnsi="Calibri" w:cs="Calibri"/>
        </w:rPr>
      </w:pPr>
      <w:r w:rsidRPr="001F5175">
        <w:rPr>
          <w:rFonts w:ascii="Calibri" w:hAnsi="Calibri" w:cs="Calibri"/>
        </w:rPr>
        <w:t xml:space="preserve">During </w:t>
      </w:r>
      <w:r w:rsidR="0002528B" w:rsidRPr="001F5175">
        <w:rPr>
          <w:rFonts w:ascii="Calibri" w:hAnsi="Calibri" w:cs="Calibri"/>
        </w:rPr>
        <w:t xml:space="preserve">the course of the </w:t>
      </w:r>
      <w:r w:rsidR="00353385" w:rsidRPr="001F5175">
        <w:rPr>
          <w:rFonts w:ascii="Calibri" w:hAnsi="Calibri" w:cs="Calibri"/>
        </w:rPr>
        <w:t>first</w:t>
      </w:r>
      <w:r w:rsidR="00A3533A" w:rsidRPr="001F5175">
        <w:rPr>
          <w:rFonts w:ascii="Calibri" w:hAnsi="Calibri" w:cs="Calibri"/>
        </w:rPr>
        <w:t xml:space="preserve"> quarter</w:t>
      </w:r>
      <w:r w:rsidR="00353385" w:rsidRPr="001F5175">
        <w:rPr>
          <w:rFonts w:ascii="Calibri" w:hAnsi="Calibri" w:cs="Calibri"/>
        </w:rPr>
        <w:t xml:space="preserve"> of 2025</w:t>
      </w:r>
      <w:r w:rsidR="00716379" w:rsidRPr="001F5175">
        <w:rPr>
          <w:rFonts w:ascii="Calibri" w:hAnsi="Calibri" w:cs="Calibri"/>
        </w:rPr>
        <w:t>,</w:t>
      </w:r>
      <w:r w:rsidR="005D39B6" w:rsidRPr="001F5175">
        <w:rPr>
          <w:rFonts w:ascii="Calibri" w:hAnsi="Calibri" w:cs="Calibri"/>
        </w:rPr>
        <w:t xml:space="preserve"> </w:t>
      </w:r>
      <w:r w:rsidR="00A3533A" w:rsidRPr="001F5175">
        <w:rPr>
          <w:rFonts w:ascii="Calibri" w:hAnsi="Calibri" w:cs="Calibri"/>
        </w:rPr>
        <w:t xml:space="preserve">the </w:t>
      </w:r>
      <w:r w:rsidR="005E5212" w:rsidRPr="001F5175">
        <w:rPr>
          <w:rFonts w:ascii="Calibri" w:hAnsi="Calibri" w:cs="Calibri"/>
        </w:rPr>
        <w:t xml:space="preserve">shekel </w:t>
      </w:r>
      <w:r w:rsidR="00441348" w:rsidRPr="001F5175">
        <w:rPr>
          <w:rFonts w:ascii="Calibri" w:hAnsi="Calibri" w:cs="Calibri"/>
        </w:rPr>
        <w:t>weakened</w:t>
      </w:r>
      <w:r w:rsidR="007F44E2" w:rsidRPr="001F5175">
        <w:rPr>
          <w:rFonts w:ascii="Calibri" w:hAnsi="Calibri" w:cs="Calibri"/>
        </w:rPr>
        <w:t xml:space="preserve"> by </w:t>
      </w:r>
      <w:r w:rsidR="00AE7F22" w:rsidRPr="001F5175">
        <w:rPr>
          <w:rFonts w:ascii="Calibri" w:hAnsi="Calibri" w:cs="Calibri"/>
        </w:rPr>
        <w:t xml:space="preserve">about </w:t>
      </w:r>
      <w:r w:rsidR="00441348" w:rsidRPr="001F5175">
        <w:rPr>
          <w:rFonts w:ascii="Calibri" w:hAnsi="Calibri" w:cs="Calibri"/>
        </w:rPr>
        <w:t xml:space="preserve">2 </w:t>
      </w:r>
      <w:r w:rsidR="007F44E2" w:rsidRPr="001F5175">
        <w:rPr>
          <w:rFonts w:ascii="Calibri" w:hAnsi="Calibri" w:cs="Calibri"/>
        </w:rPr>
        <w:t xml:space="preserve">percent against the US dollar, and by </w:t>
      </w:r>
      <w:r w:rsidR="001E6AE3" w:rsidRPr="001F5175">
        <w:rPr>
          <w:rFonts w:ascii="Calibri" w:hAnsi="Calibri" w:cs="Calibri"/>
        </w:rPr>
        <w:t>6 p</w:t>
      </w:r>
      <w:r w:rsidR="007F44E2" w:rsidRPr="001F5175">
        <w:rPr>
          <w:rFonts w:ascii="Calibri" w:hAnsi="Calibri" w:cs="Calibri"/>
        </w:rPr>
        <w:t>ercent against the euro</w:t>
      </w:r>
      <w:r w:rsidR="00441348" w:rsidRPr="001F5175">
        <w:rPr>
          <w:rFonts w:ascii="Calibri" w:hAnsi="Calibri" w:cs="Calibri"/>
        </w:rPr>
        <w:t>, in contrast to the final quarter of 2024</w:t>
      </w:r>
      <w:r w:rsidR="006346E3" w:rsidRPr="001F5175">
        <w:rPr>
          <w:rFonts w:ascii="Calibri" w:hAnsi="Calibri" w:cs="Calibri"/>
        </w:rPr>
        <w:t xml:space="preserve">. In addition, the shekel </w:t>
      </w:r>
      <w:r w:rsidR="00441348" w:rsidRPr="001F5175">
        <w:rPr>
          <w:rFonts w:ascii="Calibri" w:hAnsi="Calibri" w:cs="Calibri"/>
        </w:rPr>
        <w:t xml:space="preserve">weakened </w:t>
      </w:r>
      <w:r w:rsidR="006346E3" w:rsidRPr="001F5175">
        <w:rPr>
          <w:rFonts w:ascii="Calibri" w:hAnsi="Calibri" w:cs="Calibri"/>
        </w:rPr>
        <w:t xml:space="preserve">by </w:t>
      </w:r>
      <w:r w:rsidR="00441348" w:rsidRPr="001F5175">
        <w:rPr>
          <w:rFonts w:ascii="Calibri" w:hAnsi="Calibri" w:cs="Calibri"/>
        </w:rPr>
        <w:t xml:space="preserve">3.7 </w:t>
      </w:r>
      <w:r w:rsidR="006346E3" w:rsidRPr="001F5175">
        <w:rPr>
          <w:rFonts w:ascii="Calibri" w:hAnsi="Calibri" w:cs="Calibri"/>
        </w:rPr>
        <w:t xml:space="preserve">percent against the </w:t>
      </w:r>
      <w:r w:rsidR="00716379" w:rsidRPr="001F5175">
        <w:rPr>
          <w:rFonts w:ascii="Calibri" w:hAnsi="Calibri" w:cs="Calibri"/>
        </w:rPr>
        <w:t xml:space="preserve">currencies of Israel's main trading </w:t>
      </w:r>
      <w:proofErr w:type="gramStart"/>
      <w:r w:rsidR="00716379" w:rsidRPr="001F5175">
        <w:rPr>
          <w:rFonts w:ascii="Calibri" w:hAnsi="Calibri" w:cs="Calibri"/>
        </w:rPr>
        <w:t>partners</w:t>
      </w:r>
      <w:proofErr w:type="gramEnd"/>
      <w:r w:rsidR="00716379" w:rsidRPr="001F5175">
        <w:rPr>
          <w:rFonts w:ascii="Calibri" w:hAnsi="Calibri" w:cs="Calibri"/>
        </w:rPr>
        <w:t xml:space="preserve">, </w:t>
      </w:r>
      <w:r w:rsidR="005B529D" w:rsidRPr="001F5175">
        <w:rPr>
          <w:rFonts w:ascii="Calibri" w:hAnsi="Calibri" w:cs="Calibri"/>
        </w:rPr>
        <w:t>in terms of</w:t>
      </w:r>
      <w:r w:rsidR="00716379" w:rsidRPr="001F5175">
        <w:rPr>
          <w:rFonts w:ascii="Calibri" w:hAnsi="Calibri" w:cs="Calibri"/>
        </w:rPr>
        <w:t xml:space="preserve"> the nominal effective exchange rate (i.e., the trade-weighted average shekel exchange rate against those currencies)</w:t>
      </w:r>
      <w:r w:rsidR="005F20E9" w:rsidRPr="001F5175">
        <w:rPr>
          <w:rFonts w:ascii="Calibri" w:hAnsi="Calibri" w:cs="Calibri"/>
        </w:rPr>
        <w:t>.</w:t>
      </w:r>
      <w:r w:rsidR="008D6BC5" w:rsidRPr="001F5175">
        <w:rPr>
          <w:rFonts w:ascii="Calibri" w:hAnsi="Calibri" w:cs="Calibri"/>
        </w:rPr>
        <w:t xml:space="preserve"> </w:t>
      </w:r>
    </w:p>
    <w:p w14:paraId="385CB1C4" w14:textId="571C8704" w:rsidR="0081371F" w:rsidRPr="001F5175" w:rsidRDefault="0081371F" w:rsidP="001E3DF2">
      <w:pPr>
        <w:bidi w:val="0"/>
        <w:jc w:val="both"/>
        <w:rPr>
          <w:rFonts w:ascii="Calibri" w:hAnsi="Calibri" w:cs="Calibri"/>
        </w:rPr>
      </w:pPr>
    </w:p>
    <w:p w14:paraId="6A35F835" w14:textId="2D562A70" w:rsidR="00F84DAD" w:rsidRPr="001F5175" w:rsidRDefault="00441348" w:rsidP="0033007A">
      <w:pPr>
        <w:bidi w:val="0"/>
        <w:jc w:val="both"/>
        <w:rPr>
          <w:rFonts w:ascii="Calibri" w:hAnsi="Calibri" w:cs="Calibri"/>
        </w:rPr>
      </w:pPr>
      <w:r w:rsidRPr="001F5175">
        <w:rPr>
          <w:rFonts w:ascii="Calibri" w:hAnsi="Calibri" w:cs="Calibri"/>
        </w:rPr>
        <w:t>In contrast, from the beginning of the year</w:t>
      </w:r>
      <w:r w:rsidR="0033007A" w:rsidRPr="001F5175">
        <w:rPr>
          <w:rFonts w:ascii="Calibri" w:hAnsi="Calibri" w:cs="Calibri"/>
        </w:rPr>
        <w:t>,</w:t>
      </w:r>
      <w:r w:rsidRPr="001F5175">
        <w:rPr>
          <w:rFonts w:ascii="Calibri" w:hAnsi="Calibri" w:cs="Calibri"/>
        </w:rPr>
        <w:t xml:space="preserve"> the d</w:t>
      </w:r>
      <w:r w:rsidR="00A3533A" w:rsidRPr="001F5175">
        <w:rPr>
          <w:rFonts w:ascii="Calibri" w:hAnsi="Calibri" w:cs="Calibri"/>
        </w:rPr>
        <w:t>ollar</w:t>
      </w:r>
      <w:r w:rsidR="008049BE" w:rsidRPr="001F5175">
        <w:rPr>
          <w:rFonts w:ascii="Calibri" w:hAnsi="Calibri" w:cs="Calibri"/>
        </w:rPr>
        <w:t xml:space="preserve"> </w:t>
      </w:r>
      <w:r w:rsidRPr="001F5175">
        <w:rPr>
          <w:rFonts w:ascii="Calibri" w:hAnsi="Calibri" w:cs="Calibri"/>
        </w:rPr>
        <w:t xml:space="preserve">weakened </w:t>
      </w:r>
      <w:r w:rsidR="008049BE" w:rsidRPr="001F5175">
        <w:rPr>
          <w:rFonts w:ascii="Calibri" w:hAnsi="Calibri" w:cs="Calibri"/>
        </w:rPr>
        <w:t>against most</w:t>
      </w:r>
      <w:r w:rsidR="00AE7F22" w:rsidRPr="001F5175">
        <w:rPr>
          <w:rFonts w:ascii="Calibri" w:hAnsi="Calibri" w:cs="Calibri"/>
        </w:rPr>
        <w:t xml:space="preserve"> of the world’s major</w:t>
      </w:r>
      <w:r w:rsidR="00A3533A" w:rsidRPr="001F5175">
        <w:rPr>
          <w:rFonts w:ascii="Calibri" w:hAnsi="Calibri" w:cs="Calibri"/>
        </w:rPr>
        <w:t xml:space="preserve"> </w:t>
      </w:r>
      <w:r w:rsidR="00F8267E" w:rsidRPr="001F5175">
        <w:rPr>
          <w:rFonts w:ascii="Calibri" w:hAnsi="Calibri" w:cs="Calibri"/>
        </w:rPr>
        <w:t>currencies (Figure 2</w:t>
      </w:r>
      <w:r w:rsidR="0033007A" w:rsidRPr="001F5175">
        <w:rPr>
          <w:rFonts w:ascii="Calibri" w:hAnsi="Calibri" w:cs="Calibri"/>
        </w:rPr>
        <w:t xml:space="preserve">), due as well to the lack of certainty related to the tariff policy in the US. Among other things, the dollar weakened </w:t>
      </w:r>
      <w:r w:rsidR="00DC3A5B" w:rsidRPr="001F5175">
        <w:rPr>
          <w:rFonts w:ascii="Calibri" w:hAnsi="Calibri" w:cs="Calibri"/>
        </w:rPr>
        <w:t xml:space="preserve">by </w:t>
      </w:r>
      <w:r w:rsidR="00AC3FC7" w:rsidRPr="001F5175">
        <w:rPr>
          <w:rFonts w:ascii="Calibri" w:hAnsi="Calibri" w:cs="Calibri"/>
        </w:rPr>
        <w:t xml:space="preserve">approximately </w:t>
      </w:r>
      <w:r w:rsidRPr="001F5175">
        <w:rPr>
          <w:rFonts w:ascii="Calibri" w:hAnsi="Calibri" w:cs="Calibri"/>
        </w:rPr>
        <w:t xml:space="preserve">4.6 </w:t>
      </w:r>
      <w:r w:rsidR="008049BE" w:rsidRPr="001F5175">
        <w:rPr>
          <w:rFonts w:ascii="Calibri" w:hAnsi="Calibri" w:cs="Calibri"/>
        </w:rPr>
        <w:t>percent against the Japanese yen</w:t>
      </w:r>
      <w:r w:rsidR="0033007A" w:rsidRPr="001F5175">
        <w:rPr>
          <w:rFonts w:ascii="Calibri" w:hAnsi="Calibri" w:cs="Calibri"/>
        </w:rPr>
        <w:t xml:space="preserve"> </w:t>
      </w:r>
      <w:r w:rsidR="001A0404" w:rsidRPr="001F5175">
        <w:rPr>
          <w:rFonts w:ascii="Calibri" w:hAnsi="Calibri" w:cs="Calibri"/>
        </w:rPr>
        <w:t xml:space="preserve">and </w:t>
      </w:r>
      <w:r w:rsidR="007F44E2" w:rsidRPr="001F5175">
        <w:rPr>
          <w:rFonts w:ascii="Calibri" w:hAnsi="Calibri" w:cs="Calibri"/>
        </w:rPr>
        <w:t xml:space="preserve">by </w:t>
      </w:r>
      <w:r w:rsidRPr="001F5175">
        <w:rPr>
          <w:rFonts w:ascii="Calibri" w:hAnsi="Calibri" w:cs="Calibri"/>
        </w:rPr>
        <w:t xml:space="preserve">3.8 </w:t>
      </w:r>
      <w:r w:rsidR="007F44E2" w:rsidRPr="001F5175">
        <w:rPr>
          <w:rFonts w:ascii="Calibri" w:hAnsi="Calibri" w:cs="Calibri"/>
        </w:rPr>
        <w:t>percent</w:t>
      </w:r>
      <w:r w:rsidR="001A0404" w:rsidRPr="001F5175">
        <w:rPr>
          <w:rFonts w:ascii="Calibri" w:hAnsi="Calibri" w:cs="Calibri"/>
        </w:rPr>
        <w:t xml:space="preserve"> against the euro</w:t>
      </w:r>
      <w:r w:rsidR="00ED08A0" w:rsidRPr="001F5175">
        <w:rPr>
          <w:rFonts w:ascii="Calibri" w:hAnsi="Calibri" w:cs="Calibri"/>
        </w:rPr>
        <w:t>.</w:t>
      </w:r>
      <w:r w:rsidR="00F8267E" w:rsidRPr="001F5175">
        <w:rPr>
          <w:rFonts w:ascii="Calibri" w:hAnsi="Calibri" w:cs="Calibri"/>
        </w:rPr>
        <w:t xml:space="preserve"> </w:t>
      </w:r>
    </w:p>
    <w:p w14:paraId="4CA51C7A" w14:textId="77777777" w:rsidR="00F84DAD" w:rsidRPr="001F5175" w:rsidRDefault="00F84DAD" w:rsidP="00F84DAD">
      <w:pPr>
        <w:bidi w:val="0"/>
        <w:jc w:val="both"/>
        <w:rPr>
          <w:rFonts w:ascii="Calibri" w:hAnsi="Calibri" w:cs="Calibri"/>
        </w:rPr>
      </w:pPr>
    </w:p>
    <w:p w14:paraId="3171D6FC" w14:textId="0CB47D33" w:rsidR="00AB5B37" w:rsidRPr="001F5175" w:rsidRDefault="007B6D19" w:rsidP="00CE319F">
      <w:pPr>
        <w:bidi w:val="0"/>
        <w:jc w:val="both"/>
        <w:rPr>
          <w:rFonts w:ascii="Calibri" w:hAnsi="Calibri" w:cs="Calibri"/>
        </w:rPr>
      </w:pPr>
      <w:r w:rsidRPr="001F5175">
        <w:rPr>
          <w:rFonts w:ascii="Calibri" w:hAnsi="Calibri" w:cs="Calibri"/>
          <w:noProof/>
        </w:rPr>
        <w:drawing>
          <wp:anchor distT="0" distB="0" distL="114300" distR="114300" simplePos="0" relativeHeight="251691008" behindDoc="0" locked="0" layoutInCell="1" allowOverlap="1" wp14:anchorId="0333C1FB" wp14:editId="0F2FE79A">
            <wp:simplePos x="0" y="0"/>
            <wp:positionH relativeFrom="margin">
              <wp:align>center</wp:align>
            </wp:positionH>
            <wp:positionV relativeFrom="paragraph">
              <wp:posOffset>171450</wp:posOffset>
            </wp:positionV>
            <wp:extent cx="5505450" cy="2761615"/>
            <wp:effectExtent l="0" t="0" r="0"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2761615"/>
                    </a:xfrm>
                    <a:prstGeom prst="rect">
                      <a:avLst/>
                    </a:prstGeom>
                    <a:noFill/>
                  </pic:spPr>
                </pic:pic>
              </a:graphicData>
            </a:graphic>
          </wp:anchor>
        </w:drawing>
      </w:r>
    </w:p>
    <w:p w14:paraId="775159BC" w14:textId="7E733336" w:rsidR="00AB5B37" w:rsidRPr="001F5175" w:rsidRDefault="00AB5B37" w:rsidP="001E3DF2">
      <w:pPr>
        <w:bidi w:val="0"/>
        <w:jc w:val="both"/>
        <w:rPr>
          <w:rFonts w:ascii="Calibri" w:hAnsi="Calibri" w:cs="Calibri"/>
        </w:rPr>
      </w:pPr>
    </w:p>
    <w:p w14:paraId="68337812" w14:textId="7BEE8D24" w:rsidR="00AB5B37" w:rsidRPr="001F5175" w:rsidRDefault="007B6D19" w:rsidP="006E38CA">
      <w:pPr>
        <w:bidi w:val="0"/>
        <w:jc w:val="both"/>
        <w:rPr>
          <w:rFonts w:ascii="Calibri" w:hAnsi="Calibri" w:cs="Calibri"/>
        </w:rPr>
      </w:pPr>
      <w:r w:rsidRPr="001F5175">
        <w:rPr>
          <w:rFonts w:ascii="Calibri" w:hAnsi="Calibri" w:cs="Calibri"/>
          <w:noProof/>
        </w:rPr>
        <w:lastRenderedPageBreak/>
        <w:drawing>
          <wp:anchor distT="0" distB="0" distL="114300" distR="114300" simplePos="0" relativeHeight="251693056" behindDoc="0" locked="0" layoutInCell="1" allowOverlap="1" wp14:anchorId="09A99C09" wp14:editId="3E2163F7">
            <wp:simplePos x="0" y="0"/>
            <wp:positionH relativeFrom="margin">
              <wp:align>center</wp:align>
            </wp:positionH>
            <wp:positionV relativeFrom="paragraph">
              <wp:posOffset>170815</wp:posOffset>
            </wp:positionV>
            <wp:extent cx="5414010" cy="2639695"/>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4010" cy="2639695"/>
                    </a:xfrm>
                    <a:prstGeom prst="rect">
                      <a:avLst/>
                    </a:prstGeom>
                    <a:noFill/>
                  </pic:spPr>
                </pic:pic>
              </a:graphicData>
            </a:graphic>
          </wp:anchor>
        </w:drawing>
      </w:r>
    </w:p>
    <w:p w14:paraId="19923D68" w14:textId="6677963F" w:rsidR="00716379" w:rsidRPr="001F5175" w:rsidRDefault="00716379" w:rsidP="001E3DF2">
      <w:pPr>
        <w:bidi w:val="0"/>
        <w:jc w:val="both"/>
        <w:rPr>
          <w:rFonts w:ascii="Calibri" w:hAnsi="Calibri" w:cs="Calibri"/>
          <w:b/>
          <w:bCs/>
        </w:rPr>
      </w:pPr>
      <w:r w:rsidRPr="001F5175">
        <w:rPr>
          <w:rFonts w:ascii="Calibri" w:hAnsi="Calibri" w:cs="Calibri"/>
          <w:b/>
          <w:bCs/>
        </w:rPr>
        <w:t>2. Exchange Rate Volatility</w:t>
      </w:r>
    </w:p>
    <w:p w14:paraId="6612A6DC" w14:textId="08EA8A4F" w:rsidR="001E3DF2" w:rsidRPr="001F5175" w:rsidRDefault="001E3DF2" w:rsidP="001E3DF2">
      <w:pPr>
        <w:bidi w:val="0"/>
        <w:jc w:val="both"/>
        <w:rPr>
          <w:rFonts w:ascii="Calibri" w:hAnsi="Calibri" w:cs="Calibri"/>
          <w:b/>
          <w:bCs/>
        </w:rPr>
      </w:pPr>
    </w:p>
    <w:p w14:paraId="1A4A83B8" w14:textId="6B6AAAB3" w:rsidR="00716379" w:rsidRPr="001F5175" w:rsidRDefault="00473C1E" w:rsidP="00473C1E">
      <w:pPr>
        <w:bidi w:val="0"/>
        <w:jc w:val="both"/>
        <w:rPr>
          <w:rFonts w:ascii="Calibri" w:hAnsi="Calibri" w:cs="Calibri"/>
          <w:b/>
          <w:bCs/>
        </w:rPr>
      </w:pPr>
      <w:r w:rsidRPr="001F5175">
        <w:rPr>
          <w:rFonts w:ascii="Calibri" w:hAnsi="Calibri" w:cs="Calibri"/>
          <w:b/>
          <w:bCs/>
        </w:rPr>
        <w:t xml:space="preserve">Continued </w:t>
      </w:r>
      <w:r w:rsidR="00AE7F22" w:rsidRPr="001F5175">
        <w:rPr>
          <w:rFonts w:ascii="Calibri" w:hAnsi="Calibri" w:cs="Calibri"/>
          <w:b/>
          <w:bCs/>
        </w:rPr>
        <w:t>decline</w:t>
      </w:r>
      <w:r w:rsidR="00BF32AB" w:rsidRPr="001F5175">
        <w:rPr>
          <w:rFonts w:ascii="Calibri" w:hAnsi="Calibri" w:cs="Calibri"/>
          <w:b/>
          <w:bCs/>
        </w:rPr>
        <w:t xml:space="preserve"> </w:t>
      </w:r>
      <w:r w:rsidR="00716379" w:rsidRPr="001F5175">
        <w:rPr>
          <w:rFonts w:ascii="Calibri" w:hAnsi="Calibri" w:cs="Calibri"/>
          <w:b/>
          <w:bCs/>
        </w:rPr>
        <w:t>in actual volatilit</w:t>
      </w:r>
      <w:r w:rsidR="007F44E2" w:rsidRPr="001F5175">
        <w:rPr>
          <w:rFonts w:ascii="Calibri" w:hAnsi="Calibri" w:cs="Calibri"/>
          <w:b/>
          <w:bCs/>
        </w:rPr>
        <w:t>y</w:t>
      </w:r>
      <w:r w:rsidR="00024A52" w:rsidRPr="001F5175">
        <w:rPr>
          <w:rFonts w:ascii="Calibri" w:hAnsi="Calibri" w:cs="Calibri"/>
          <w:b/>
          <w:bCs/>
        </w:rPr>
        <w:t xml:space="preserve"> </w:t>
      </w:r>
      <w:r w:rsidRPr="001F5175">
        <w:rPr>
          <w:rFonts w:ascii="Calibri" w:hAnsi="Calibri" w:cs="Calibri"/>
          <w:b/>
          <w:bCs/>
        </w:rPr>
        <w:t xml:space="preserve">alongside </w:t>
      </w:r>
      <w:r w:rsidR="00AE7F22" w:rsidRPr="001F5175">
        <w:rPr>
          <w:rFonts w:ascii="Calibri" w:hAnsi="Calibri" w:cs="Calibri"/>
          <w:b/>
          <w:bCs/>
        </w:rPr>
        <w:t>a</w:t>
      </w:r>
      <w:r w:rsidR="00DD7D9C" w:rsidRPr="001F5175">
        <w:rPr>
          <w:rFonts w:ascii="Calibri" w:hAnsi="Calibri" w:cs="Calibri"/>
          <w:b/>
          <w:bCs/>
        </w:rPr>
        <w:t xml:space="preserve"> decline </w:t>
      </w:r>
      <w:r w:rsidR="00AE7F22" w:rsidRPr="001F5175">
        <w:rPr>
          <w:rFonts w:ascii="Calibri" w:hAnsi="Calibri" w:cs="Calibri"/>
          <w:b/>
          <w:bCs/>
        </w:rPr>
        <w:t>in implied volatility</w:t>
      </w:r>
    </w:p>
    <w:p w14:paraId="0C0FC19E" w14:textId="22E9216B" w:rsidR="001E3DF2" w:rsidRPr="001F5175" w:rsidRDefault="001E3DF2" w:rsidP="001E3DF2">
      <w:pPr>
        <w:bidi w:val="0"/>
        <w:jc w:val="both"/>
        <w:rPr>
          <w:rFonts w:ascii="Calibri" w:hAnsi="Calibri" w:cs="Calibri"/>
        </w:rPr>
      </w:pPr>
    </w:p>
    <w:p w14:paraId="37ABE184" w14:textId="205F7C46" w:rsidR="006C3672" w:rsidRPr="001F5175" w:rsidRDefault="00716379" w:rsidP="00FC2164">
      <w:pPr>
        <w:bidi w:val="0"/>
        <w:jc w:val="both"/>
        <w:rPr>
          <w:rFonts w:ascii="Calibri" w:hAnsi="Calibri" w:cs="Calibri"/>
        </w:rPr>
      </w:pPr>
      <w:r w:rsidRPr="001F5175">
        <w:rPr>
          <w:rFonts w:ascii="Calibri" w:hAnsi="Calibri" w:cs="Calibri"/>
        </w:rPr>
        <w:t xml:space="preserve">The </w:t>
      </w:r>
      <w:r w:rsidR="00FC2164" w:rsidRPr="001F5175">
        <w:rPr>
          <w:rFonts w:ascii="Calibri" w:hAnsi="Calibri" w:cs="Calibri"/>
        </w:rPr>
        <w:t xml:space="preserve">average </w:t>
      </w:r>
      <w:r w:rsidRPr="001F5175">
        <w:rPr>
          <w:rFonts w:ascii="Calibri" w:hAnsi="Calibri" w:cs="Calibri"/>
        </w:rPr>
        <w:t>standard deviation of changes in the shekel</w:t>
      </w:r>
      <w:r w:rsidR="00724066" w:rsidRPr="001F5175">
        <w:rPr>
          <w:rFonts w:ascii="Calibri" w:hAnsi="Calibri" w:cs="Calibri"/>
        </w:rPr>
        <w:t>/</w:t>
      </w:r>
      <w:r w:rsidRPr="001F5175">
        <w:rPr>
          <w:rFonts w:ascii="Calibri" w:hAnsi="Calibri" w:cs="Calibri"/>
        </w:rPr>
        <w:t xml:space="preserve">dollar exchange rate, which represents its </w:t>
      </w:r>
      <w:r w:rsidRPr="001F5175">
        <w:rPr>
          <w:rFonts w:ascii="Calibri" w:hAnsi="Calibri" w:cs="Calibri"/>
          <w:b/>
          <w:bCs/>
        </w:rPr>
        <w:t>actual</w:t>
      </w:r>
      <w:r w:rsidRPr="001F5175">
        <w:rPr>
          <w:rFonts w:ascii="Calibri" w:hAnsi="Calibri" w:cs="Calibri"/>
        </w:rPr>
        <w:t xml:space="preserve"> volatility, </w:t>
      </w:r>
      <w:r w:rsidR="00AE7F22" w:rsidRPr="001F5175">
        <w:rPr>
          <w:rFonts w:ascii="Calibri" w:hAnsi="Calibri" w:cs="Calibri"/>
        </w:rPr>
        <w:t>declined</w:t>
      </w:r>
      <w:r w:rsidR="00BF32AB" w:rsidRPr="001F5175">
        <w:rPr>
          <w:rFonts w:ascii="Calibri" w:hAnsi="Calibri" w:cs="Calibri"/>
        </w:rPr>
        <w:t xml:space="preserve"> </w:t>
      </w:r>
      <w:r w:rsidR="007F44E2" w:rsidRPr="001F5175">
        <w:rPr>
          <w:rFonts w:ascii="Calibri" w:hAnsi="Calibri" w:cs="Calibri"/>
        </w:rPr>
        <w:t xml:space="preserve">by </w:t>
      </w:r>
      <w:r w:rsidR="00FC2164" w:rsidRPr="001F5175">
        <w:rPr>
          <w:rFonts w:ascii="Calibri" w:hAnsi="Calibri" w:cs="Calibri"/>
        </w:rPr>
        <w:t xml:space="preserve">1.5 </w:t>
      </w:r>
      <w:r w:rsidR="007F44E2" w:rsidRPr="001F5175">
        <w:rPr>
          <w:rFonts w:ascii="Calibri" w:hAnsi="Calibri" w:cs="Calibri"/>
        </w:rPr>
        <w:t xml:space="preserve">percentage points </w:t>
      </w:r>
      <w:r w:rsidR="0063362C" w:rsidRPr="001F5175">
        <w:rPr>
          <w:rFonts w:ascii="Calibri" w:hAnsi="Calibri" w:cs="Calibri"/>
        </w:rPr>
        <w:t xml:space="preserve">during the quarter, </w:t>
      </w:r>
      <w:r w:rsidR="0081371F" w:rsidRPr="001F5175">
        <w:rPr>
          <w:rFonts w:ascii="Calibri" w:hAnsi="Calibri" w:cs="Calibri"/>
        </w:rPr>
        <w:t>to</w:t>
      </w:r>
      <w:r w:rsidRPr="001F5175">
        <w:rPr>
          <w:rFonts w:ascii="Calibri" w:hAnsi="Calibri" w:cs="Calibri"/>
        </w:rPr>
        <w:t xml:space="preserve"> </w:t>
      </w:r>
      <w:r w:rsidR="002669C3" w:rsidRPr="001F5175">
        <w:rPr>
          <w:rFonts w:ascii="Calibri" w:hAnsi="Calibri" w:cs="Calibri"/>
        </w:rPr>
        <w:t xml:space="preserve">an average </w:t>
      </w:r>
      <w:r w:rsidR="0063362C" w:rsidRPr="001F5175">
        <w:rPr>
          <w:rFonts w:ascii="Calibri" w:hAnsi="Calibri" w:cs="Calibri"/>
        </w:rPr>
        <w:t xml:space="preserve">level of </w:t>
      </w:r>
      <w:r w:rsidR="00FC2164" w:rsidRPr="001F5175">
        <w:rPr>
          <w:rFonts w:ascii="Calibri" w:hAnsi="Calibri" w:cs="Calibri"/>
        </w:rPr>
        <w:t xml:space="preserve">8.2 </w:t>
      </w:r>
      <w:r w:rsidRPr="001F5175">
        <w:rPr>
          <w:rFonts w:ascii="Calibri" w:hAnsi="Calibri" w:cs="Calibri"/>
        </w:rPr>
        <w:t>percent</w:t>
      </w:r>
      <w:r w:rsidR="002A6B07" w:rsidRPr="001F5175">
        <w:rPr>
          <w:rFonts w:ascii="Calibri" w:hAnsi="Calibri" w:cs="Calibri"/>
        </w:rPr>
        <w:t>.</w:t>
      </w:r>
    </w:p>
    <w:p w14:paraId="7721C4CD" w14:textId="164EF601" w:rsidR="001E3DF2" w:rsidRPr="001F5175" w:rsidRDefault="001E3DF2" w:rsidP="001E3DF2">
      <w:pPr>
        <w:bidi w:val="0"/>
        <w:jc w:val="both"/>
        <w:rPr>
          <w:rFonts w:ascii="Calibri" w:hAnsi="Calibri" w:cs="Calibri"/>
        </w:rPr>
      </w:pPr>
    </w:p>
    <w:p w14:paraId="682E63E5" w14:textId="6BB0B426" w:rsidR="002331FC" w:rsidRPr="001F5175" w:rsidRDefault="00716379" w:rsidP="004766A2">
      <w:pPr>
        <w:bidi w:val="0"/>
        <w:jc w:val="both"/>
        <w:rPr>
          <w:rFonts w:ascii="Calibri" w:hAnsi="Calibri" w:cs="Calibri"/>
        </w:rPr>
      </w:pPr>
      <w:r w:rsidRPr="001F5175">
        <w:rPr>
          <w:rFonts w:ascii="Calibri" w:hAnsi="Calibri" w:cs="Calibri"/>
        </w:rPr>
        <w:t xml:space="preserve">The </w:t>
      </w:r>
      <w:r w:rsidR="005F7744" w:rsidRPr="001F5175">
        <w:rPr>
          <w:rFonts w:ascii="Calibri" w:hAnsi="Calibri" w:cs="Calibri"/>
        </w:rPr>
        <w:t xml:space="preserve">average </w:t>
      </w:r>
      <w:r w:rsidRPr="001F5175">
        <w:rPr>
          <w:rFonts w:ascii="Calibri" w:hAnsi="Calibri" w:cs="Calibri"/>
        </w:rPr>
        <w:t xml:space="preserve">implied volatility in </w:t>
      </w:r>
      <w:r w:rsidR="002B1BC6" w:rsidRPr="001F5175">
        <w:rPr>
          <w:rFonts w:ascii="Calibri" w:hAnsi="Calibri" w:cs="Calibri"/>
        </w:rPr>
        <w:t>over-the-counter</w:t>
      </w:r>
      <w:r w:rsidRPr="001F5175">
        <w:rPr>
          <w:rFonts w:ascii="Calibri" w:hAnsi="Calibri" w:cs="Calibri"/>
        </w:rPr>
        <w:t xml:space="preserve"> shekel</w:t>
      </w:r>
      <w:r w:rsidR="00724066" w:rsidRPr="001F5175">
        <w:rPr>
          <w:rFonts w:ascii="Calibri" w:hAnsi="Calibri" w:cs="Calibri"/>
        </w:rPr>
        <w:t>/</w:t>
      </w:r>
      <w:r w:rsidRPr="001F5175">
        <w:rPr>
          <w:rFonts w:ascii="Calibri" w:hAnsi="Calibri" w:cs="Calibri"/>
        </w:rPr>
        <w:t>dollar options</w:t>
      </w:r>
      <w:r w:rsidR="00AE7F22" w:rsidRPr="001F5175">
        <w:rPr>
          <w:rFonts w:ascii="Calibri" w:hAnsi="Calibri" w:cs="Calibri"/>
        </w:rPr>
        <w:t xml:space="preserve">—those traded outside the stock exchange—which is </w:t>
      </w:r>
      <w:r w:rsidR="004D75D4" w:rsidRPr="001F5175">
        <w:rPr>
          <w:rFonts w:ascii="Calibri" w:hAnsi="Calibri" w:cs="Calibri"/>
        </w:rPr>
        <w:t xml:space="preserve">an indication of </w:t>
      </w:r>
      <w:r w:rsidR="004D75D4" w:rsidRPr="001F5175">
        <w:rPr>
          <w:rFonts w:ascii="Calibri" w:hAnsi="Calibri" w:cs="Calibri"/>
          <w:b/>
          <w:bCs/>
        </w:rPr>
        <w:t>expected</w:t>
      </w:r>
      <w:r w:rsidR="004D75D4" w:rsidRPr="001F5175">
        <w:rPr>
          <w:rFonts w:ascii="Calibri" w:hAnsi="Calibri" w:cs="Calibri"/>
        </w:rPr>
        <w:t xml:space="preserve"> exchange rate volatility,</w:t>
      </w:r>
      <w:r w:rsidR="00E04770" w:rsidRPr="001F5175">
        <w:rPr>
          <w:rFonts w:ascii="Calibri" w:hAnsi="Calibri" w:cs="Calibri"/>
        </w:rPr>
        <w:t xml:space="preserve"> </w:t>
      </w:r>
      <w:r w:rsidR="00DD7D9C" w:rsidRPr="001F5175">
        <w:rPr>
          <w:rFonts w:ascii="Calibri" w:hAnsi="Calibri" w:cs="Calibri"/>
        </w:rPr>
        <w:t>de</w:t>
      </w:r>
      <w:r w:rsidR="00AE7F22" w:rsidRPr="001F5175">
        <w:rPr>
          <w:rFonts w:ascii="Calibri" w:hAnsi="Calibri" w:cs="Calibri"/>
        </w:rPr>
        <w:t>creased</w:t>
      </w:r>
      <w:r w:rsidR="007F44E2" w:rsidRPr="001F5175">
        <w:rPr>
          <w:rFonts w:ascii="Calibri" w:hAnsi="Calibri" w:cs="Calibri"/>
        </w:rPr>
        <w:t xml:space="preserve"> </w:t>
      </w:r>
      <w:r w:rsidR="00AE7F22" w:rsidRPr="001F5175">
        <w:rPr>
          <w:rFonts w:ascii="Calibri" w:hAnsi="Calibri" w:cs="Calibri"/>
        </w:rPr>
        <w:t xml:space="preserve">by </w:t>
      </w:r>
      <w:r w:rsidR="00446C7F" w:rsidRPr="001F5175">
        <w:rPr>
          <w:rFonts w:ascii="Calibri" w:hAnsi="Calibri" w:cs="Calibri"/>
        </w:rPr>
        <w:t xml:space="preserve">1.5 </w:t>
      </w:r>
      <w:r w:rsidR="00DD7D9C" w:rsidRPr="001F5175">
        <w:rPr>
          <w:rFonts w:ascii="Calibri" w:hAnsi="Calibri" w:cs="Calibri"/>
        </w:rPr>
        <w:t>p</w:t>
      </w:r>
      <w:r w:rsidR="00AE7F22" w:rsidRPr="001F5175">
        <w:rPr>
          <w:rFonts w:ascii="Calibri" w:hAnsi="Calibri" w:cs="Calibri"/>
        </w:rPr>
        <w:t>ercent</w:t>
      </w:r>
      <w:r w:rsidR="008D1F4D" w:rsidRPr="001F5175">
        <w:rPr>
          <w:rFonts w:ascii="Calibri" w:hAnsi="Calibri" w:cs="Calibri"/>
        </w:rPr>
        <w:t xml:space="preserve"> </w:t>
      </w:r>
      <w:r w:rsidR="007F44E2" w:rsidRPr="001F5175">
        <w:rPr>
          <w:rFonts w:ascii="Calibri" w:hAnsi="Calibri" w:cs="Calibri"/>
        </w:rPr>
        <w:t>during the quarter</w:t>
      </w:r>
      <w:r w:rsidR="003F6116" w:rsidRPr="001F5175">
        <w:rPr>
          <w:rFonts w:ascii="Calibri" w:hAnsi="Calibri" w:cs="Calibri"/>
        </w:rPr>
        <w:t xml:space="preserve">, </w:t>
      </w:r>
      <w:r w:rsidR="00AE7F22" w:rsidRPr="001F5175">
        <w:rPr>
          <w:rFonts w:ascii="Calibri" w:hAnsi="Calibri" w:cs="Calibri"/>
        </w:rPr>
        <w:t>to</w:t>
      </w:r>
      <w:r w:rsidR="006E0BC7" w:rsidRPr="001F5175">
        <w:rPr>
          <w:rFonts w:ascii="Calibri" w:hAnsi="Calibri" w:cs="Calibri"/>
        </w:rPr>
        <w:t xml:space="preserve"> </w:t>
      </w:r>
      <w:r w:rsidR="007F44E2" w:rsidRPr="001F5175">
        <w:rPr>
          <w:rFonts w:ascii="Calibri" w:hAnsi="Calibri" w:cs="Calibri"/>
        </w:rPr>
        <w:t xml:space="preserve">an average level of </w:t>
      </w:r>
      <w:r w:rsidR="006E0BC7" w:rsidRPr="001F5175">
        <w:rPr>
          <w:rFonts w:ascii="Calibri" w:hAnsi="Calibri" w:cs="Calibri"/>
        </w:rPr>
        <w:t xml:space="preserve">about </w:t>
      </w:r>
      <w:r w:rsidR="00446C7F" w:rsidRPr="001F5175">
        <w:rPr>
          <w:rFonts w:ascii="Calibri" w:hAnsi="Calibri" w:cs="Calibri"/>
        </w:rPr>
        <w:t xml:space="preserve">8.7 </w:t>
      </w:r>
      <w:r w:rsidR="004766A2" w:rsidRPr="001F5175">
        <w:rPr>
          <w:rFonts w:ascii="Calibri" w:hAnsi="Calibri" w:cs="Calibri"/>
        </w:rPr>
        <w:t xml:space="preserve">percentage points </w:t>
      </w:r>
      <w:r w:rsidR="007F29B3" w:rsidRPr="001F5175">
        <w:rPr>
          <w:rFonts w:ascii="Calibri" w:hAnsi="Calibri" w:cs="Calibri"/>
        </w:rPr>
        <w:t>at the end of the quarter</w:t>
      </w:r>
      <w:r w:rsidR="006E0BC7" w:rsidRPr="001F5175">
        <w:rPr>
          <w:rFonts w:ascii="Calibri" w:hAnsi="Calibri" w:cs="Calibri"/>
        </w:rPr>
        <w:t>.</w:t>
      </w:r>
      <w:r w:rsidRPr="001F5175">
        <w:rPr>
          <w:rFonts w:ascii="Calibri" w:hAnsi="Calibri" w:cs="Calibri"/>
        </w:rPr>
        <w:t xml:space="preserve"> </w:t>
      </w:r>
    </w:p>
    <w:p w14:paraId="7118F2E4" w14:textId="561FAA32" w:rsidR="002331FC" w:rsidRPr="001F5175" w:rsidRDefault="002331FC" w:rsidP="002331FC">
      <w:pPr>
        <w:bidi w:val="0"/>
        <w:jc w:val="both"/>
        <w:rPr>
          <w:rFonts w:ascii="Calibri" w:hAnsi="Calibri" w:cs="Calibri"/>
        </w:rPr>
      </w:pPr>
    </w:p>
    <w:p w14:paraId="47C00622" w14:textId="07C26121" w:rsidR="00716379" w:rsidRPr="001F5175" w:rsidRDefault="007924C8" w:rsidP="00B82927">
      <w:pPr>
        <w:bidi w:val="0"/>
        <w:jc w:val="both"/>
        <w:rPr>
          <w:rFonts w:ascii="Calibri" w:hAnsi="Calibri" w:cs="Calibri"/>
        </w:rPr>
      </w:pPr>
      <w:r w:rsidRPr="001F5175">
        <w:rPr>
          <w:rFonts w:ascii="Calibri" w:hAnsi="Calibri" w:cs="Calibri"/>
        </w:rPr>
        <w:t xml:space="preserve">This is </w:t>
      </w:r>
      <w:r w:rsidR="00B82927" w:rsidRPr="001F5175">
        <w:rPr>
          <w:rFonts w:ascii="Calibri" w:hAnsi="Calibri" w:cs="Calibri"/>
        </w:rPr>
        <w:t xml:space="preserve">alongside </w:t>
      </w:r>
      <w:r w:rsidR="006E0BC7" w:rsidRPr="001F5175">
        <w:rPr>
          <w:rFonts w:ascii="Calibri" w:hAnsi="Calibri" w:cs="Calibri"/>
        </w:rPr>
        <w:t xml:space="preserve">the average level of </w:t>
      </w:r>
      <w:r w:rsidR="00716379" w:rsidRPr="001F5175">
        <w:rPr>
          <w:rFonts w:ascii="Calibri" w:hAnsi="Calibri" w:cs="Calibri"/>
        </w:rPr>
        <w:t xml:space="preserve">implied volatility in foreign exchange options </w:t>
      </w:r>
      <w:r w:rsidR="007B2448" w:rsidRPr="001F5175">
        <w:rPr>
          <w:rFonts w:ascii="Calibri" w:hAnsi="Calibri" w:cs="Calibri"/>
        </w:rPr>
        <w:t>in</w:t>
      </w:r>
      <w:r w:rsidR="00877705" w:rsidRPr="001F5175">
        <w:rPr>
          <w:rFonts w:ascii="Calibri" w:hAnsi="Calibri" w:cs="Calibri"/>
        </w:rPr>
        <w:t xml:space="preserve"> </w:t>
      </w:r>
      <w:r w:rsidR="007B2448" w:rsidRPr="001F5175">
        <w:rPr>
          <w:rFonts w:ascii="Calibri" w:hAnsi="Calibri" w:cs="Calibri"/>
        </w:rPr>
        <w:t xml:space="preserve">emerging </w:t>
      </w:r>
      <w:r w:rsidR="002A6B07" w:rsidRPr="001F5175">
        <w:rPr>
          <w:rFonts w:ascii="Calibri" w:hAnsi="Calibri" w:cs="Calibri"/>
        </w:rPr>
        <w:t>markets</w:t>
      </w:r>
      <w:r w:rsidRPr="001F5175">
        <w:rPr>
          <w:rFonts w:ascii="Calibri" w:hAnsi="Calibri" w:cs="Calibri"/>
        </w:rPr>
        <w:t xml:space="preserve">, which </w:t>
      </w:r>
      <w:r w:rsidR="00B82927" w:rsidRPr="001F5175">
        <w:rPr>
          <w:rFonts w:ascii="Calibri" w:hAnsi="Calibri" w:cs="Calibri"/>
        </w:rPr>
        <w:t>de</w:t>
      </w:r>
      <w:r w:rsidRPr="001F5175">
        <w:rPr>
          <w:rFonts w:ascii="Calibri" w:hAnsi="Calibri" w:cs="Calibri"/>
        </w:rPr>
        <w:t>creased by 0.7 p</w:t>
      </w:r>
      <w:r w:rsidR="007B2448" w:rsidRPr="001F5175">
        <w:rPr>
          <w:rFonts w:ascii="Calibri" w:hAnsi="Calibri" w:cs="Calibri"/>
        </w:rPr>
        <w:t>ercent</w:t>
      </w:r>
      <w:r w:rsidRPr="001F5175">
        <w:rPr>
          <w:rFonts w:ascii="Calibri" w:hAnsi="Calibri" w:cs="Calibri"/>
        </w:rPr>
        <w:t xml:space="preserve">age points compared to the previous </w:t>
      </w:r>
      <w:r w:rsidR="0013070F" w:rsidRPr="001F5175">
        <w:rPr>
          <w:rFonts w:ascii="Calibri" w:hAnsi="Calibri" w:cs="Calibri"/>
        </w:rPr>
        <w:t>quarter</w:t>
      </w:r>
      <w:r w:rsidRPr="001F5175">
        <w:rPr>
          <w:rFonts w:ascii="Calibri" w:hAnsi="Calibri" w:cs="Calibri"/>
        </w:rPr>
        <w:t xml:space="preserve">, to </w:t>
      </w:r>
      <w:r w:rsidR="00B82927" w:rsidRPr="001F5175">
        <w:rPr>
          <w:rFonts w:ascii="Calibri" w:hAnsi="Calibri" w:cs="Calibri"/>
        </w:rPr>
        <w:t>10.3 p</w:t>
      </w:r>
      <w:r w:rsidRPr="001F5175">
        <w:rPr>
          <w:rFonts w:ascii="Calibri" w:hAnsi="Calibri" w:cs="Calibri"/>
        </w:rPr>
        <w:t xml:space="preserve">ercent at the end of the quarter. </w:t>
      </w:r>
      <w:r w:rsidR="00B82927" w:rsidRPr="001F5175">
        <w:rPr>
          <w:rFonts w:ascii="Calibri" w:hAnsi="Calibri" w:cs="Calibri"/>
        </w:rPr>
        <w:t>In advanced economies, t</w:t>
      </w:r>
      <w:r w:rsidRPr="001F5175">
        <w:rPr>
          <w:rFonts w:ascii="Calibri" w:hAnsi="Calibri" w:cs="Calibri"/>
        </w:rPr>
        <w:t xml:space="preserve">here was a </w:t>
      </w:r>
      <w:r w:rsidR="00B82927" w:rsidRPr="001F5175">
        <w:rPr>
          <w:rFonts w:ascii="Calibri" w:hAnsi="Calibri" w:cs="Calibri"/>
        </w:rPr>
        <w:t xml:space="preserve">moderate increase of about 0.1 percent </w:t>
      </w:r>
      <w:r w:rsidRPr="001F5175">
        <w:rPr>
          <w:rFonts w:ascii="Calibri" w:hAnsi="Calibri" w:cs="Calibri"/>
        </w:rPr>
        <w:t xml:space="preserve">in </w:t>
      </w:r>
      <w:r w:rsidR="000015AF" w:rsidRPr="001F5175">
        <w:rPr>
          <w:rFonts w:ascii="Calibri" w:hAnsi="Calibri" w:cs="Calibri"/>
        </w:rPr>
        <w:t xml:space="preserve">its </w:t>
      </w:r>
      <w:r w:rsidRPr="001F5175">
        <w:rPr>
          <w:rFonts w:ascii="Calibri" w:hAnsi="Calibri" w:cs="Calibri"/>
        </w:rPr>
        <w:t>average level, to 8.</w:t>
      </w:r>
      <w:r w:rsidR="00B82927" w:rsidRPr="001F5175">
        <w:rPr>
          <w:rFonts w:ascii="Calibri" w:hAnsi="Calibri" w:cs="Calibri"/>
        </w:rPr>
        <w:t>2</w:t>
      </w:r>
      <w:r w:rsidRPr="001F5175">
        <w:rPr>
          <w:rFonts w:ascii="Calibri" w:hAnsi="Calibri" w:cs="Calibri"/>
        </w:rPr>
        <w:t xml:space="preserve"> percent at the end of the quarter </w:t>
      </w:r>
      <w:r w:rsidR="00716379" w:rsidRPr="001F5175">
        <w:rPr>
          <w:rFonts w:ascii="Calibri" w:hAnsi="Calibri" w:cs="Calibri"/>
        </w:rPr>
        <w:t>(Figure 4).</w:t>
      </w:r>
      <w:r w:rsidR="00176396" w:rsidRPr="001F5175">
        <w:rPr>
          <w:rFonts w:ascii="Calibri" w:hAnsi="Calibri" w:cs="Calibri"/>
        </w:rPr>
        <w:t xml:space="preserve"> </w:t>
      </w:r>
    </w:p>
    <w:p w14:paraId="716D0A07" w14:textId="1D042F98" w:rsidR="001E3DF2" w:rsidRPr="001F5175" w:rsidRDefault="001E3DF2" w:rsidP="001E3DF2">
      <w:pPr>
        <w:bidi w:val="0"/>
        <w:jc w:val="both"/>
        <w:rPr>
          <w:rFonts w:ascii="Calibri" w:hAnsi="Calibri" w:cs="Calibri"/>
        </w:rPr>
      </w:pPr>
    </w:p>
    <w:p w14:paraId="2A4BC26F" w14:textId="12FAA00B" w:rsidR="002331FC" w:rsidRPr="001F5175" w:rsidRDefault="007B6D19" w:rsidP="002331FC">
      <w:pPr>
        <w:bidi w:val="0"/>
        <w:jc w:val="both"/>
        <w:rPr>
          <w:rFonts w:ascii="Calibri" w:hAnsi="Calibri" w:cs="Calibri"/>
          <w:b/>
          <w:bCs/>
        </w:rPr>
      </w:pPr>
      <w:r w:rsidRPr="001F5175">
        <w:rPr>
          <w:rFonts w:ascii="Calibri" w:hAnsi="Calibri" w:cs="Calibri"/>
          <w:b/>
          <w:bCs/>
          <w:noProof/>
        </w:rPr>
        <w:drawing>
          <wp:anchor distT="0" distB="0" distL="114300" distR="114300" simplePos="0" relativeHeight="251695104" behindDoc="0" locked="0" layoutInCell="1" allowOverlap="1" wp14:anchorId="33DA883C" wp14:editId="2D155E23">
            <wp:simplePos x="0" y="0"/>
            <wp:positionH relativeFrom="margin">
              <wp:align>center</wp:align>
            </wp:positionH>
            <wp:positionV relativeFrom="paragraph">
              <wp:posOffset>180340</wp:posOffset>
            </wp:positionV>
            <wp:extent cx="5001260" cy="2354580"/>
            <wp:effectExtent l="0" t="0" r="889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1260" cy="2354580"/>
                    </a:xfrm>
                    <a:prstGeom prst="rect">
                      <a:avLst/>
                    </a:prstGeom>
                    <a:noFill/>
                  </pic:spPr>
                </pic:pic>
              </a:graphicData>
            </a:graphic>
            <wp14:sizeRelH relativeFrom="margin">
              <wp14:pctWidth>0</wp14:pctWidth>
            </wp14:sizeRelH>
          </wp:anchor>
        </w:drawing>
      </w:r>
    </w:p>
    <w:p w14:paraId="6C637E50" w14:textId="0388BF3B" w:rsidR="002331FC" w:rsidRPr="001F5175" w:rsidRDefault="001F5175" w:rsidP="002331FC">
      <w:pPr>
        <w:bidi w:val="0"/>
        <w:jc w:val="both"/>
        <w:rPr>
          <w:rFonts w:ascii="Calibri" w:hAnsi="Calibri" w:cs="Calibri"/>
          <w:b/>
          <w:bCs/>
        </w:rPr>
      </w:pPr>
      <w:r w:rsidRPr="001F5175">
        <w:rPr>
          <w:rFonts w:ascii="Calibri" w:hAnsi="Calibri" w:cs="Calibri"/>
          <w:b/>
          <w:bCs/>
          <w:noProof/>
        </w:rPr>
        <w:lastRenderedPageBreak/>
        <w:drawing>
          <wp:anchor distT="0" distB="0" distL="114300" distR="114300" simplePos="0" relativeHeight="251697152" behindDoc="0" locked="0" layoutInCell="1" allowOverlap="1" wp14:anchorId="75CB21A7" wp14:editId="301CE166">
            <wp:simplePos x="0" y="0"/>
            <wp:positionH relativeFrom="margin">
              <wp:align>center</wp:align>
            </wp:positionH>
            <wp:positionV relativeFrom="paragraph">
              <wp:posOffset>232214</wp:posOffset>
            </wp:positionV>
            <wp:extent cx="4984750" cy="2494915"/>
            <wp:effectExtent l="0" t="0" r="6350" b="63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4750" cy="2494915"/>
                    </a:xfrm>
                    <a:prstGeom prst="rect">
                      <a:avLst/>
                    </a:prstGeom>
                    <a:noFill/>
                  </pic:spPr>
                </pic:pic>
              </a:graphicData>
            </a:graphic>
            <wp14:sizeRelH relativeFrom="margin">
              <wp14:pctWidth>0</wp14:pctWidth>
            </wp14:sizeRelH>
            <wp14:sizeRelV relativeFrom="margin">
              <wp14:pctHeight>0</wp14:pctHeight>
            </wp14:sizeRelV>
          </wp:anchor>
        </w:drawing>
      </w:r>
    </w:p>
    <w:p w14:paraId="4FFA2192" w14:textId="5D4883FC" w:rsidR="002331FC" w:rsidRPr="001F5175" w:rsidRDefault="002331FC" w:rsidP="002331FC">
      <w:pPr>
        <w:bidi w:val="0"/>
        <w:jc w:val="both"/>
        <w:rPr>
          <w:rFonts w:ascii="Calibri" w:hAnsi="Calibri" w:cs="Calibri"/>
          <w:b/>
          <w:bCs/>
        </w:rPr>
      </w:pPr>
    </w:p>
    <w:p w14:paraId="7BED2918" w14:textId="78469220" w:rsidR="002331FC" w:rsidRPr="001F5175" w:rsidRDefault="002331FC" w:rsidP="002331FC">
      <w:pPr>
        <w:bidi w:val="0"/>
        <w:jc w:val="both"/>
        <w:rPr>
          <w:rFonts w:ascii="Calibri" w:hAnsi="Calibri" w:cs="Calibri"/>
          <w:b/>
          <w:bCs/>
        </w:rPr>
      </w:pPr>
    </w:p>
    <w:p w14:paraId="4B573E22" w14:textId="0C76B70A" w:rsidR="002331FC" w:rsidRPr="001F5175" w:rsidRDefault="002331FC" w:rsidP="002331FC">
      <w:pPr>
        <w:bidi w:val="0"/>
        <w:jc w:val="both"/>
        <w:rPr>
          <w:rFonts w:ascii="Calibri" w:hAnsi="Calibri" w:cs="Calibri"/>
          <w:b/>
          <w:bCs/>
        </w:rPr>
      </w:pPr>
    </w:p>
    <w:p w14:paraId="4158BC58" w14:textId="3BD273CB" w:rsidR="002331FC" w:rsidRPr="001F5175" w:rsidRDefault="002331FC" w:rsidP="002331FC">
      <w:pPr>
        <w:bidi w:val="0"/>
        <w:jc w:val="both"/>
        <w:rPr>
          <w:rFonts w:ascii="Calibri" w:hAnsi="Calibri" w:cs="Calibri"/>
          <w:b/>
          <w:bCs/>
        </w:rPr>
      </w:pPr>
    </w:p>
    <w:p w14:paraId="6F215FD0" w14:textId="7EEF9BAB" w:rsidR="008639EC" w:rsidRPr="001F5175" w:rsidRDefault="009831EE" w:rsidP="006D5EA0">
      <w:pPr>
        <w:bidi w:val="0"/>
        <w:jc w:val="both"/>
        <w:rPr>
          <w:rFonts w:ascii="Calibri" w:hAnsi="Calibri" w:cs="Calibri"/>
          <w:b/>
          <w:bCs/>
        </w:rPr>
      </w:pPr>
      <w:r w:rsidRPr="001F5175">
        <w:rPr>
          <w:rFonts w:ascii="Calibri" w:hAnsi="Calibri" w:cs="Calibri"/>
          <w:b/>
          <w:bCs/>
        </w:rPr>
        <w:t>3. The Activity of the Main Se</w:t>
      </w:r>
      <w:r w:rsidR="00183AE0" w:rsidRPr="001F5175">
        <w:rPr>
          <w:rFonts w:ascii="Calibri" w:hAnsi="Calibri" w:cs="Calibri"/>
          <w:b/>
          <w:bCs/>
        </w:rPr>
        <w:t>gments</w:t>
      </w:r>
      <w:r w:rsidRPr="001F5175">
        <w:rPr>
          <w:rFonts w:ascii="Calibri" w:hAnsi="Calibri" w:cs="Calibri"/>
          <w:b/>
          <w:bCs/>
        </w:rPr>
        <w:t xml:space="preserve"> in the Foreign </w:t>
      </w:r>
      <w:r w:rsidR="00183AE0" w:rsidRPr="001F5175">
        <w:rPr>
          <w:rFonts w:ascii="Calibri" w:hAnsi="Calibri" w:cs="Calibri"/>
          <w:b/>
          <w:bCs/>
        </w:rPr>
        <w:t>Exchange</w:t>
      </w:r>
      <w:r w:rsidRPr="001F5175">
        <w:rPr>
          <w:rFonts w:ascii="Calibri" w:hAnsi="Calibri" w:cs="Calibri"/>
          <w:b/>
          <w:bCs/>
        </w:rPr>
        <w:t xml:space="preserve"> Market</w:t>
      </w:r>
      <w:r w:rsidR="00221362" w:rsidRPr="001F5175">
        <w:rPr>
          <w:rStyle w:val="ad"/>
          <w:rFonts w:ascii="Calibri" w:hAnsi="Calibri" w:cs="Calibri"/>
          <w:b/>
          <w:bCs/>
        </w:rPr>
        <w:footnoteReference w:id="1"/>
      </w:r>
      <w:r w:rsidR="00115E0C" w:rsidRPr="001F5175">
        <w:rPr>
          <w:rFonts w:ascii="Calibri" w:hAnsi="Calibri" w:cs="Calibri"/>
          <w:b/>
          <w:bCs/>
          <w:vertAlign w:val="superscript"/>
        </w:rPr>
        <w:t>,</w:t>
      </w:r>
      <w:r w:rsidR="00115E0C" w:rsidRPr="001F5175">
        <w:rPr>
          <w:rStyle w:val="ad"/>
          <w:rFonts w:ascii="Calibri" w:hAnsi="Calibri" w:cs="Calibri"/>
          <w:b/>
          <w:bCs/>
        </w:rPr>
        <w:footnoteReference w:id="2"/>
      </w:r>
      <w:r w:rsidR="00115E0C" w:rsidRPr="001F5175">
        <w:rPr>
          <w:rFonts w:ascii="Calibri" w:hAnsi="Calibri" w:cs="Calibri"/>
          <w:b/>
          <w:bCs/>
        </w:rPr>
        <w:t xml:space="preserve"> </w:t>
      </w:r>
    </w:p>
    <w:p w14:paraId="4C2CFA44" w14:textId="77777777" w:rsidR="001E3DF2" w:rsidRPr="001F5175" w:rsidRDefault="001E3DF2" w:rsidP="001E3DF2">
      <w:pPr>
        <w:bidi w:val="0"/>
        <w:jc w:val="both"/>
        <w:rPr>
          <w:rFonts w:ascii="Calibri" w:hAnsi="Calibri" w:cs="Calibri"/>
        </w:rPr>
      </w:pPr>
    </w:p>
    <w:p w14:paraId="77DE4829" w14:textId="67365ED4" w:rsidR="00345CD5" w:rsidRPr="001F5175" w:rsidRDefault="00345CD5" w:rsidP="004766A2">
      <w:pPr>
        <w:bidi w:val="0"/>
        <w:jc w:val="both"/>
        <w:rPr>
          <w:rFonts w:ascii="Calibri" w:hAnsi="Calibri" w:cs="Calibri"/>
          <w:b/>
          <w:bCs/>
        </w:rPr>
      </w:pPr>
      <w:r w:rsidRPr="001F5175">
        <w:rPr>
          <w:rFonts w:ascii="Calibri" w:hAnsi="Calibri" w:cs="Calibri"/>
        </w:rPr>
        <w:t xml:space="preserve">An estimate of activity by the </w:t>
      </w:r>
      <w:r w:rsidRPr="001F5175">
        <w:rPr>
          <w:rFonts w:ascii="Calibri" w:hAnsi="Calibri" w:cs="Calibri"/>
          <w:b/>
          <w:bCs/>
        </w:rPr>
        <w:t>main</w:t>
      </w:r>
      <w:r w:rsidRPr="001F5175">
        <w:rPr>
          <w:rFonts w:ascii="Calibri" w:hAnsi="Calibri" w:cs="Calibri"/>
        </w:rPr>
        <w:t xml:space="preserve"> </w:t>
      </w:r>
      <w:r w:rsidR="00E05AF2" w:rsidRPr="001F5175">
        <w:rPr>
          <w:rFonts w:ascii="Calibri" w:hAnsi="Calibri" w:cs="Calibri"/>
        </w:rPr>
        <w:t>segments</w:t>
      </w:r>
      <w:r w:rsidRPr="001F5175">
        <w:rPr>
          <w:rFonts w:ascii="Calibri" w:hAnsi="Calibri" w:cs="Calibri"/>
        </w:rPr>
        <w:t xml:space="preserve"> in the fore</w:t>
      </w:r>
      <w:r w:rsidR="000015AF" w:rsidRPr="001F5175">
        <w:rPr>
          <w:rFonts w:ascii="Calibri" w:hAnsi="Calibri" w:cs="Calibri"/>
        </w:rPr>
        <w:t xml:space="preserve">ign exchange </w:t>
      </w:r>
      <w:r w:rsidRPr="001F5175">
        <w:rPr>
          <w:rFonts w:ascii="Calibri" w:hAnsi="Calibri" w:cs="Calibri"/>
        </w:rPr>
        <w:t xml:space="preserve">market </w:t>
      </w:r>
      <w:r w:rsidR="00E05AF2" w:rsidRPr="001F5175">
        <w:rPr>
          <w:rFonts w:ascii="Calibri" w:hAnsi="Calibri" w:cs="Calibri"/>
        </w:rPr>
        <w:t>indicates</w:t>
      </w:r>
      <w:r w:rsidRPr="001F5175">
        <w:rPr>
          <w:rFonts w:ascii="Calibri" w:hAnsi="Calibri" w:cs="Calibri"/>
        </w:rPr>
        <w:t xml:space="preserve"> that </w:t>
      </w:r>
      <w:r w:rsidR="00E05AF2" w:rsidRPr="001F5175">
        <w:rPr>
          <w:rFonts w:ascii="Calibri" w:hAnsi="Calibri" w:cs="Calibri"/>
        </w:rPr>
        <w:t>during</w:t>
      </w:r>
      <w:r w:rsidRPr="001F5175">
        <w:rPr>
          <w:rFonts w:ascii="Calibri" w:hAnsi="Calibri" w:cs="Calibri"/>
        </w:rPr>
        <w:t xml:space="preserve"> the </w:t>
      </w:r>
      <w:r w:rsidR="004766A2" w:rsidRPr="001F5175">
        <w:rPr>
          <w:rFonts w:ascii="Calibri" w:hAnsi="Calibri" w:cs="Calibri"/>
        </w:rPr>
        <w:t>First</w:t>
      </w:r>
      <w:r w:rsidR="005C72E2" w:rsidRPr="001F5175">
        <w:rPr>
          <w:rFonts w:ascii="Calibri" w:hAnsi="Calibri" w:cs="Calibri"/>
        </w:rPr>
        <w:t xml:space="preserve"> </w:t>
      </w:r>
      <w:proofErr w:type="gramStart"/>
      <w:r w:rsidRPr="001F5175">
        <w:rPr>
          <w:rFonts w:ascii="Calibri" w:hAnsi="Calibri" w:cs="Calibri"/>
        </w:rPr>
        <w:t>quarter</w:t>
      </w:r>
      <w:proofErr w:type="gramEnd"/>
      <w:r w:rsidRPr="001F5175">
        <w:rPr>
          <w:rFonts w:ascii="Calibri" w:hAnsi="Calibri" w:cs="Calibri"/>
        </w:rPr>
        <w:t xml:space="preserve"> </w:t>
      </w:r>
      <w:r w:rsidRPr="001F5175">
        <w:rPr>
          <w:rFonts w:ascii="Calibri" w:hAnsi="Calibri" w:cs="Calibri"/>
          <w:b/>
          <w:bCs/>
        </w:rPr>
        <w:t xml:space="preserve">institutional investors (pension funds, provident funds, and insurance companies) </w:t>
      </w:r>
      <w:r w:rsidR="005C72E2" w:rsidRPr="001F5175">
        <w:rPr>
          <w:rFonts w:ascii="Calibri" w:hAnsi="Calibri" w:cs="Calibri"/>
          <w:b/>
          <w:bCs/>
        </w:rPr>
        <w:t>purchased $2.9</w:t>
      </w:r>
      <w:r w:rsidR="00A45819" w:rsidRPr="001F5175">
        <w:rPr>
          <w:rFonts w:ascii="Calibri" w:hAnsi="Calibri" w:cs="Calibri"/>
          <w:b/>
          <w:bCs/>
        </w:rPr>
        <w:t xml:space="preserve"> billion </w:t>
      </w:r>
      <w:r w:rsidRPr="001F5175">
        <w:rPr>
          <w:rFonts w:ascii="Calibri" w:hAnsi="Calibri" w:cs="Calibri"/>
          <w:b/>
          <w:bCs/>
        </w:rPr>
        <w:t xml:space="preserve">and </w:t>
      </w:r>
      <w:r w:rsidR="005C72E2" w:rsidRPr="001F5175">
        <w:rPr>
          <w:rFonts w:ascii="Calibri" w:hAnsi="Calibri" w:cs="Calibri"/>
          <w:b/>
          <w:bCs/>
        </w:rPr>
        <w:t xml:space="preserve">the financial sector purchased $2.1 billion. In contrast, </w:t>
      </w:r>
      <w:r w:rsidR="00E05AF2" w:rsidRPr="001F5175">
        <w:rPr>
          <w:rFonts w:ascii="Calibri" w:hAnsi="Calibri" w:cs="Calibri"/>
          <w:b/>
          <w:bCs/>
        </w:rPr>
        <w:t>nonresidents</w:t>
      </w:r>
      <w:r w:rsidRPr="001F5175">
        <w:rPr>
          <w:rFonts w:ascii="Calibri" w:hAnsi="Calibri" w:cs="Calibri"/>
          <w:b/>
          <w:bCs/>
        </w:rPr>
        <w:t xml:space="preserve"> </w:t>
      </w:r>
      <w:r w:rsidR="005C72E2" w:rsidRPr="001F5175">
        <w:rPr>
          <w:rFonts w:ascii="Calibri" w:hAnsi="Calibri" w:cs="Calibri"/>
          <w:b/>
          <w:bCs/>
        </w:rPr>
        <w:t xml:space="preserve">sold $2.9 billion and the business sector </w:t>
      </w:r>
      <w:r w:rsidRPr="001F5175">
        <w:rPr>
          <w:rFonts w:ascii="Calibri" w:hAnsi="Calibri" w:cs="Calibri"/>
          <w:b/>
          <w:bCs/>
        </w:rPr>
        <w:t>sold $</w:t>
      </w:r>
      <w:r w:rsidR="005C72E2" w:rsidRPr="001F5175">
        <w:rPr>
          <w:rFonts w:ascii="Calibri" w:hAnsi="Calibri" w:cs="Calibri"/>
          <w:b/>
          <w:bCs/>
        </w:rPr>
        <w:t>2.3 billion.</w:t>
      </w:r>
    </w:p>
    <w:p w14:paraId="1FCF4695" w14:textId="77777777" w:rsidR="00345CD5" w:rsidRPr="001F5175" w:rsidRDefault="00345CD5" w:rsidP="00345CD5">
      <w:pPr>
        <w:bidi w:val="0"/>
        <w:jc w:val="both"/>
        <w:rPr>
          <w:rFonts w:ascii="Calibri" w:hAnsi="Calibri" w:cs="Calibri"/>
        </w:rPr>
      </w:pPr>
    </w:p>
    <w:p w14:paraId="61B43B7D" w14:textId="14E2E2EA" w:rsidR="001E3DF2" w:rsidRPr="001F5175" w:rsidRDefault="001E3DF2">
      <w:pPr>
        <w:bidi w:val="0"/>
        <w:rPr>
          <w:rFonts w:ascii="Calibri" w:hAnsi="Calibri" w:cs="Calibri"/>
        </w:rPr>
      </w:pPr>
    </w:p>
    <w:p w14:paraId="4656CFF2" w14:textId="6157EEB2" w:rsidR="00465721" w:rsidRPr="001F5175" w:rsidRDefault="00465721" w:rsidP="001E3DF2">
      <w:pPr>
        <w:bidi w:val="0"/>
        <w:jc w:val="both"/>
        <w:rPr>
          <w:rFonts w:ascii="Calibri" w:hAnsi="Calibri" w:cs="Calibri"/>
        </w:rPr>
      </w:pPr>
    </w:p>
    <w:p w14:paraId="0B74484A" w14:textId="27D73E7F" w:rsidR="00465721" w:rsidRPr="001F5175" w:rsidRDefault="007B6D19" w:rsidP="001E3DF2">
      <w:pPr>
        <w:bidi w:val="0"/>
        <w:jc w:val="both"/>
        <w:rPr>
          <w:rFonts w:ascii="Calibri" w:hAnsi="Calibri" w:cs="Calibri"/>
        </w:rPr>
      </w:pPr>
      <w:r w:rsidRPr="001F5175">
        <w:rPr>
          <w:rFonts w:ascii="Calibri" w:hAnsi="Calibri" w:cs="Calibri"/>
          <w:noProof/>
        </w:rPr>
        <w:lastRenderedPageBreak/>
        <w:drawing>
          <wp:anchor distT="0" distB="0" distL="114300" distR="114300" simplePos="0" relativeHeight="251699200" behindDoc="0" locked="0" layoutInCell="1" allowOverlap="1" wp14:anchorId="078546A3" wp14:editId="309AA776">
            <wp:simplePos x="0" y="0"/>
            <wp:positionH relativeFrom="margin">
              <wp:align>center</wp:align>
            </wp:positionH>
            <wp:positionV relativeFrom="paragraph">
              <wp:posOffset>170815</wp:posOffset>
            </wp:positionV>
            <wp:extent cx="5414010" cy="2639695"/>
            <wp:effectExtent l="0" t="0" r="0" b="825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4010" cy="2639695"/>
                    </a:xfrm>
                    <a:prstGeom prst="rect">
                      <a:avLst/>
                    </a:prstGeom>
                    <a:noFill/>
                  </pic:spPr>
                </pic:pic>
              </a:graphicData>
            </a:graphic>
          </wp:anchor>
        </w:drawing>
      </w:r>
    </w:p>
    <w:p w14:paraId="5262EB40" w14:textId="3353C8CD" w:rsidR="001E409B" w:rsidRPr="001F5175" w:rsidRDefault="007B6D19" w:rsidP="001E3DF2">
      <w:pPr>
        <w:bidi w:val="0"/>
        <w:jc w:val="center"/>
        <w:rPr>
          <w:rFonts w:ascii="Calibri" w:hAnsi="Calibri" w:cs="Calibri"/>
        </w:rPr>
      </w:pPr>
      <w:r w:rsidRPr="001F5175">
        <w:rPr>
          <w:rFonts w:ascii="Calibri" w:hAnsi="Calibri" w:cs="Calibri"/>
          <w:noProof/>
        </w:rPr>
        <w:drawing>
          <wp:anchor distT="0" distB="0" distL="114300" distR="114300" simplePos="0" relativeHeight="251700224" behindDoc="0" locked="0" layoutInCell="1" allowOverlap="1" wp14:anchorId="33EB3DAB" wp14:editId="71838412">
            <wp:simplePos x="0" y="0"/>
            <wp:positionH relativeFrom="margin">
              <wp:align>center</wp:align>
            </wp:positionH>
            <wp:positionV relativeFrom="paragraph">
              <wp:posOffset>-1905</wp:posOffset>
            </wp:positionV>
            <wp:extent cx="5414010" cy="2639695"/>
            <wp:effectExtent l="0" t="0" r="0" b="825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4010" cy="2639695"/>
                    </a:xfrm>
                    <a:prstGeom prst="rect">
                      <a:avLst/>
                    </a:prstGeom>
                    <a:noFill/>
                  </pic:spPr>
                </pic:pic>
              </a:graphicData>
            </a:graphic>
          </wp:anchor>
        </w:drawing>
      </w:r>
    </w:p>
    <w:p w14:paraId="56FB07ED" w14:textId="77777777" w:rsidR="007D2403" w:rsidRPr="001F5175" w:rsidRDefault="007D2403" w:rsidP="001E3DF2">
      <w:pPr>
        <w:bidi w:val="0"/>
        <w:jc w:val="center"/>
        <w:rPr>
          <w:rFonts w:ascii="Calibri" w:hAnsi="Calibri" w:cs="Calibri"/>
        </w:rPr>
      </w:pPr>
    </w:p>
    <w:p w14:paraId="776BF6A5" w14:textId="77777777" w:rsidR="007D2403" w:rsidRPr="001F5175" w:rsidRDefault="007D2403" w:rsidP="001E3DF2">
      <w:pPr>
        <w:bidi w:val="0"/>
        <w:jc w:val="both"/>
        <w:rPr>
          <w:rFonts w:ascii="Calibri" w:hAnsi="Calibri" w:cs="Calibri"/>
        </w:rPr>
      </w:pPr>
    </w:p>
    <w:p w14:paraId="03E21932" w14:textId="7C801189" w:rsidR="00716379" w:rsidRPr="001F5175" w:rsidRDefault="00466441" w:rsidP="00E64202">
      <w:pPr>
        <w:bidi w:val="0"/>
        <w:jc w:val="both"/>
        <w:rPr>
          <w:rFonts w:ascii="Calibri" w:hAnsi="Calibri" w:cs="Calibri"/>
          <w:b/>
          <w:bCs/>
        </w:rPr>
      </w:pPr>
      <w:r w:rsidRPr="001F5175">
        <w:rPr>
          <w:rFonts w:ascii="Calibri" w:hAnsi="Calibri" w:cs="Calibri"/>
          <w:b/>
          <w:bCs/>
        </w:rPr>
        <w:t>4</w:t>
      </w:r>
      <w:r w:rsidR="00716379" w:rsidRPr="001F5175">
        <w:rPr>
          <w:rFonts w:ascii="Calibri" w:hAnsi="Calibri" w:cs="Calibri"/>
          <w:b/>
          <w:bCs/>
        </w:rPr>
        <w:t xml:space="preserve">. </w:t>
      </w:r>
      <w:r w:rsidR="00E64202" w:rsidRPr="001F5175">
        <w:rPr>
          <w:rFonts w:ascii="Calibri" w:hAnsi="Calibri" w:cs="Calibri"/>
          <w:b/>
          <w:bCs/>
        </w:rPr>
        <w:t xml:space="preserve">Trading </w:t>
      </w:r>
      <w:r w:rsidR="00716379" w:rsidRPr="001F5175">
        <w:rPr>
          <w:rFonts w:ascii="Calibri" w:hAnsi="Calibri" w:cs="Calibri"/>
          <w:b/>
          <w:bCs/>
        </w:rPr>
        <w:t xml:space="preserve">Volume </w:t>
      </w:r>
      <w:r w:rsidR="00D934F6" w:rsidRPr="001F5175">
        <w:rPr>
          <w:rFonts w:ascii="Calibri" w:hAnsi="Calibri" w:cs="Calibri"/>
          <w:b/>
          <w:bCs/>
        </w:rPr>
        <w:t>in the Foreign Currency Market—</w:t>
      </w:r>
      <w:r w:rsidR="00584A0F" w:rsidRPr="001F5175">
        <w:rPr>
          <w:rFonts w:ascii="Calibri" w:hAnsi="Calibri" w:cs="Calibri"/>
          <w:b/>
          <w:bCs/>
        </w:rPr>
        <w:t>T</w:t>
      </w:r>
      <w:r w:rsidR="00D934F6" w:rsidRPr="001F5175">
        <w:rPr>
          <w:rFonts w:ascii="Calibri" w:hAnsi="Calibri" w:cs="Calibri"/>
          <w:b/>
          <w:bCs/>
        </w:rPr>
        <w:t xml:space="preserve">ables and </w:t>
      </w:r>
      <w:r w:rsidR="00584A0F" w:rsidRPr="001F5175">
        <w:rPr>
          <w:rFonts w:ascii="Calibri" w:hAnsi="Calibri" w:cs="Calibri"/>
          <w:b/>
          <w:bCs/>
        </w:rPr>
        <w:t>F</w:t>
      </w:r>
      <w:r w:rsidR="00D934F6" w:rsidRPr="001F5175">
        <w:rPr>
          <w:rFonts w:ascii="Calibri" w:hAnsi="Calibri" w:cs="Calibri"/>
          <w:b/>
          <w:bCs/>
        </w:rPr>
        <w:t>igures</w:t>
      </w:r>
    </w:p>
    <w:p w14:paraId="13ED5361" w14:textId="417175F4" w:rsidR="000C57D0" w:rsidRPr="001F5175" w:rsidRDefault="000C57D0" w:rsidP="001E3DF2">
      <w:pPr>
        <w:bidi w:val="0"/>
        <w:jc w:val="both"/>
        <w:rPr>
          <w:rFonts w:ascii="Calibri" w:hAnsi="Calibri" w:cs="Calibri"/>
          <w:b/>
          <w:bCs/>
        </w:rPr>
      </w:pPr>
    </w:p>
    <w:p w14:paraId="38C6E2F0" w14:textId="3B07DA8C" w:rsidR="003A15FE" w:rsidRPr="001F5175" w:rsidRDefault="00F4540B" w:rsidP="003A15FE">
      <w:pPr>
        <w:bidi w:val="0"/>
        <w:jc w:val="both"/>
        <w:rPr>
          <w:rFonts w:ascii="Calibri" w:hAnsi="Calibri" w:cs="Calibri"/>
          <w:b/>
          <w:bCs/>
          <w:color w:val="4F81BD" w:themeColor="accent1"/>
        </w:rPr>
      </w:pPr>
      <w:r w:rsidRPr="001F5175">
        <w:rPr>
          <w:rFonts w:ascii="Calibri" w:hAnsi="Calibri" w:cs="Calibri"/>
          <w:b/>
          <w:bCs/>
          <w:color w:val="4F81BD" w:themeColor="accent1"/>
        </w:rPr>
        <w:t>T</w:t>
      </w:r>
      <w:r w:rsidR="003A15FE" w:rsidRPr="001F5175">
        <w:rPr>
          <w:rFonts w:ascii="Calibri" w:hAnsi="Calibri" w:cs="Calibri"/>
          <w:b/>
          <w:bCs/>
          <w:color w:val="4F81BD" w:themeColor="accent1"/>
        </w:rPr>
        <w:t>rading volume vis-à-vis the domestic banking system</w:t>
      </w:r>
      <w:r w:rsidR="0063362C" w:rsidRPr="001F5175">
        <w:rPr>
          <w:rStyle w:val="ad"/>
          <w:rFonts w:ascii="Calibri" w:hAnsi="Calibri" w:cs="Calibri"/>
          <w:b/>
          <w:bCs/>
          <w:color w:val="4F81BD" w:themeColor="accent1"/>
        </w:rPr>
        <w:footnoteReference w:id="3"/>
      </w:r>
    </w:p>
    <w:p w14:paraId="6F1AC643" w14:textId="77777777" w:rsidR="003A15FE" w:rsidRPr="001F5175" w:rsidRDefault="003A15FE" w:rsidP="003A15FE">
      <w:pPr>
        <w:bidi w:val="0"/>
        <w:jc w:val="both"/>
        <w:rPr>
          <w:rFonts w:ascii="Calibri" w:hAnsi="Calibri" w:cs="Calibri"/>
          <w:b/>
          <w:bCs/>
        </w:rPr>
      </w:pPr>
    </w:p>
    <w:p w14:paraId="12A47D45" w14:textId="6F1DB409" w:rsidR="000C57D0" w:rsidRPr="001F5175" w:rsidRDefault="000C57D0" w:rsidP="00FA003E">
      <w:pPr>
        <w:bidi w:val="0"/>
        <w:jc w:val="both"/>
        <w:rPr>
          <w:rFonts w:ascii="Calibri" w:hAnsi="Calibri" w:cs="Calibri"/>
        </w:rPr>
      </w:pPr>
      <w:r w:rsidRPr="001F5175">
        <w:rPr>
          <w:rFonts w:ascii="Calibri" w:hAnsi="Calibri" w:cs="Calibri"/>
          <w:b/>
          <w:bCs/>
        </w:rPr>
        <w:t xml:space="preserve">The average daily </w:t>
      </w:r>
      <w:r w:rsidR="0087642C" w:rsidRPr="001F5175">
        <w:rPr>
          <w:rFonts w:ascii="Calibri" w:hAnsi="Calibri" w:cs="Calibri"/>
          <w:b/>
          <w:bCs/>
        </w:rPr>
        <w:t>trading</w:t>
      </w:r>
      <w:r w:rsidR="0087642C" w:rsidRPr="001F5175">
        <w:rPr>
          <w:rFonts w:ascii="Calibri" w:hAnsi="Calibri" w:cs="Calibri"/>
        </w:rPr>
        <w:t xml:space="preserve"> </w:t>
      </w:r>
      <w:r w:rsidRPr="001F5175">
        <w:rPr>
          <w:rFonts w:ascii="Calibri" w:hAnsi="Calibri" w:cs="Calibri"/>
          <w:b/>
          <w:bCs/>
        </w:rPr>
        <w:t xml:space="preserve">volume </w:t>
      </w:r>
      <w:r w:rsidR="00475E9A" w:rsidRPr="001F5175">
        <w:rPr>
          <w:rFonts w:ascii="Calibri" w:hAnsi="Calibri" w:cs="Calibri"/>
        </w:rPr>
        <w:t>increased</w:t>
      </w:r>
      <w:r w:rsidR="00C12090" w:rsidRPr="001F5175">
        <w:rPr>
          <w:rFonts w:ascii="Calibri" w:hAnsi="Calibri" w:cs="Calibri"/>
        </w:rPr>
        <w:t xml:space="preserve"> </w:t>
      </w:r>
      <w:r w:rsidR="00FA003E" w:rsidRPr="001F5175">
        <w:rPr>
          <w:rFonts w:ascii="Calibri" w:hAnsi="Calibri" w:cs="Calibri"/>
        </w:rPr>
        <w:t xml:space="preserve">moderately </w:t>
      </w:r>
      <w:r w:rsidR="0078051F" w:rsidRPr="001F5175">
        <w:rPr>
          <w:rFonts w:ascii="Calibri" w:hAnsi="Calibri" w:cs="Calibri"/>
        </w:rPr>
        <w:t xml:space="preserve">by about </w:t>
      </w:r>
      <w:r w:rsidR="00345CD5" w:rsidRPr="001F5175">
        <w:rPr>
          <w:rFonts w:ascii="Calibri" w:hAnsi="Calibri" w:cs="Calibri"/>
        </w:rPr>
        <w:t xml:space="preserve">0.6 </w:t>
      </w:r>
      <w:r w:rsidR="0078051F" w:rsidRPr="001F5175">
        <w:rPr>
          <w:rFonts w:ascii="Calibri" w:hAnsi="Calibri" w:cs="Calibri"/>
        </w:rPr>
        <w:t xml:space="preserve">percent </w:t>
      </w:r>
      <w:r w:rsidR="009B1A17" w:rsidRPr="001F5175">
        <w:rPr>
          <w:rFonts w:ascii="Calibri" w:hAnsi="Calibri" w:cs="Calibri"/>
        </w:rPr>
        <w:t>during the quarter</w:t>
      </w:r>
      <w:r w:rsidR="00A45819" w:rsidRPr="001F5175">
        <w:rPr>
          <w:rFonts w:ascii="Calibri" w:hAnsi="Calibri" w:cs="Calibri"/>
        </w:rPr>
        <w:t xml:space="preserve"> to $13.3 billion</w:t>
      </w:r>
      <w:r w:rsidR="00FA003E" w:rsidRPr="001F5175">
        <w:rPr>
          <w:rFonts w:ascii="Calibri" w:hAnsi="Calibri" w:cs="Calibri"/>
        </w:rPr>
        <w:t xml:space="preserve">, with most of the increase deriving from an increase </w:t>
      </w:r>
      <w:r w:rsidR="00584A0F" w:rsidRPr="001F5175">
        <w:rPr>
          <w:rFonts w:ascii="Calibri" w:hAnsi="Calibri" w:cs="Calibri"/>
        </w:rPr>
        <w:t xml:space="preserve">in </w:t>
      </w:r>
      <w:r w:rsidR="001030DF" w:rsidRPr="001F5175">
        <w:rPr>
          <w:rFonts w:ascii="Calibri" w:hAnsi="Calibri" w:cs="Calibri"/>
        </w:rPr>
        <w:t xml:space="preserve">the daily trading volume </w:t>
      </w:r>
      <w:r w:rsidR="00994D5A" w:rsidRPr="001F5175">
        <w:rPr>
          <w:rFonts w:ascii="Calibri" w:hAnsi="Calibri" w:cs="Calibri"/>
        </w:rPr>
        <w:t xml:space="preserve">in </w:t>
      </w:r>
      <w:r w:rsidR="003125B3" w:rsidRPr="001F5175">
        <w:rPr>
          <w:rFonts w:ascii="Calibri" w:hAnsi="Calibri" w:cs="Calibri"/>
        </w:rPr>
        <w:t>swap transactions</w:t>
      </w:r>
      <w:r w:rsidR="00FA003E" w:rsidRPr="001F5175">
        <w:rPr>
          <w:rFonts w:ascii="Calibri" w:hAnsi="Calibri" w:cs="Calibri"/>
        </w:rPr>
        <w:t>.</w:t>
      </w:r>
    </w:p>
    <w:p w14:paraId="4B66690D" w14:textId="77777777" w:rsidR="000C57D0" w:rsidRPr="001F5175" w:rsidRDefault="000C57D0" w:rsidP="001E3DF2">
      <w:pPr>
        <w:bidi w:val="0"/>
        <w:jc w:val="both"/>
        <w:rPr>
          <w:rFonts w:ascii="Calibri" w:hAnsi="Calibri" w:cs="Calibri"/>
        </w:rPr>
      </w:pPr>
    </w:p>
    <w:p w14:paraId="32D8FF46" w14:textId="01FF936B" w:rsidR="001B4974" w:rsidRPr="001F5175" w:rsidRDefault="00227FCB" w:rsidP="004766A2">
      <w:pPr>
        <w:bidi w:val="0"/>
        <w:jc w:val="both"/>
        <w:rPr>
          <w:rFonts w:ascii="Calibri" w:hAnsi="Calibri" w:cs="Calibri"/>
        </w:rPr>
      </w:pPr>
      <w:r w:rsidRPr="001F5175">
        <w:rPr>
          <w:rFonts w:ascii="Calibri" w:hAnsi="Calibri" w:cs="Calibri"/>
          <w:b/>
          <w:bCs/>
        </w:rPr>
        <w:t>N</w:t>
      </w:r>
      <w:r w:rsidR="001B4974" w:rsidRPr="001F5175">
        <w:rPr>
          <w:rFonts w:ascii="Calibri" w:hAnsi="Calibri" w:cs="Calibri"/>
          <w:b/>
          <w:bCs/>
        </w:rPr>
        <w:t>onresidents' share of total trading</w:t>
      </w:r>
      <w:r w:rsidR="000C57D0" w:rsidRPr="001F5175">
        <w:rPr>
          <w:rFonts w:ascii="Calibri" w:hAnsi="Calibri" w:cs="Calibri"/>
          <w:b/>
          <w:bCs/>
        </w:rPr>
        <w:t xml:space="preserve"> volume</w:t>
      </w:r>
      <w:r w:rsidR="001030DF" w:rsidRPr="001F5175">
        <w:rPr>
          <w:rFonts w:ascii="Calibri" w:hAnsi="Calibri" w:cs="Calibri"/>
          <w:b/>
          <w:bCs/>
        </w:rPr>
        <w:t xml:space="preserve"> vis-à-vis the domestic banking system</w:t>
      </w:r>
      <w:r w:rsidR="001B4974" w:rsidRPr="001F5175">
        <w:rPr>
          <w:rFonts w:ascii="Calibri" w:hAnsi="Calibri" w:cs="Calibri"/>
          <w:b/>
          <w:bCs/>
        </w:rPr>
        <w:t xml:space="preserve"> </w:t>
      </w:r>
      <w:r w:rsidR="001B4974" w:rsidRPr="001F5175">
        <w:rPr>
          <w:rFonts w:ascii="Calibri" w:hAnsi="Calibri" w:cs="Calibri"/>
        </w:rPr>
        <w:t>(spot and forward transactions, options</w:t>
      </w:r>
      <w:r w:rsidR="0063362C" w:rsidRPr="001F5175">
        <w:rPr>
          <w:rFonts w:ascii="Calibri" w:hAnsi="Calibri" w:cs="Calibri"/>
        </w:rPr>
        <w:t>,</w:t>
      </w:r>
      <w:r w:rsidR="001B4974" w:rsidRPr="001F5175">
        <w:rPr>
          <w:rFonts w:ascii="Calibri" w:hAnsi="Calibri" w:cs="Calibri"/>
        </w:rPr>
        <w:t xml:space="preserve"> and swaps) </w:t>
      </w:r>
      <w:r w:rsidR="003125B3" w:rsidRPr="001F5175">
        <w:rPr>
          <w:rFonts w:ascii="Calibri" w:hAnsi="Calibri" w:cs="Calibri"/>
        </w:rPr>
        <w:t>declined</w:t>
      </w:r>
      <w:r w:rsidR="00952674" w:rsidRPr="001F5175">
        <w:rPr>
          <w:rFonts w:ascii="Calibri" w:hAnsi="Calibri" w:cs="Calibri"/>
        </w:rPr>
        <w:t xml:space="preserve"> </w:t>
      </w:r>
      <w:r w:rsidR="001B4974" w:rsidRPr="001F5175">
        <w:rPr>
          <w:rFonts w:ascii="Calibri" w:hAnsi="Calibri" w:cs="Calibri"/>
        </w:rPr>
        <w:t xml:space="preserve">by about </w:t>
      </w:r>
      <w:r w:rsidR="00FA003E" w:rsidRPr="001F5175">
        <w:rPr>
          <w:rFonts w:ascii="Calibri" w:hAnsi="Calibri" w:cs="Calibri"/>
        </w:rPr>
        <w:t xml:space="preserve">0.9 </w:t>
      </w:r>
      <w:r w:rsidR="001B4974" w:rsidRPr="001F5175">
        <w:rPr>
          <w:rFonts w:ascii="Calibri" w:hAnsi="Calibri" w:cs="Calibri"/>
        </w:rPr>
        <w:t>percent</w:t>
      </w:r>
      <w:r w:rsidR="00994D5A" w:rsidRPr="001F5175">
        <w:rPr>
          <w:rFonts w:ascii="Calibri" w:hAnsi="Calibri" w:cs="Calibri"/>
        </w:rPr>
        <w:t>age points</w:t>
      </w:r>
      <w:r w:rsidR="00461E98" w:rsidRPr="001F5175">
        <w:rPr>
          <w:rFonts w:ascii="Calibri" w:hAnsi="Calibri" w:cs="Calibri"/>
        </w:rPr>
        <w:t xml:space="preserve"> </w:t>
      </w:r>
      <w:r w:rsidR="001B4974" w:rsidRPr="001F5175">
        <w:rPr>
          <w:rFonts w:ascii="Calibri" w:hAnsi="Calibri" w:cs="Calibri"/>
        </w:rPr>
        <w:t xml:space="preserve">to about </w:t>
      </w:r>
      <w:r w:rsidR="00601CA2" w:rsidRPr="001F5175">
        <w:rPr>
          <w:rFonts w:ascii="Calibri" w:hAnsi="Calibri" w:cs="Calibri"/>
        </w:rPr>
        <w:t>40.4 p</w:t>
      </w:r>
      <w:r w:rsidR="001B4974" w:rsidRPr="001F5175">
        <w:rPr>
          <w:rFonts w:ascii="Calibri" w:hAnsi="Calibri" w:cs="Calibri"/>
        </w:rPr>
        <w:t xml:space="preserve">ercent at the end of the </w:t>
      </w:r>
      <w:r w:rsidR="004766A2" w:rsidRPr="001F5175">
        <w:rPr>
          <w:rFonts w:ascii="Calibri" w:hAnsi="Calibri" w:cs="Calibri"/>
        </w:rPr>
        <w:t>first</w:t>
      </w:r>
      <w:r w:rsidR="00A45819" w:rsidRPr="001F5175">
        <w:rPr>
          <w:rFonts w:ascii="Calibri" w:hAnsi="Calibri" w:cs="Calibri"/>
        </w:rPr>
        <w:t xml:space="preserve"> </w:t>
      </w:r>
      <w:r w:rsidR="00A3533A" w:rsidRPr="001F5175">
        <w:rPr>
          <w:rFonts w:ascii="Calibri" w:hAnsi="Calibri" w:cs="Calibri"/>
        </w:rPr>
        <w:t>quarter</w:t>
      </w:r>
      <w:r w:rsidR="001B4974" w:rsidRPr="001F5175">
        <w:rPr>
          <w:rFonts w:ascii="Calibri" w:hAnsi="Calibri" w:cs="Calibri"/>
        </w:rPr>
        <w:t xml:space="preserve">. </w:t>
      </w:r>
    </w:p>
    <w:p w14:paraId="065FC886" w14:textId="77777777" w:rsidR="00A62731" w:rsidRPr="001F5175" w:rsidRDefault="00A62731" w:rsidP="001E3DF2">
      <w:pPr>
        <w:jc w:val="both"/>
        <w:rPr>
          <w:rFonts w:ascii="Calibri" w:hAnsi="Calibri" w:cs="Calibri"/>
          <w:sz w:val="20"/>
          <w:szCs w:val="20"/>
          <w:rtl/>
        </w:rPr>
      </w:pPr>
    </w:p>
    <w:p w14:paraId="6F364926" w14:textId="14A71A8D" w:rsidR="006D5EA0" w:rsidRPr="001F5175" w:rsidRDefault="007B6D19" w:rsidP="006D5EA0">
      <w:pPr>
        <w:bidi w:val="0"/>
        <w:jc w:val="center"/>
        <w:rPr>
          <w:rFonts w:ascii="Calibri" w:hAnsi="Calibri" w:cs="Calibri"/>
          <w:sz w:val="20"/>
          <w:szCs w:val="20"/>
        </w:rPr>
      </w:pPr>
      <w:r w:rsidRPr="001F5175">
        <w:rPr>
          <w:rFonts w:ascii="Calibri" w:hAnsi="Calibri" w:cs="Calibri"/>
          <w:b/>
          <w:bCs/>
          <w:noProof/>
          <w:sz w:val="22"/>
          <w:szCs w:val="22"/>
        </w:rPr>
        <w:lastRenderedPageBreak/>
        <w:drawing>
          <wp:inline distT="0" distB="0" distL="0" distR="0" wp14:anchorId="69B246B2" wp14:editId="774F12B2">
            <wp:extent cx="5414010" cy="26460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4010" cy="2646045"/>
                    </a:xfrm>
                    <a:prstGeom prst="rect">
                      <a:avLst/>
                    </a:prstGeom>
                    <a:noFill/>
                  </pic:spPr>
                </pic:pic>
              </a:graphicData>
            </a:graphic>
          </wp:inline>
        </w:drawing>
      </w:r>
    </w:p>
    <w:p w14:paraId="77F35884" w14:textId="2C0F772C" w:rsidR="00D80DD5" w:rsidRPr="001F5175" w:rsidRDefault="00D80DD5" w:rsidP="00D80DD5">
      <w:pPr>
        <w:bidi w:val="0"/>
        <w:jc w:val="center"/>
        <w:rPr>
          <w:rFonts w:ascii="Calibri" w:hAnsi="Calibri" w:cs="Calibri"/>
          <w:sz w:val="20"/>
          <w:szCs w:val="20"/>
        </w:rPr>
      </w:pPr>
    </w:p>
    <w:p w14:paraId="5DE71637" w14:textId="06513AFD" w:rsidR="00D80DD5" w:rsidRPr="001F5175" w:rsidRDefault="00D80DD5" w:rsidP="00475E9A">
      <w:pPr>
        <w:bidi w:val="0"/>
        <w:rPr>
          <w:rFonts w:ascii="Calibri" w:hAnsi="Calibri" w:cs="Calibri"/>
          <w:sz w:val="20"/>
          <w:szCs w:val="20"/>
        </w:rPr>
      </w:pPr>
    </w:p>
    <w:tbl>
      <w:tblPr>
        <w:tblW w:w="9409" w:type="dxa"/>
        <w:tblInd w:w="-152" w:type="dxa"/>
        <w:tblLook w:val="04A0" w:firstRow="1" w:lastRow="0" w:firstColumn="1" w:lastColumn="0" w:noHBand="0" w:noVBand="1"/>
      </w:tblPr>
      <w:tblGrid>
        <w:gridCol w:w="5"/>
        <w:gridCol w:w="901"/>
        <w:gridCol w:w="3432"/>
        <w:gridCol w:w="1167"/>
        <w:gridCol w:w="810"/>
        <w:gridCol w:w="956"/>
        <w:gridCol w:w="880"/>
        <w:gridCol w:w="352"/>
        <w:gridCol w:w="951"/>
      </w:tblGrid>
      <w:tr w:rsidR="007B6D19" w:rsidRPr="001F5175" w14:paraId="1AB7E057" w14:textId="77777777" w:rsidTr="007B6D19">
        <w:trPr>
          <w:gridBefore w:val="1"/>
          <w:trHeight w:val="990"/>
        </w:trPr>
        <w:tc>
          <w:tcPr>
            <w:tcW w:w="9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E8F162B" w14:textId="77777777" w:rsidR="007B6D19" w:rsidRPr="001F5175" w:rsidRDefault="007B6D19" w:rsidP="00CF00E4">
            <w:pPr>
              <w:bidi w:val="0"/>
              <w:rPr>
                <w:rFonts w:ascii="Calibri" w:hAnsi="Calibri" w:cs="Calibri"/>
                <w:sz w:val="28"/>
                <w:szCs w:val="28"/>
              </w:rPr>
            </w:pPr>
            <w:r w:rsidRPr="001F5175">
              <w:rPr>
                <w:rFonts w:ascii="Calibri" w:hAnsi="Calibri" w:cs="Calibri"/>
                <w:sz w:val="28"/>
                <w:szCs w:val="28"/>
              </w:rPr>
              <w:t> </w:t>
            </w:r>
          </w:p>
        </w:tc>
        <w:tc>
          <w:tcPr>
            <w:tcW w:w="3432"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2524737"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w:t>
            </w:r>
          </w:p>
        </w:tc>
        <w:tc>
          <w:tcPr>
            <w:tcW w:w="1167" w:type="dxa"/>
            <w:tcBorders>
              <w:top w:val="single" w:sz="8" w:space="0" w:color="auto"/>
              <w:left w:val="nil"/>
              <w:bottom w:val="single" w:sz="4" w:space="0" w:color="auto"/>
              <w:right w:val="single" w:sz="4" w:space="0" w:color="auto"/>
            </w:tcBorders>
            <w:shd w:val="clear" w:color="auto" w:fill="auto"/>
            <w:vAlign w:val="bottom"/>
            <w:hideMark/>
          </w:tcPr>
          <w:p w14:paraId="7982C96A"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 Conversions (1) </w:t>
            </w:r>
          </w:p>
        </w:tc>
        <w:tc>
          <w:tcPr>
            <w:tcW w:w="760" w:type="dxa"/>
            <w:tcBorders>
              <w:top w:val="single" w:sz="8" w:space="0" w:color="auto"/>
              <w:left w:val="nil"/>
              <w:bottom w:val="single" w:sz="4" w:space="0" w:color="auto"/>
              <w:right w:val="single" w:sz="4" w:space="0" w:color="auto"/>
            </w:tcBorders>
            <w:shd w:val="clear" w:color="auto" w:fill="auto"/>
            <w:vAlign w:val="bottom"/>
            <w:hideMark/>
          </w:tcPr>
          <w:p w14:paraId="2975EFCE"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 Swaps</w:t>
            </w:r>
            <w:r w:rsidRPr="001F5175">
              <w:rPr>
                <w:rFonts w:ascii="Calibri" w:hAnsi="Calibri" w:cs="Calibri"/>
                <w:b/>
                <w:bCs/>
                <w:sz w:val="18"/>
                <w:szCs w:val="18"/>
                <w:vertAlign w:val="superscript"/>
              </w:rPr>
              <w:t>1</w:t>
            </w:r>
            <w:r w:rsidRPr="001F5175">
              <w:rPr>
                <w:rFonts w:ascii="Calibri" w:hAnsi="Calibri" w:cs="Calibri"/>
                <w:b/>
                <w:bCs/>
                <w:sz w:val="18"/>
                <w:szCs w:val="18"/>
              </w:rPr>
              <w:t xml:space="preserve"> (2)</w:t>
            </w:r>
          </w:p>
        </w:tc>
        <w:tc>
          <w:tcPr>
            <w:tcW w:w="956" w:type="dxa"/>
            <w:tcBorders>
              <w:top w:val="single" w:sz="8" w:space="0" w:color="auto"/>
              <w:left w:val="nil"/>
              <w:bottom w:val="single" w:sz="4" w:space="0" w:color="auto"/>
              <w:right w:val="single" w:sz="4" w:space="0" w:color="auto"/>
            </w:tcBorders>
            <w:shd w:val="clear" w:color="auto" w:fill="auto"/>
            <w:vAlign w:val="bottom"/>
            <w:hideMark/>
          </w:tcPr>
          <w:p w14:paraId="2C7D74E6"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 Cross Currency swap</w:t>
            </w:r>
            <w:r w:rsidRPr="001F5175">
              <w:rPr>
                <w:rFonts w:ascii="Calibri" w:hAnsi="Calibri" w:cs="Calibri"/>
                <w:b/>
                <w:bCs/>
                <w:sz w:val="18"/>
                <w:szCs w:val="18"/>
                <w:vertAlign w:val="superscript"/>
              </w:rPr>
              <w:t>2</w:t>
            </w:r>
            <w:r w:rsidRPr="001F5175">
              <w:rPr>
                <w:rFonts w:ascii="Calibri" w:hAnsi="Calibri" w:cs="Calibri"/>
                <w:b/>
                <w:bCs/>
                <w:sz w:val="18"/>
                <w:szCs w:val="18"/>
              </w:rPr>
              <w:t xml:space="preserve"> (3)</w:t>
            </w:r>
          </w:p>
        </w:tc>
        <w:tc>
          <w:tcPr>
            <w:tcW w:w="880" w:type="dxa"/>
            <w:tcBorders>
              <w:top w:val="single" w:sz="8" w:space="0" w:color="auto"/>
              <w:left w:val="nil"/>
              <w:bottom w:val="single" w:sz="4" w:space="0" w:color="auto"/>
              <w:right w:val="single" w:sz="4" w:space="0" w:color="auto"/>
            </w:tcBorders>
            <w:shd w:val="clear" w:color="auto" w:fill="auto"/>
            <w:vAlign w:val="bottom"/>
            <w:hideMark/>
          </w:tcPr>
          <w:p w14:paraId="63FA64D5"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 Options</w:t>
            </w:r>
            <w:r w:rsidRPr="001F5175">
              <w:rPr>
                <w:rFonts w:ascii="Calibri" w:hAnsi="Calibri" w:cs="Calibri"/>
                <w:b/>
                <w:bCs/>
                <w:sz w:val="18"/>
                <w:szCs w:val="18"/>
                <w:vertAlign w:val="superscript"/>
              </w:rPr>
              <w:t>3</w:t>
            </w:r>
            <w:r w:rsidRPr="001F5175">
              <w:rPr>
                <w:rFonts w:ascii="Calibri" w:hAnsi="Calibri" w:cs="Calibri"/>
                <w:b/>
                <w:bCs/>
                <w:sz w:val="18"/>
                <w:szCs w:val="18"/>
              </w:rPr>
              <w:t xml:space="preserve"> (4)</w:t>
            </w:r>
          </w:p>
        </w:tc>
        <w:tc>
          <w:tcPr>
            <w:tcW w:w="1303" w:type="dxa"/>
            <w:gridSpan w:val="2"/>
            <w:tcBorders>
              <w:top w:val="single" w:sz="8" w:space="0" w:color="auto"/>
              <w:left w:val="nil"/>
              <w:bottom w:val="single" w:sz="4" w:space="0" w:color="auto"/>
              <w:right w:val="single" w:sz="8" w:space="0" w:color="auto"/>
            </w:tcBorders>
            <w:shd w:val="clear" w:color="auto" w:fill="auto"/>
            <w:vAlign w:val="bottom"/>
            <w:hideMark/>
          </w:tcPr>
          <w:p w14:paraId="17FB31F2"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Total volume of trade (1)+(2)+(3)+(4)</w:t>
            </w:r>
          </w:p>
        </w:tc>
      </w:tr>
      <w:tr w:rsidR="007B6D19" w:rsidRPr="001F5175" w14:paraId="2B7079E8" w14:textId="77777777" w:rsidTr="007B6D19">
        <w:trPr>
          <w:gridBefore w:val="1"/>
          <w:trHeight w:val="210"/>
        </w:trPr>
        <w:tc>
          <w:tcPr>
            <w:tcW w:w="901" w:type="dxa"/>
            <w:vMerge w:val="restart"/>
            <w:tcBorders>
              <w:top w:val="nil"/>
              <w:left w:val="single" w:sz="8" w:space="0" w:color="auto"/>
              <w:bottom w:val="single" w:sz="8" w:space="0" w:color="000000"/>
              <w:right w:val="single" w:sz="4" w:space="0" w:color="auto"/>
            </w:tcBorders>
            <w:shd w:val="clear" w:color="auto" w:fill="auto"/>
            <w:vAlign w:val="center"/>
            <w:hideMark/>
          </w:tcPr>
          <w:p w14:paraId="1B2631C4"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First quarter 2025 (Not final)</w:t>
            </w:r>
          </w:p>
        </w:tc>
        <w:tc>
          <w:tcPr>
            <w:tcW w:w="3432" w:type="dxa"/>
            <w:tcBorders>
              <w:top w:val="nil"/>
              <w:left w:val="nil"/>
              <w:bottom w:val="single" w:sz="4" w:space="0" w:color="auto"/>
              <w:right w:val="single" w:sz="4" w:space="0" w:color="auto"/>
            </w:tcBorders>
            <w:shd w:val="clear" w:color="000000" w:fill="D9D9D9"/>
            <w:noWrap/>
            <w:vAlign w:val="bottom"/>
            <w:hideMark/>
          </w:tcPr>
          <w:p w14:paraId="234FDC9C"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Total</w:t>
            </w:r>
          </w:p>
        </w:tc>
        <w:tc>
          <w:tcPr>
            <w:tcW w:w="1167" w:type="dxa"/>
            <w:tcBorders>
              <w:top w:val="nil"/>
              <w:left w:val="nil"/>
              <w:bottom w:val="single" w:sz="4" w:space="0" w:color="auto"/>
              <w:right w:val="single" w:sz="4" w:space="0" w:color="auto"/>
            </w:tcBorders>
            <w:shd w:val="clear" w:color="000000" w:fill="D9D9D9"/>
            <w:vAlign w:val="center"/>
            <w:hideMark/>
          </w:tcPr>
          <w:p w14:paraId="49CF0D2F"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192,569 </w:t>
            </w:r>
          </w:p>
        </w:tc>
        <w:tc>
          <w:tcPr>
            <w:tcW w:w="760" w:type="dxa"/>
            <w:tcBorders>
              <w:top w:val="nil"/>
              <w:left w:val="nil"/>
              <w:bottom w:val="single" w:sz="4" w:space="0" w:color="auto"/>
              <w:right w:val="single" w:sz="4" w:space="0" w:color="auto"/>
            </w:tcBorders>
            <w:shd w:val="clear" w:color="000000" w:fill="D9D9D9"/>
            <w:vAlign w:val="center"/>
            <w:hideMark/>
          </w:tcPr>
          <w:p w14:paraId="2739ACFA"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601,971 </w:t>
            </w:r>
          </w:p>
        </w:tc>
        <w:tc>
          <w:tcPr>
            <w:tcW w:w="956" w:type="dxa"/>
            <w:tcBorders>
              <w:top w:val="nil"/>
              <w:left w:val="nil"/>
              <w:bottom w:val="single" w:sz="4" w:space="0" w:color="auto"/>
              <w:right w:val="single" w:sz="4" w:space="0" w:color="auto"/>
            </w:tcBorders>
            <w:shd w:val="clear" w:color="000000" w:fill="D9D9D9"/>
            <w:vAlign w:val="center"/>
            <w:hideMark/>
          </w:tcPr>
          <w:p w14:paraId="6AADB1AF"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1,919 </w:t>
            </w:r>
          </w:p>
        </w:tc>
        <w:tc>
          <w:tcPr>
            <w:tcW w:w="880" w:type="dxa"/>
            <w:tcBorders>
              <w:top w:val="nil"/>
              <w:left w:val="nil"/>
              <w:bottom w:val="single" w:sz="4" w:space="0" w:color="auto"/>
              <w:right w:val="single" w:sz="4" w:space="0" w:color="auto"/>
            </w:tcBorders>
            <w:shd w:val="clear" w:color="000000" w:fill="D9D9D9"/>
            <w:vAlign w:val="center"/>
            <w:hideMark/>
          </w:tcPr>
          <w:p w14:paraId="24866FA0"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26,715 </w:t>
            </w:r>
          </w:p>
        </w:tc>
        <w:tc>
          <w:tcPr>
            <w:tcW w:w="1303" w:type="dxa"/>
            <w:gridSpan w:val="2"/>
            <w:tcBorders>
              <w:top w:val="nil"/>
              <w:left w:val="nil"/>
              <w:bottom w:val="single" w:sz="4" w:space="0" w:color="auto"/>
              <w:right w:val="single" w:sz="4" w:space="0" w:color="auto"/>
            </w:tcBorders>
            <w:shd w:val="clear" w:color="000000" w:fill="D9D9D9"/>
            <w:vAlign w:val="center"/>
            <w:hideMark/>
          </w:tcPr>
          <w:p w14:paraId="547519ED"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823,173 </w:t>
            </w:r>
          </w:p>
        </w:tc>
      </w:tr>
      <w:tr w:rsidR="007B6D19" w:rsidRPr="001F5175" w14:paraId="068DDFEF"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150186D6"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000000" w:fill="D9D9D9"/>
            <w:noWrap/>
            <w:vAlign w:val="bottom"/>
            <w:hideMark/>
          </w:tcPr>
          <w:p w14:paraId="769E7324"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 xml:space="preserve"> Daily average (59 days)</w:t>
            </w:r>
          </w:p>
        </w:tc>
        <w:tc>
          <w:tcPr>
            <w:tcW w:w="1167" w:type="dxa"/>
            <w:tcBorders>
              <w:top w:val="nil"/>
              <w:left w:val="nil"/>
              <w:bottom w:val="single" w:sz="4" w:space="0" w:color="auto"/>
              <w:right w:val="single" w:sz="4" w:space="0" w:color="auto"/>
            </w:tcBorders>
            <w:shd w:val="clear" w:color="000000" w:fill="D9D9D9"/>
            <w:vAlign w:val="center"/>
            <w:hideMark/>
          </w:tcPr>
          <w:p w14:paraId="37B41D25"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3,106 </w:t>
            </w:r>
          </w:p>
        </w:tc>
        <w:tc>
          <w:tcPr>
            <w:tcW w:w="760" w:type="dxa"/>
            <w:tcBorders>
              <w:top w:val="nil"/>
              <w:left w:val="nil"/>
              <w:bottom w:val="single" w:sz="4" w:space="0" w:color="auto"/>
              <w:right w:val="single" w:sz="4" w:space="0" w:color="auto"/>
            </w:tcBorders>
            <w:shd w:val="clear" w:color="000000" w:fill="D9D9D9"/>
            <w:vAlign w:val="center"/>
            <w:hideMark/>
          </w:tcPr>
          <w:p w14:paraId="13CEF208"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9,709 </w:t>
            </w:r>
          </w:p>
        </w:tc>
        <w:tc>
          <w:tcPr>
            <w:tcW w:w="956" w:type="dxa"/>
            <w:tcBorders>
              <w:top w:val="nil"/>
              <w:left w:val="nil"/>
              <w:bottom w:val="single" w:sz="4" w:space="0" w:color="auto"/>
              <w:right w:val="single" w:sz="4" w:space="0" w:color="auto"/>
            </w:tcBorders>
            <w:shd w:val="clear" w:color="000000" w:fill="D9D9D9"/>
            <w:vAlign w:val="center"/>
            <w:hideMark/>
          </w:tcPr>
          <w:p w14:paraId="0527CB5E"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31 </w:t>
            </w:r>
          </w:p>
        </w:tc>
        <w:tc>
          <w:tcPr>
            <w:tcW w:w="880" w:type="dxa"/>
            <w:tcBorders>
              <w:top w:val="nil"/>
              <w:left w:val="nil"/>
              <w:bottom w:val="single" w:sz="4" w:space="0" w:color="auto"/>
              <w:right w:val="single" w:sz="4" w:space="0" w:color="auto"/>
            </w:tcBorders>
            <w:shd w:val="clear" w:color="000000" w:fill="D9D9D9"/>
            <w:vAlign w:val="center"/>
            <w:hideMark/>
          </w:tcPr>
          <w:p w14:paraId="62B179F0"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431 </w:t>
            </w:r>
          </w:p>
        </w:tc>
        <w:tc>
          <w:tcPr>
            <w:tcW w:w="1303" w:type="dxa"/>
            <w:gridSpan w:val="2"/>
            <w:tcBorders>
              <w:top w:val="nil"/>
              <w:left w:val="nil"/>
              <w:bottom w:val="single" w:sz="4" w:space="0" w:color="auto"/>
              <w:right w:val="single" w:sz="4" w:space="0" w:color="auto"/>
            </w:tcBorders>
            <w:shd w:val="clear" w:color="000000" w:fill="D9D9D9"/>
            <w:vAlign w:val="center"/>
            <w:hideMark/>
          </w:tcPr>
          <w:p w14:paraId="4D9FCD25"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13,277 </w:t>
            </w:r>
          </w:p>
        </w:tc>
      </w:tr>
      <w:tr w:rsidR="007B6D19" w:rsidRPr="001F5175" w14:paraId="6515BDFE"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0BD47EFD"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721854FF"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Nonresidents</w:t>
            </w:r>
          </w:p>
        </w:tc>
        <w:tc>
          <w:tcPr>
            <w:tcW w:w="1167" w:type="dxa"/>
            <w:tcBorders>
              <w:top w:val="nil"/>
              <w:left w:val="nil"/>
              <w:bottom w:val="single" w:sz="4" w:space="0" w:color="auto"/>
              <w:right w:val="single" w:sz="4" w:space="0" w:color="auto"/>
            </w:tcBorders>
            <w:shd w:val="clear" w:color="auto" w:fill="auto"/>
            <w:vAlign w:val="center"/>
            <w:hideMark/>
          </w:tcPr>
          <w:p w14:paraId="2A81B778"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63,054 </w:t>
            </w:r>
          </w:p>
        </w:tc>
        <w:tc>
          <w:tcPr>
            <w:tcW w:w="760" w:type="dxa"/>
            <w:tcBorders>
              <w:top w:val="nil"/>
              <w:left w:val="nil"/>
              <w:bottom w:val="single" w:sz="4" w:space="0" w:color="auto"/>
              <w:right w:val="single" w:sz="4" w:space="0" w:color="auto"/>
            </w:tcBorders>
            <w:shd w:val="clear" w:color="auto" w:fill="auto"/>
            <w:vAlign w:val="center"/>
            <w:hideMark/>
          </w:tcPr>
          <w:p w14:paraId="4D6841BF"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261,002 </w:t>
            </w:r>
          </w:p>
        </w:tc>
        <w:tc>
          <w:tcPr>
            <w:tcW w:w="956" w:type="dxa"/>
            <w:tcBorders>
              <w:top w:val="nil"/>
              <w:left w:val="nil"/>
              <w:bottom w:val="single" w:sz="4" w:space="0" w:color="auto"/>
              <w:right w:val="single" w:sz="4" w:space="0" w:color="auto"/>
            </w:tcBorders>
            <w:shd w:val="clear" w:color="auto" w:fill="auto"/>
            <w:vAlign w:val="center"/>
            <w:hideMark/>
          </w:tcPr>
          <w:p w14:paraId="33AF1D58"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764 </w:t>
            </w:r>
          </w:p>
        </w:tc>
        <w:tc>
          <w:tcPr>
            <w:tcW w:w="880" w:type="dxa"/>
            <w:tcBorders>
              <w:top w:val="nil"/>
              <w:left w:val="nil"/>
              <w:bottom w:val="single" w:sz="4" w:space="0" w:color="auto"/>
              <w:right w:val="single" w:sz="4" w:space="0" w:color="auto"/>
            </w:tcBorders>
            <w:shd w:val="clear" w:color="auto" w:fill="auto"/>
            <w:vAlign w:val="center"/>
            <w:hideMark/>
          </w:tcPr>
          <w:p w14:paraId="60059474"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7,389 </w:t>
            </w:r>
          </w:p>
        </w:tc>
        <w:tc>
          <w:tcPr>
            <w:tcW w:w="1303" w:type="dxa"/>
            <w:gridSpan w:val="2"/>
            <w:tcBorders>
              <w:top w:val="nil"/>
              <w:left w:val="nil"/>
              <w:bottom w:val="single" w:sz="4" w:space="0" w:color="auto"/>
              <w:right w:val="single" w:sz="4" w:space="0" w:color="auto"/>
            </w:tcBorders>
            <w:shd w:val="clear" w:color="auto" w:fill="auto"/>
            <w:vAlign w:val="center"/>
            <w:hideMark/>
          </w:tcPr>
          <w:p w14:paraId="511D1E06"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332,209 </w:t>
            </w:r>
          </w:p>
        </w:tc>
      </w:tr>
      <w:tr w:rsidR="007B6D19" w:rsidRPr="001F5175" w14:paraId="0EEAB4D2"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0E26B61B"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7E24F4CF" w14:textId="77777777" w:rsidR="007B6D19" w:rsidRPr="001F5175" w:rsidRDefault="007B6D19" w:rsidP="00CF00E4">
            <w:pPr>
              <w:bidi w:val="0"/>
              <w:rPr>
                <w:rFonts w:ascii="Calibri" w:hAnsi="Calibri" w:cs="Calibri"/>
                <w:b/>
                <w:bCs/>
                <w:sz w:val="18"/>
                <w:szCs w:val="18"/>
              </w:rPr>
            </w:pPr>
            <w:r w:rsidRPr="001F5175">
              <w:rPr>
                <w:rFonts w:ascii="Calibri" w:hAnsi="Calibri" w:cs="Calibri"/>
                <w:sz w:val="18"/>
                <w:szCs w:val="18"/>
              </w:rPr>
              <w:t xml:space="preserve"> of which</w:t>
            </w:r>
            <w:r w:rsidRPr="001F5175">
              <w:rPr>
                <w:rFonts w:ascii="Calibri" w:hAnsi="Calibri" w:cs="Calibri"/>
                <w:b/>
                <w:bCs/>
                <w:sz w:val="18"/>
                <w:szCs w:val="18"/>
              </w:rPr>
              <w:t xml:space="preserve"> Foreign financial institutions</w:t>
            </w:r>
          </w:p>
        </w:tc>
        <w:tc>
          <w:tcPr>
            <w:tcW w:w="1167" w:type="dxa"/>
            <w:tcBorders>
              <w:top w:val="nil"/>
              <w:left w:val="nil"/>
              <w:bottom w:val="single" w:sz="4" w:space="0" w:color="auto"/>
              <w:right w:val="single" w:sz="4" w:space="0" w:color="auto"/>
            </w:tcBorders>
            <w:shd w:val="clear" w:color="auto" w:fill="auto"/>
            <w:vAlign w:val="center"/>
            <w:hideMark/>
          </w:tcPr>
          <w:p w14:paraId="6AD0A295"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62,484 </w:t>
            </w:r>
          </w:p>
        </w:tc>
        <w:tc>
          <w:tcPr>
            <w:tcW w:w="760" w:type="dxa"/>
            <w:tcBorders>
              <w:top w:val="nil"/>
              <w:left w:val="nil"/>
              <w:bottom w:val="single" w:sz="4" w:space="0" w:color="auto"/>
              <w:right w:val="single" w:sz="4" w:space="0" w:color="auto"/>
            </w:tcBorders>
            <w:shd w:val="clear" w:color="auto" w:fill="auto"/>
            <w:vAlign w:val="center"/>
            <w:hideMark/>
          </w:tcPr>
          <w:p w14:paraId="60FA11DB"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261,001 </w:t>
            </w:r>
          </w:p>
        </w:tc>
        <w:tc>
          <w:tcPr>
            <w:tcW w:w="956" w:type="dxa"/>
            <w:tcBorders>
              <w:top w:val="nil"/>
              <w:left w:val="nil"/>
              <w:bottom w:val="single" w:sz="4" w:space="0" w:color="auto"/>
              <w:right w:val="single" w:sz="4" w:space="0" w:color="auto"/>
            </w:tcBorders>
            <w:shd w:val="clear" w:color="auto" w:fill="auto"/>
            <w:vAlign w:val="center"/>
            <w:hideMark/>
          </w:tcPr>
          <w:p w14:paraId="748BF5C4"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764 </w:t>
            </w:r>
          </w:p>
        </w:tc>
        <w:tc>
          <w:tcPr>
            <w:tcW w:w="880" w:type="dxa"/>
            <w:tcBorders>
              <w:top w:val="nil"/>
              <w:left w:val="nil"/>
              <w:bottom w:val="single" w:sz="4" w:space="0" w:color="auto"/>
              <w:right w:val="single" w:sz="4" w:space="0" w:color="auto"/>
            </w:tcBorders>
            <w:shd w:val="clear" w:color="auto" w:fill="auto"/>
            <w:vAlign w:val="center"/>
            <w:hideMark/>
          </w:tcPr>
          <w:p w14:paraId="38606008"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7,389 </w:t>
            </w:r>
          </w:p>
        </w:tc>
        <w:tc>
          <w:tcPr>
            <w:tcW w:w="1303" w:type="dxa"/>
            <w:gridSpan w:val="2"/>
            <w:tcBorders>
              <w:top w:val="nil"/>
              <w:left w:val="nil"/>
              <w:bottom w:val="single" w:sz="4" w:space="0" w:color="auto"/>
              <w:right w:val="single" w:sz="4" w:space="0" w:color="auto"/>
            </w:tcBorders>
            <w:shd w:val="clear" w:color="auto" w:fill="auto"/>
            <w:vAlign w:val="center"/>
            <w:hideMark/>
          </w:tcPr>
          <w:p w14:paraId="6450E83F"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331,637 </w:t>
            </w:r>
          </w:p>
        </w:tc>
      </w:tr>
      <w:tr w:rsidR="007B6D19" w:rsidRPr="001F5175" w14:paraId="1124697E"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5D27A066"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5441472A"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Residents</w:t>
            </w:r>
          </w:p>
        </w:tc>
        <w:tc>
          <w:tcPr>
            <w:tcW w:w="1167" w:type="dxa"/>
            <w:tcBorders>
              <w:top w:val="nil"/>
              <w:left w:val="nil"/>
              <w:bottom w:val="single" w:sz="4" w:space="0" w:color="auto"/>
              <w:right w:val="single" w:sz="4" w:space="0" w:color="auto"/>
            </w:tcBorders>
            <w:shd w:val="clear" w:color="auto" w:fill="auto"/>
            <w:vAlign w:val="center"/>
            <w:hideMark/>
          </w:tcPr>
          <w:p w14:paraId="6753F57D"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129,515 </w:t>
            </w:r>
          </w:p>
        </w:tc>
        <w:tc>
          <w:tcPr>
            <w:tcW w:w="760" w:type="dxa"/>
            <w:tcBorders>
              <w:top w:val="nil"/>
              <w:left w:val="nil"/>
              <w:bottom w:val="single" w:sz="4" w:space="0" w:color="auto"/>
              <w:right w:val="single" w:sz="4" w:space="0" w:color="auto"/>
            </w:tcBorders>
            <w:shd w:val="clear" w:color="auto" w:fill="auto"/>
            <w:vAlign w:val="center"/>
            <w:hideMark/>
          </w:tcPr>
          <w:p w14:paraId="1AFDB772"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340,969 </w:t>
            </w:r>
          </w:p>
        </w:tc>
        <w:tc>
          <w:tcPr>
            <w:tcW w:w="956" w:type="dxa"/>
            <w:tcBorders>
              <w:top w:val="nil"/>
              <w:left w:val="nil"/>
              <w:bottom w:val="single" w:sz="4" w:space="0" w:color="auto"/>
              <w:right w:val="single" w:sz="4" w:space="0" w:color="auto"/>
            </w:tcBorders>
            <w:shd w:val="clear" w:color="auto" w:fill="auto"/>
            <w:vAlign w:val="center"/>
            <w:hideMark/>
          </w:tcPr>
          <w:p w14:paraId="12734DA2"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1,155 </w:t>
            </w:r>
          </w:p>
        </w:tc>
        <w:tc>
          <w:tcPr>
            <w:tcW w:w="880" w:type="dxa"/>
            <w:tcBorders>
              <w:top w:val="nil"/>
              <w:left w:val="nil"/>
              <w:bottom w:val="single" w:sz="4" w:space="0" w:color="auto"/>
              <w:right w:val="single" w:sz="4" w:space="0" w:color="auto"/>
            </w:tcBorders>
            <w:shd w:val="clear" w:color="auto" w:fill="auto"/>
            <w:vAlign w:val="center"/>
            <w:hideMark/>
          </w:tcPr>
          <w:p w14:paraId="6C7602AF"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19,326 </w:t>
            </w:r>
          </w:p>
        </w:tc>
        <w:tc>
          <w:tcPr>
            <w:tcW w:w="1303" w:type="dxa"/>
            <w:gridSpan w:val="2"/>
            <w:tcBorders>
              <w:top w:val="nil"/>
              <w:left w:val="nil"/>
              <w:bottom w:val="single" w:sz="4" w:space="0" w:color="auto"/>
              <w:right w:val="single" w:sz="4" w:space="0" w:color="auto"/>
            </w:tcBorders>
            <w:shd w:val="clear" w:color="auto" w:fill="auto"/>
            <w:vAlign w:val="center"/>
            <w:hideMark/>
          </w:tcPr>
          <w:p w14:paraId="0651F4AE"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490,965 </w:t>
            </w:r>
          </w:p>
        </w:tc>
      </w:tr>
      <w:tr w:rsidR="007B6D19" w:rsidRPr="001F5175" w14:paraId="51580059"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3CEFB5AE"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5319A2CF" w14:textId="77777777" w:rsidR="007B6D19" w:rsidRPr="001F5175" w:rsidRDefault="007B6D19" w:rsidP="00CF00E4">
            <w:pPr>
              <w:bidi w:val="0"/>
              <w:rPr>
                <w:rFonts w:ascii="Calibri" w:hAnsi="Calibri" w:cs="Calibri"/>
                <w:b/>
                <w:bCs/>
                <w:sz w:val="18"/>
                <w:szCs w:val="18"/>
              </w:rPr>
            </w:pPr>
            <w:r w:rsidRPr="001F5175">
              <w:rPr>
                <w:rFonts w:ascii="Calibri" w:hAnsi="Calibri" w:cs="Calibri"/>
                <w:sz w:val="18"/>
                <w:szCs w:val="18"/>
              </w:rPr>
              <w:t xml:space="preserve"> of which</w:t>
            </w:r>
            <w:r w:rsidRPr="001F5175">
              <w:rPr>
                <w:rFonts w:ascii="Calibri" w:hAnsi="Calibri" w:cs="Calibri"/>
                <w:b/>
                <w:bCs/>
                <w:sz w:val="18"/>
                <w:szCs w:val="18"/>
              </w:rPr>
              <w:t xml:space="preserve"> Real sector</w:t>
            </w:r>
          </w:p>
        </w:tc>
        <w:tc>
          <w:tcPr>
            <w:tcW w:w="1167" w:type="dxa"/>
            <w:tcBorders>
              <w:top w:val="nil"/>
              <w:left w:val="nil"/>
              <w:bottom w:val="single" w:sz="4" w:space="0" w:color="auto"/>
              <w:right w:val="single" w:sz="4" w:space="0" w:color="auto"/>
            </w:tcBorders>
            <w:shd w:val="clear" w:color="auto" w:fill="auto"/>
            <w:vAlign w:val="center"/>
            <w:hideMark/>
          </w:tcPr>
          <w:p w14:paraId="1987CDCC"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42,050 </w:t>
            </w:r>
          </w:p>
        </w:tc>
        <w:tc>
          <w:tcPr>
            <w:tcW w:w="760" w:type="dxa"/>
            <w:tcBorders>
              <w:top w:val="nil"/>
              <w:left w:val="nil"/>
              <w:bottom w:val="single" w:sz="4" w:space="0" w:color="auto"/>
              <w:right w:val="single" w:sz="4" w:space="0" w:color="auto"/>
            </w:tcBorders>
            <w:shd w:val="clear" w:color="auto" w:fill="auto"/>
            <w:vAlign w:val="center"/>
            <w:hideMark/>
          </w:tcPr>
          <w:p w14:paraId="09EEC27C"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24,593 </w:t>
            </w:r>
          </w:p>
        </w:tc>
        <w:tc>
          <w:tcPr>
            <w:tcW w:w="956" w:type="dxa"/>
            <w:tcBorders>
              <w:top w:val="nil"/>
              <w:left w:val="nil"/>
              <w:bottom w:val="single" w:sz="4" w:space="0" w:color="auto"/>
              <w:right w:val="single" w:sz="4" w:space="0" w:color="auto"/>
            </w:tcBorders>
            <w:shd w:val="clear" w:color="auto" w:fill="auto"/>
            <w:vAlign w:val="center"/>
            <w:hideMark/>
          </w:tcPr>
          <w:p w14:paraId="27A7CB71"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361 </w:t>
            </w:r>
          </w:p>
        </w:tc>
        <w:tc>
          <w:tcPr>
            <w:tcW w:w="880" w:type="dxa"/>
            <w:tcBorders>
              <w:top w:val="nil"/>
              <w:left w:val="nil"/>
              <w:bottom w:val="single" w:sz="4" w:space="0" w:color="auto"/>
              <w:right w:val="single" w:sz="4" w:space="0" w:color="auto"/>
            </w:tcBorders>
            <w:shd w:val="clear" w:color="auto" w:fill="auto"/>
            <w:vAlign w:val="center"/>
            <w:hideMark/>
          </w:tcPr>
          <w:p w14:paraId="6B3470F6"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7,856 </w:t>
            </w:r>
          </w:p>
        </w:tc>
        <w:tc>
          <w:tcPr>
            <w:tcW w:w="1303" w:type="dxa"/>
            <w:gridSpan w:val="2"/>
            <w:tcBorders>
              <w:top w:val="nil"/>
              <w:left w:val="nil"/>
              <w:bottom w:val="single" w:sz="4" w:space="0" w:color="auto"/>
              <w:right w:val="single" w:sz="4" w:space="0" w:color="auto"/>
            </w:tcBorders>
            <w:shd w:val="clear" w:color="auto" w:fill="auto"/>
            <w:vAlign w:val="center"/>
            <w:hideMark/>
          </w:tcPr>
          <w:p w14:paraId="55DE6F13"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74,860 </w:t>
            </w:r>
          </w:p>
        </w:tc>
      </w:tr>
      <w:tr w:rsidR="007B6D19" w:rsidRPr="001F5175" w14:paraId="5EB8E341"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38122502"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2B228CED"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 xml:space="preserve">                 Financial sector</w:t>
            </w:r>
          </w:p>
        </w:tc>
        <w:tc>
          <w:tcPr>
            <w:tcW w:w="1167" w:type="dxa"/>
            <w:tcBorders>
              <w:top w:val="nil"/>
              <w:left w:val="nil"/>
              <w:bottom w:val="single" w:sz="4" w:space="0" w:color="auto"/>
              <w:right w:val="single" w:sz="4" w:space="0" w:color="auto"/>
            </w:tcBorders>
            <w:shd w:val="clear" w:color="auto" w:fill="auto"/>
            <w:vAlign w:val="center"/>
            <w:hideMark/>
          </w:tcPr>
          <w:p w14:paraId="678539B6"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39,097 </w:t>
            </w:r>
          </w:p>
        </w:tc>
        <w:tc>
          <w:tcPr>
            <w:tcW w:w="760" w:type="dxa"/>
            <w:tcBorders>
              <w:top w:val="nil"/>
              <w:left w:val="nil"/>
              <w:bottom w:val="single" w:sz="4" w:space="0" w:color="auto"/>
              <w:right w:val="single" w:sz="4" w:space="0" w:color="auto"/>
            </w:tcBorders>
            <w:shd w:val="clear" w:color="auto" w:fill="auto"/>
            <w:vAlign w:val="center"/>
            <w:hideMark/>
          </w:tcPr>
          <w:p w14:paraId="7D03DE3E"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164,284 </w:t>
            </w:r>
          </w:p>
        </w:tc>
        <w:tc>
          <w:tcPr>
            <w:tcW w:w="956" w:type="dxa"/>
            <w:tcBorders>
              <w:top w:val="nil"/>
              <w:left w:val="nil"/>
              <w:bottom w:val="single" w:sz="4" w:space="0" w:color="auto"/>
              <w:right w:val="single" w:sz="4" w:space="0" w:color="auto"/>
            </w:tcBorders>
            <w:shd w:val="clear" w:color="auto" w:fill="auto"/>
            <w:vAlign w:val="center"/>
            <w:hideMark/>
          </w:tcPr>
          <w:p w14:paraId="1871FCA4"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138 </w:t>
            </w:r>
          </w:p>
        </w:tc>
        <w:tc>
          <w:tcPr>
            <w:tcW w:w="880" w:type="dxa"/>
            <w:tcBorders>
              <w:top w:val="nil"/>
              <w:left w:val="nil"/>
              <w:bottom w:val="single" w:sz="4" w:space="0" w:color="auto"/>
              <w:right w:val="single" w:sz="4" w:space="0" w:color="auto"/>
            </w:tcBorders>
            <w:shd w:val="clear" w:color="auto" w:fill="auto"/>
            <w:vAlign w:val="center"/>
            <w:hideMark/>
          </w:tcPr>
          <w:p w14:paraId="67F5ECD4"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1,363 </w:t>
            </w:r>
          </w:p>
        </w:tc>
        <w:tc>
          <w:tcPr>
            <w:tcW w:w="1303" w:type="dxa"/>
            <w:gridSpan w:val="2"/>
            <w:tcBorders>
              <w:top w:val="nil"/>
              <w:left w:val="nil"/>
              <w:bottom w:val="single" w:sz="4" w:space="0" w:color="auto"/>
              <w:right w:val="single" w:sz="4" w:space="0" w:color="auto"/>
            </w:tcBorders>
            <w:shd w:val="clear" w:color="auto" w:fill="auto"/>
            <w:vAlign w:val="center"/>
            <w:hideMark/>
          </w:tcPr>
          <w:p w14:paraId="608B6545"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204,882 </w:t>
            </w:r>
          </w:p>
        </w:tc>
      </w:tr>
      <w:tr w:rsidR="007B6D19" w:rsidRPr="001F5175" w14:paraId="261BA301"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75F3109F"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08D1A611"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 xml:space="preserve">                 Institutions (incl. insurance companies)</w:t>
            </w:r>
          </w:p>
        </w:tc>
        <w:tc>
          <w:tcPr>
            <w:tcW w:w="1167" w:type="dxa"/>
            <w:tcBorders>
              <w:top w:val="nil"/>
              <w:left w:val="nil"/>
              <w:bottom w:val="single" w:sz="4" w:space="0" w:color="auto"/>
              <w:right w:val="single" w:sz="4" w:space="0" w:color="auto"/>
            </w:tcBorders>
            <w:shd w:val="clear" w:color="auto" w:fill="auto"/>
            <w:vAlign w:val="center"/>
            <w:hideMark/>
          </w:tcPr>
          <w:p w14:paraId="6DDC88DB"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26,097 </w:t>
            </w:r>
          </w:p>
        </w:tc>
        <w:tc>
          <w:tcPr>
            <w:tcW w:w="760" w:type="dxa"/>
            <w:tcBorders>
              <w:top w:val="nil"/>
              <w:left w:val="nil"/>
              <w:bottom w:val="single" w:sz="4" w:space="0" w:color="auto"/>
              <w:right w:val="single" w:sz="4" w:space="0" w:color="auto"/>
            </w:tcBorders>
            <w:shd w:val="clear" w:color="auto" w:fill="auto"/>
            <w:vAlign w:val="center"/>
            <w:hideMark/>
          </w:tcPr>
          <w:p w14:paraId="407B199E"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116,150 </w:t>
            </w:r>
          </w:p>
        </w:tc>
        <w:tc>
          <w:tcPr>
            <w:tcW w:w="956" w:type="dxa"/>
            <w:tcBorders>
              <w:top w:val="nil"/>
              <w:left w:val="nil"/>
              <w:bottom w:val="single" w:sz="4" w:space="0" w:color="auto"/>
              <w:right w:val="single" w:sz="4" w:space="0" w:color="auto"/>
            </w:tcBorders>
            <w:shd w:val="clear" w:color="auto" w:fill="auto"/>
            <w:vAlign w:val="center"/>
            <w:hideMark/>
          </w:tcPr>
          <w:p w14:paraId="4D929724"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52 </w:t>
            </w:r>
          </w:p>
        </w:tc>
        <w:tc>
          <w:tcPr>
            <w:tcW w:w="880" w:type="dxa"/>
            <w:tcBorders>
              <w:top w:val="nil"/>
              <w:left w:val="nil"/>
              <w:bottom w:val="single" w:sz="4" w:space="0" w:color="auto"/>
              <w:right w:val="single" w:sz="4" w:space="0" w:color="auto"/>
            </w:tcBorders>
            <w:shd w:val="clear" w:color="auto" w:fill="auto"/>
            <w:vAlign w:val="center"/>
            <w:hideMark/>
          </w:tcPr>
          <w:p w14:paraId="0BBD2AA1"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7,195 </w:t>
            </w:r>
          </w:p>
        </w:tc>
        <w:tc>
          <w:tcPr>
            <w:tcW w:w="1303" w:type="dxa"/>
            <w:gridSpan w:val="2"/>
            <w:tcBorders>
              <w:top w:val="nil"/>
              <w:left w:val="nil"/>
              <w:bottom w:val="single" w:sz="4" w:space="0" w:color="auto"/>
              <w:right w:val="single" w:sz="4" w:space="0" w:color="auto"/>
            </w:tcBorders>
            <w:shd w:val="clear" w:color="auto" w:fill="auto"/>
            <w:vAlign w:val="center"/>
            <w:hideMark/>
          </w:tcPr>
          <w:p w14:paraId="73192133"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149,494 </w:t>
            </w:r>
          </w:p>
        </w:tc>
      </w:tr>
      <w:tr w:rsidR="007B6D19" w:rsidRPr="001F5175" w14:paraId="330F8598"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0D493269"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4C1F9FD7"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 xml:space="preserve">                 Individuals</w:t>
            </w:r>
          </w:p>
        </w:tc>
        <w:tc>
          <w:tcPr>
            <w:tcW w:w="1167" w:type="dxa"/>
            <w:tcBorders>
              <w:top w:val="nil"/>
              <w:left w:val="nil"/>
              <w:bottom w:val="single" w:sz="4" w:space="0" w:color="auto"/>
              <w:right w:val="single" w:sz="4" w:space="0" w:color="auto"/>
            </w:tcBorders>
            <w:shd w:val="clear" w:color="auto" w:fill="auto"/>
            <w:vAlign w:val="center"/>
            <w:hideMark/>
          </w:tcPr>
          <w:p w14:paraId="7443CFB2"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5,077 </w:t>
            </w:r>
          </w:p>
        </w:tc>
        <w:tc>
          <w:tcPr>
            <w:tcW w:w="760" w:type="dxa"/>
            <w:tcBorders>
              <w:top w:val="nil"/>
              <w:left w:val="nil"/>
              <w:bottom w:val="single" w:sz="4" w:space="0" w:color="auto"/>
              <w:right w:val="single" w:sz="4" w:space="0" w:color="auto"/>
            </w:tcBorders>
            <w:shd w:val="clear" w:color="auto" w:fill="auto"/>
            <w:vAlign w:val="center"/>
            <w:hideMark/>
          </w:tcPr>
          <w:p w14:paraId="6883E2A3"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221 </w:t>
            </w:r>
          </w:p>
        </w:tc>
        <w:tc>
          <w:tcPr>
            <w:tcW w:w="956" w:type="dxa"/>
            <w:tcBorders>
              <w:top w:val="nil"/>
              <w:left w:val="nil"/>
              <w:bottom w:val="single" w:sz="4" w:space="0" w:color="auto"/>
              <w:right w:val="single" w:sz="4" w:space="0" w:color="auto"/>
            </w:tcBorders>
            <w:shd w:val="clear" w:color="auto" w:fill="auto"/>
            <w:vAlign w:val="center"/>
            <w:hideMark/>
          </w:tcPr>
          <w:p w14:paraId="269A7489"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0 </w:t>
            </w:r>
          </w:p>
        </w:tc>
        <w:tc>
          <w:tcPr>
            <w:tcW w:w="880" w:type="dxa"/>
            <w:tcBorders>
              <w:top w:val="nil"/>
              <w:left w:val="nil"/>
              <w:bottom w:val="single" w:sz="4" w:space="0" w:color="auto"/>
              <w:right w:val="single" w:sz="4" w:space="0" w:color="auto"/>
            </w:tcBorders>
            <w:shd w:val="clear" w:color="auto" w:fill="auto"/>
            <w:vAlign w:val="center"/>
            <w:hideMark/>
          </w:tcPr>
          <w:p w14:paraId="0E758623"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167 </w:t>
            </w:r>
          </w:p>
        </w:tc>
        <w:tc>
          <w:tcPr>
            <w:tcW w:w="1303" w:type="dxa"/>
            <w:gridSpan w:val="2"/>
            <w:tcBorders>
              <w:top w:val="nil"/>
              <w:left w:val="nil"/>
              <w:bottom w:val="single" w:sz="4" w:space="0" w:color="auto"/>
              <w:right w:val="single" w:sz="4" w:space="0" w:color="auto"/>
            </w:tcBorders>
            <w:shd w:val="clear" w:color="auto" w:fill="auto"/>
            <w:vAlign w:val="center"/>
            <w:hideMark/>
          </w:tcPr>
          <w:p w14:paraId="4DA7A270"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5,465 </w:t>
            </w:r>
          </w:p>
        </w:tc>
      </w:tr>
      <w:tr w:rsidR="007B6D19" w:rsidRPr="001F5175" w14:paraId="5B16D815"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7584E910"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06EE0AA5"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 xml:space="preserve">                Other</w:t>
            </w:r>
            <w:r w:rsidRPr="001F5175">
              <w:rPr>
                <w:rFonts w:ascii="Calibri" w:hAnsi="Calibri" w:cs="Calibri"/>
                <w:b/>
                <w:bCs/>
                <w:sz w:val="18"/>
                <w:szCs w:val="18"/>
                <w:vertAlign w:val="superscript"/>
              </w:rPr>
              <w:t>4</w:t>
            </w:r>
          </w:p>
        </w:tc>
        <w:tc>
          <w:tcPr>
            <w:tcW w:w="1167" w:type="dxa"/>
            <w:tcBorders>
              <w:top w:val="nil"/>
              <w:left w:val="nil"/>
              <w:bottom w:val="single" w:sz="4" w:space="0" w:color="auto"/>
              <w:right w:val="single" w:sz="4" w:space="0" w:color="auto"/>
            </w:tcBorders>
            <w:shd w:val="clear" w:color="auto" w:fill="auto"/>
            <w:vAlign w:val="center"/>
            <w:hideMark/>
          </w:tcPr>
          <w:p w14:paraId="751B0AEB"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570 </w:t>
            </w:r>
          </w:p>
        </w:tc>
        <w:tc>
          <w:tcPr>
            <w:tcW w:w="760" w:type="dxa"/>
            <w:tcBorders>
              <w:top w:val="nil"/>
              <w:left w:val="nil"/>
              <w:bottom w:val="single" w:sz="4" w:space="0" w:color="auto"/>
              <w:right w:val="single" w:sz="4" w:space="0" w:color="auto"/>
            </w:tcBorders>
            <w:shd w:val="clear" w:color="auto" w:fill="auto"/>
            <w:vAlign w:val="center"/>
            <w:hideMark/>
          </w:tcPr>
          <w:p w14:paraId="297ED54E"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 </w:t>
            </w:r>
          </w:p>
        </w:tc>
        <w:tc>
          <w:tcPr>
            <w:tcW w:w="956" w:type="dxa"/>
            <w:tcBorders>
              <w:top w:val="nil"/>
              <w:left w:val="nil"/>
              <w:bottom w:val="single" w:sz="4" w:space="0" w:color="auto"/>
              <w:right w:val="single" w:sz="4" w:space="0" w:color="auto"/>
            </w:tcBorders>
            <w:shd w:val="clear" w:color="auto" w:fill="auto"/>
            <w:vAlign w:val="center"/>
            <w:hideMark/>
          </w:tcPr>
          <w:p w14:paraId="01C9D59A"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0 </w:t>
            </w:r>
          </w:p>
        </w:tc>
        <w:tc>
          <w:tcPr>
            <w:tcW w:w="880" w:type="dxa"/>
            <w:tcBorders>
              <w:top w:val="nil"/>
              <w:left w:val="nil"/>
              <w:bottom w:val="single" w:sz="4" w:space="0" w:color="auto"/>
              <w:right w:val="single" w:sz="4" w:space="0" w:color="auto"/>
            </w:tcBorders>
            <w:shd w:val="clear" w:color="auto" w:fill="auto"/>
            <w:vAlign w:val="center"/>
            <w:hideMark/>
          </w:tcPr>
          <w:p w14:paraId="37141444"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0 </w:t>
            </w:r>
          </w:p>
        </w:tc>
        <w:tc>
          <w:tcPr>
            <w:tcW w:w="1303" w:type="dxa"/>
            <w:gridSpan w:val="2"/>
            <w:tcBorders>
              <w:top w:val="nil"/>
              <w:left w:val="nil"/>
              <w:bottom w:val="single" w:sz="4" w:space="0" w:color="auto"/>
              <w:right w:val="single" w:sz="4" w:space="0" w:color="auto"/>
            </w:tcBorders>
            <w:shd w:val="clear" w:color="auto" w:fill="auto"/>
            <w:vAlign w:val="center"/>
            <w:hideMark/>
          </w:tcPr>
          <w:p w14:paraId="185A4BB3"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571 </w:t>
            </w:r>
          </w:p>
        </w:tc>
      </w:tr>
      <w:tr w:rsidR="007B6D19" w:rsidRPr="001F5175" w14:paraId="5425C09E"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166C9777" w14:textId="77777777" w:rsidR="007B6D19" w:rsidRPr="001F5175" w:rsidRDefault="007B6D19" w:rsidP="00CF00E4">
            <w:pPr>
              <w:bidi w:val="0"/>
              <w:rPr>
                <w:rFonts w:ascii="Calibri" w:hAnsi="Calibri" w:cs="Calibri"/>
                <w:b/>
                <w:bCs/>
                <w:sz w:val="18"/>
                <w:szCs w:val="18"/>
              </w:rPr>
            </w:pPr>
          </w:p>
        </w:tc>
        <w:tc>
          <w:tcPr>
            <w:tcW w:w="343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EFB710B"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 xml:space="preserve">                Domestic banks</w:t>
            </w:r>
            <w:r w:rsidRPr="001F5175">
              <w:rPr>
                <w:rFonts w:ascii="Calibri" w:hAnsi="Calibri" w:cs="Calibri"/>
                <w:b/>
                <w:bCs/>
                <w:sz w:val="18"/>
                <w:szCs w:val="18"/>
                <w:vertAlign w:val="superscript"/>
              </w:rPr>
              <w:t>5</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14:paraId="6F2C9167"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8,095 </w:t>
            </w:r>
          </w:p>
        </w:tc>
        <w:tc>
          <w:tcPr>
            <w:tcW w:w="760" w:type="dxa"/>
            <w:tcBorders>
              <w:top w:val="nil"/>
              <w:left w:val="nil"/>
              <w:bottom w:val="single" w:sz="4" w:space="0" w:color="auto"/>
              <w:right w:val="single" w:sz="4" w:space="0" w:color="auto"/>
            </w:tcBorders>
            <w:shd w:val="clear" w:color="auto" w:fill="auto"/>
            <w:vAlign w:val="center"/>
            <w:hideMark/>
          </w:tcPr>
          <w:p w14:paraId="1BD31787"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21,345 </w:t>
            </w:r>
          </w:p>
        </w:tc>
        <w:tc>
          <w:tcPr>
            <w:tcW w:w="956" w:type="dxa"/>
            <w:tcBorders>
              <w:top w:val="nil"/>
              <w:left w:val="nil"/>
              <w:bottom w:val="single" w:sz="4" w:space="0" w:color="auto"/>
              <w:right w:val="single" w:sz="4" w:space="0" w:color="auto"/>
            </w:tcBorders>
            <w:shd w:val="clear" w:color="auto" w:fill="auto"/>
            <w:vAlign w:val="center"/>
            <w:hideMark/>
          </w:tcPr>
          <w:p w14:paraId="0C3A5A4E"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207 </w:t>
            </w:r>
          </w:p>
        </w:tc>
        <w:tc>
          <w:tcPr>
            <w:tcW w:w="880" w:type="dxa"/>
            <w:tcBorders>
              <w:top w:val="nil"/>
              <w:left w:val="nil"/>
              <w:bottom w:val="single" w:sz="4" w:space="0" w:color="auto"/>
              <w:right w:val="single" w:sz="4" w:space="0" w:color="auto"/>
            </w:tcBorders>
            <w:shd w:val="clear" w:color="auto" w:fill="auto"/>
            <w:vAlign w:val="center"/>
            <w:hideMark/>
          </w:tcPr>
          <w:p w14:paraId="35A72805"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1,827 </w:t>
            </w:r>
          </w:p>
        </w:tc>
        <w:tc>
          <w:tcPr>
            <w:tcW w:w="1303" w:type="dxa"/>
            <w:gridSpan w:val="2"/>
            <w:tcBorders>
              <w:top w:val="nil"/>
              <w:left w:val="nil"/>
              <w:bottom w:val="single" w:sz="4" w:space="0" w:color="auto"/>
              <w:right w:val="single" w:sz="4" w:space="0" w:color="auto"/>
            </w:tcBorders>
            <w:shd w:val="clear" w:color="auto" w:fill="auto"/>
            <w:vAlign w:val="center"/>
            <w:hideMark/>
          </w:tcPr>
          <w:p w14:paraId="68B71ECE"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31,474 </w:t>
            </w:r>
          </w:p>
        </w:tc>
      </w:tr>
      <w:tr w:rsidR="007B6D19" w:rsidRPr="001F5175" w14:paraId="511D29A4" w14:textId="77777777" w:rsidTr="007B6D19">
        <w:trPr>
          <w:gridBefore w:val="1"/>
          <w:trHeight w:val="210"/>
        </w:trPr>
        <w:tc>
          <w:tcPr>
            <w:tcW w:w="901" w:type="dxa"/>
            <w:vMerge w:val="restart"/>
            <w:tcBorders>
              <w:top w:val="nil"/>
              <w:left w:val="single" w:sz="8" w:space="0" w:color="auto"/>
              <w:bottom w:val="single" w:sz="8" w:space="0" w:color="000000"/>
              <w:right w:val="single" w:sz="4" w:space="0" w:color="auto"/>
            </w:tcBorders>
            <w:shd w:val="clear" w:color="auto" w:fill="auto"/>
            <w:vAlign w:val="center"/>
            <w:hideMark/>
          </w:tcPr>
          <w:p w14:paraId="475B49EF"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Fourth quarter 2024</w:t>
            </w:r>
          </w:p>
        </w:tc>
        <w:tc>
          <w:tcPr>
            <w:tcW w:w="3432" w:type="dxa"/>
            <w:tcBorders>
              <w:top w:val="nil"/>
              <w:left w:val="nil"/>
              <w:bottom w:val="single" w:sz="4" w:space="0" w:color="auto"/>
              <w:right w:val="single" w:sz="4" w:space="0" w:color="auto"/>
            </w:tcBorders>
            <w:shd w:val="clear" w:color="000000" w:fill="D9D9D9"/>
            <w:noWrap/>
            <w:vAlign w:val="bottom"/>
            <w:hideMark/>
          </w:tcPr>
          <w:p w14:paraId="14303C2E"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Total</w:t>
            </w:r>
          </w:p>
        </w:tc>
        <w:tc>
          <w:tcPr>
            <w:tcW w:w="1167" w:type="dxa"/>
            <w:tcBorders>
              <w:top w:val="nil"/>
              <w:left w:val="nil"/>
              <w:bottom w:val="single" w:sz="4" w:space="0" w:color="auto"/>
              <w:right w:val="single" w:sz="4" w:space="0" w:color="auto"/>
            </w:tcBorders>
            <w:shd w:val="clear" w:color="000000" w:fill="D9D9D9"/>
            <w:vAlign w:val="center"/>
            <w:hideMark/>
          </w:tcPr>
          <w:p w14:paraId="198168D6"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195,058 </w:t>
            </w:r>
          </w:p>
        </w:tc>
        <w:tc>
          <w:tcPr>
            <w:tcW w:w="760" w:type="dxa"/>
            <w:tcBorders>
              <w:top w:val="nil"/>
              <w:left w:val="nil"/>
              <w:bottom w:val="single" w:sz="4" w:space="0" w:color="auto"/>
              <w:right w:val="single" w:sz="4" w:space="0" w:color="auto"/>
            </w:tcBorders>
            <w:shd w:val="clear" w:color="000000" w:fill="D9D9D9"/>
            <w:vAlign w:val="center"/>
            <w:hideMark/>
          </w:tcPr>
          <w:p w14:paraId="149F8F18"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558,945 </w:t>
            </w:r>
          </w:p>
        </w:tc>
        <w:tc>
          <w:tcPr>
            <w:tcW w:w="956" w:type="dxa"/>
            <w:tcBorders>
              <w:top w:val="nil"/>
              <w:left w:val="nil"/>
              <w:bottom w:val="single" w:sz="4" w:space="0" w:color="auto"/>
              <w:right w:val="single" w:sz="4" w:space="0" w:color="auto"/>
            </w:tcBorders>
            <w:shd w:val="clear" w:color="000000" w:fill="D9D9D9"/>
            <w:vAlign w:val="center"/>
            <w:hideMark/>
          </w:tcPr>
          <w:p w14:paraId="48414BC8"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1,180 </w:t>
            </w:r>
          </w:p>
        </w:tc>
        <w:tc>
          <w:tcPr>
            <w:tcW w:w="880" w:type="dxa"/>
            <w:tcBorders>
              <w:top w:val="nil"/>
              <w:left w:val="nil"/>
              <w:bottom w:val="single" w:sz="4" w:space="0" w:color="auto"/>
              <w:right w:val="single" w:sz="4" w:space="0" w:color="auto"/>
            </w:tcBorders>
            <w:shd w:val="clear" w:color="000000" w:fill="D9D9D9"/>
            <w:vAlign w:val="center"/>
            <w:hideMark/>
          </w:tcPr>
          <w:p w14:paraId="0C051D1D"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23,126 </w:t>
            </w:r>
          </w:p>
        </w:tc>
        <w:tc>
          <w:tcPr>
            <w:tcW w:w="1303" w:type="dxa"/>
            <w:gridSpan w:val="2"/>
            <w:tcBorders>
              <w:top w:val="nil"/>
              <w:left w:val="nil"/>
              <w:bottom w:val="single" w:sz="4" w:space="0" w:color="auto"/>
              <w:right w:val="single" w:sz="4" w:space="0" w:color="auto"/>
            </w:tcBorders>
            <w:shd w:val="clear" w:color="000000" w:fill="D9D9D9"/>
            <w:vAlign w:val="center"/>
            <w:hideMark/>
          </w:tcPr>
          <w:p w14:paraId="3B3A92C3"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778,309 </w:t>
            </w:r>
          </w:p>
        </w:tc>
      </w:tr>
      <w:tr w:rsidR="007B6D19" w:rsidRPr="001F5175" w14:paraId="02D7A8B3"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66D35A82"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000000" w:fill="D9D9D9"/>
            <w:noWrap/>
            <w:vAlign w:val="bottom"/>
            <w:hideMark/>
          </w:tcPr>
          <w:p w14:paraId="55441693"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 xml:space="preserve"> Daily average (61 days)</w:t>
            </w:r>
          </w:p>
        </w:tc>
        <w:tc>
          <w:tcPr>
            <w:tcW w:w="1167" w:type="dxa"/>
            <w:tcBorders>
              <w:top w:val="nil"/>
              <w:left w:val="nil"/>
              <w:bottom w:val="single" w:sz="4" w:space="0" w:color="auto"/>
              <w:right w:val="single" w:sz="4" w:space="0" w:color="auto"/>
            </w:tcBorders>
            <w:shd w:val="clear" w:color="000000" w:fill="D9D9D9"/>
            <w:vAlign w:val="center"/>
            <w:hideMark/>
          </w:tcPr>
          <w:p w14:paraId="3022EE14"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3,306 </w:t>
            </w:r>
          </w:p>
        </w:tc>
        <w:tc>
          <w:tcPr>
            <w:tcW w:w="760" w:type="dxa"/>
            <w:tcBorders>
              <w:top w:val="nil"/>
              <w:left w:val="nil"/>
              <w:bottom w:val="single" w:sz="4" w:space="0" w:color="auto"/>
              <w:right w:val="single" w:sz="4" w:space="0" w:color="auto"/>
            </w:tcBorders>
            <w:shd w:val="clear" w:color="000000" w:fill="D9D9D9"/>
            <w:vAlign w:val="center"/>
            <w:hideMark/>
          </w:tcPr>
          <w:p w14:paraId="47144597"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9,474 </w:t>
            </w:r>
          </w:p>
        </w:tc>
        <w:tc>
          <w:tcPr>
            <w:tcW w:w="956" w:type="dxa"/>
            <w:tcBorders>
              <w:top w:val="nil"/>
              <w:left w:val="nil"/>
              <w:bottom w:val="single" w:sz="4" w:space="0" w:color="auto"/>
              <w:right w:val="single" w:sz="4" w:space="0" w:color="auto"/>
            </w:tcBorders>
            <w:shd w:val="clear" w:color="000000" w:fill="D9D9D9"/>
            <w:vAlign w:val="center"/>
            <w:hideMark/>
          </w:tcPr>
          <w:p w14:paraId="6FBE80E7"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20 </w:t>
            </w:r>
          </w:p>
        </w:tc>
        <w:tc>
          <w:tcPr>
            <w:tcW w:w="880" w:type="dxa"/>
            <w:tcBorders>
              <w:top w:val="nil"/>
              <w:left w:val="nil"/>
              <w:bottom w:val="single" w:sz="4" w:space="0" w:color="auto"/>
              <w:right w:val="single" w:sz="4" w:space="0" w:color="auto"/>
            </w:tcBorders>
            <w:shd w:val="clear" w:color="000000" w:fill="D9D9D9"/>
            <w:vAlign w:val="center"/>
            <w:hideMark/>
          </w:tcPr>
          <w:p w14:paraId="7A640FF5"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392 </w:t>
            </w:r>
          </w:p>
        </w:tc>
        <w:tc>
          <w:tcPr>
            <w:tcW w:w="1303" w:type="dxa"/>
            <w:gridSpan w:val="2"/>
            <w:tcBorders>
              <w:top w:val="nil"/>
              <w:left w:val="nil"/>
              <w:bottom w:val="single" w:sz="4" w:space="0" w:color="auto"/>
              <w:right w:val="single" w:sz="4" w:space="0" w:color="auto"/>
            </w:tcBorders>
            <w:shd w:val="clear" w:color="000000" w:fill="D9D9D9"/>
            <w:vAlign w:val="center"/>
            <w:hideMark/>
          </w:tcPr>
          <w:p w14:paraId="6BC51586" w14:textId="77777777" w:rsidR="007B6D19" w:rsidRPr="001F5175" w:rsidRDefault="007B6D19" w:rsidP="00CF00E4">
            <w:pPr>
              <w:bidi w:val="0"/>
              <w:jc w:val="center"/>
              <w:rPr>
                <w:rFonts w:ascii="Calibri" w:hAnsi="Calibri" w:cs="Calibri"/>
                <w:b/>
                <w:bCs/>
                <w:sz w:val="18"/>
                <w:szCs w:val="18"/>
              </w:rPr>
            </w:pPr>
            <w:r w:rsidRPr="001F5175">
              <w:rPr>
                <w:rFonts w:ascii="Calibri" w:hAnsi="Calibri" w:cs="Calibri"/>
                <w:b/>
                <w:bCs/>
                <w:sz w:val="18"/>
                <w:szCs w:val="18"/>
              </w:rPr>
              <w:t xml:space="preserve">13,192 </w:t>
            </w:r>
          </w:p>
        </w:tc>
      </w:tr>
      <w:tr w:rsidR="007B6D19" w:rsidRPr="001F5175" w14:paraId="3090C457"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266F879D"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1FB24870"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Nonresidents</w:t>
            </w:r>
          </w:p>
        </w:tc>
        <w:tc>
          <w:tcPr>
            <w:tcW w:w="1167" w:type="dxa"/>
            <w:tcBorders>
              <w:top w:val="nil"/>
              <w:left w:val="nil"/>
              <w:bottom w:val="single" w:sz="4" w:space="0" w:color="auto"/>
              <w:right w:val="single" w:sz="4" w:space="0" w:color="auto"/>
            </w:tcBorders>
            <w:shd w:val="clear" w:color="auto" w:fill="auto"/>
            <w:vAlign w:val="center"/>
            <w:hideMark/>
          </w:tcPr>
          <w:p w14:paraId="1591B639"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59,655 </w:t>
            </w:r>
          </w:p>
        </w:tc>
        <w:tc>
          <w:tcPr>
            <w:tcW w:w="760" w:type="dxa"/>
            <w:tcBorders>
              <w:top w:val="nil"/>
              <w:left w:val="nil"/>
              <w:bottom w:val="single" w:sz="4" w:space="0" w:color="auto"/>
              <w:right w:val="single" w:sz="4" w:space="0" w:color="auto"/>
            </w:tcBorders>
            <w:shd w:val="clear" w:color="auto" w:fill="auto"/>
            <w:vAlign w:val="center"/>
            <w:hideMark/>
          </w:tcPr>
          <w:p w14:paraId="120871C4"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253,262 </w:t>
            </w:r>
          </w:p>
        </w:tc>
        <w:tc>
          <w:tcPr>
            <w:tcW w:w="956" w:type="dxa"/>
            <w:tcBorders>
              <w:top w:val="nil"/>
              <w:left w:val="nil"/>
              <w:bottom w:val="single" w:sz="4" w:space="0" w:color="auto"/>
              <w:right w:val="single" w:sz="4" w:space="0" w:color="auto"/>
            </w:tcBorders>
            <w:shd w:val="clear" w:color="auto" w:fill="auto"/>
            <w:vAlign w:val="center"/>
            <w:hideMark/>
          </w:tcPr>
          <w:p w14:paraId="6901237F"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517 </w:t>
            </w:r>
          </w:p>
        </w:tc>
        <w:tc>
          <w:tcPr>
            <w:tcW w:w="880" w:type="dxa"/>
            <w:tcBorders>
              <w:top w:val="nil"/>
              <w:left w:val="nil"/>
              <w:bottom w:val="single" w:sz="4" w:space="0" w:color="auto"/>
              <w:right w:val="single" w:sz="4" w:space="0" w:color="auto"/>
            </w:tcBorders>
            <w:shd w:val="clear" w:color="auto" w:fill="auto"/>
            <w:vAlign w:val="center"/>
            <w:hideMark/>
          </w:tcPr>
          <w:p w14:paraId="6BBBC149"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7,608 </w:t>
            </w:r>
          </w:p>
        </w:tc>
        <w:tc>
          <w:tcPr>
            <w:tcW w:w="1303" w:type="dxa"/>
            <w:gridSpan w:val="2"/>
            <w:tcBorders>
              <w:top w:val="nil"/>
              <w:left w:val="nil"/>
              <w:bottom w:val="single" w:sz="4" w:space="0" w:color="auto"/>
              <w:right w:val="single" w:sz="4" w:space="0" w:color="auto"/>
            </w:tcBorders>
            <w:shd w:val="clear" w:color="auto" w:fill="auto"/>
            <w:vAlign w:val="center"/>
            <w:hideMark/>
          </w:tcPr>
          <w:p w14:paraId="1CF2FAEB"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321,042 </w:t>
            </w:r>
          </w:p>
        </w:tc>
      </w:tr>
      <w:tr w:rsidR="007B6D19" w:rsidRPr="001F5175" w14:paraId="7CB61EC5"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3CC91592"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094D6553" w14:textId="77777777" w:rsidR="007B6D19" w:rsidRPr="001F5175" w:rsidRDefault="007B6D19" w:rsidP="00CF00E4">
            <w:pPr>
              <w:bidi w:val="0"/>
              <w:rPr>
                <w:rFonts w:ascii="Calibri" w:hAnsi="Calibri" w:cs="Calibri"/>
                <w:b/>
                <w:bCs/>
                <w:sz w:val="18"/>
                <w:szCs w:val="18"/>
              </w:rPr>
            </w:pPr>
            <w:r w:rsidRPr="001F5175">
              <w:rPr>
                <w:rFonts w:ascii="Calibri" w:hAnsi="Calibri" w:cs="Calibri"/>
                <w:sz w:val="18"/>
                <w:szCs w:val="18"/>
              </w:rPr>
              <w:t xml:space="preserve"> of which</w:t>
            </w:r>
            <w:r w:rsidRPr="001F5175">
              <w:rPr>
                <w:rFonts w:ascii="Calibri" w:hAnsi="Calibri" w:cs="Calibri"/>
                <w:b/>
                <w:bCs/>
                <w:sz w:val="18"/>
                <w:szCs w:val="18"/>
              </w:rPr>
              <w:t xml:space="preserve"> Foreign financial institutions</w:t>
            </w:r>
          </w:p>
        </w:tc>
        <w:tc>
          <w:tcPr>
            <w:tcW w:w="1167" w:type="dxa"/>
            <w:tcBorders>
              <w:top w:val="nil"/>
              <w:left w:val="nil"/>
              <w:bottom w:val="single" w:sz="4" w:space="0" w:color="auto"/>
              <w:right w:val="single" w:sz="4" w:space="0" w:color="auto"/>
            </w:tcBorders>
            <w:shd w:val="clear" w:color="auto" w:fill="auto"/>
            <w:vAlign w:val="center"/>
            <w:hideMark/>
          </w:tcPr>
          <w:p w14:paraId="7934C81D"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59,009 </w:t>
            </w:r>
          </w:p>
        </w:tc>
        <w:tc>
          <w:tcPr>
            <w:tcW w:w="760" w:type="dxa"/>
            <w:tcBorders>
              <w:top w:val="nil"/>
              <w:left w:val="nil"/>
              <w:bottom w:val="single" w:sz="4" w:space="0" w:color="auto"/>
              <w:right w:val="single" w:sz="4" w:space="0" w:color="auto"/>
            </w:tcBorders>
            <w:shd w:val="clear" w:color="auto" w:fill="auto"/>
            <w:vAlign w:val="center"/>
            <w:hideMark/>
          </w:tcPr>
          <w:p w14:paraId="78EDEBC1"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253,262 </w:t>
            </w:r>
          </w:p>
        </w:tc>
        <w:tc>
          <w:tcPr>
            <w:tcW w:w="956" w:type="dxa"/>
            <w:tcBorders>
              <w:top w:val="nil"/>
              <w:left w:val="nil"/>
              <w:bottom w:val="single" w:sz="4" w:space="0" w:color="auto"/>
              <w:right w:val="single" w:sz="4" w:space="0" w:color="auto"/>
            </w:tcBorders>
            <w:shd w:val="clear" w:color="auto" w:fill="auto"/>
            <w:vAlign w:val="center"/>
            <w:hideMark/>
          </w:tcPr>
          <w:p w14:paraId="5A7A489E"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517 </w:t>
            </w:r>
          </w:p>
        </w:tc>
        <w:tc>
          <w:tcPr>
            <w:tcW w:w="880" w:type="dxa"/>
            <w:tcBorders>
              <w:top w:val="nil"/>
              <w:left w:val="nil"/>
              <w:bottom w:val="single" w:sz="4" w:space="0" w:color="auto"/>
              <w:right w:val="single" w:sz="4" w:space="0" w:color="auto"/>
            </w:tcBorders>
            <w:shd w:val="clear" w:color="auto" w:fill="auto"/>
            <w:vAlign w:val="center"/>
            <w:hideMark/>
          </w:tcPr>
          <w:p w14:paraId="2040B8D5"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7,608 </w:t>
            </w:r>
          </w:p>
        </w:tc>
        <w:tc>
          <w:tcPr>
            <w:tcW w:w="1303" w:type="dxa"/>
            <w:gridSpan w:val="2"/>
            <w:tcBorders>
              <w:top w:val="nil"/>
              <w:left w:val="nil"/>
              <w:bottom w:val="single" w:sz="4" w:space="0" w:color="auto"/>
              <w:right w:val="single" w:sz="4" w:space="0" w:color="auto"/>
            </w:tcBorders>
            <w:shd w:val="clear" w:color="auto" w:fill="auto"/>
            <w:vAlign w:val="center"/>
            <w:hideMark/>
          </w:tcPr>
          <w:p w14:paraId="6DFF7847"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320,395 </w:t>
            </w:r>
          </w:p>
        </w:tc>
      </w:tr>
      <w:tr w:rsidR="007B6D19" w:rsidRPr="001F5175" w14:paraId="5063BAEC"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71C769D1"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0A3379AE"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Residents</w:t>
            </w:r>
          </w:p>
        </w:tc>
        <w:tc>
          <w:tcPr>
            <w:tcW w:w="1167" w:type="dxa"/>
            <w:tcBorders>
              <w:top w:val="nil"/>
              <w:left w:val="nil"/>
              <w:bottom w:val="single" w:sz="4" w:space="0" w:color="auto"/>
              <w:right w:val="single" w:sz="4" w:space="0" w:color="auto"/>
            </w:tcBorders>
            <w:shd w:val="clear" w:color="auto" w:fill="auto"/>
            <w:vAlign w:val="center"/>
            <w:hideMark/>
          </w:tcPr>
          <w:p w14:paraId="73CFBA56"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135,402 </w:t>
            </w:r>
          </w:p>
        </w:tc>
        <w:tc>
          <w:tcPr>
            <w:tcW w:w="760" w:type="dxa"/>
            <w:tcBorders>
              <w:top w:val="nil"/>
              <w:left w:val="nil"/>
              <w:bottom w:val="single" w:sz="4" w:space="0" w:color="auto"/>
              <w:right w:val="single" w:sz="4" w:space="0" w:color="auto"/>
            </w:tcBorders>
            <w:shd w:val="clear" w:color="auto" w:fill="auto"/>
            <w:vAlign w:val="center"/>
            <w:hideMark/>
          </w:tcPr>
          <w:p w14:paraId="032C62F1"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305,683 </w:t>
            </w:r>
          </w:p>
        </w:tc>
        <w:tc>
          <w:tcPr>
            <w:tcW w:w="956" w:type="dxa"/>
            <w:tcBorders>
              <w:top w:val="nil"/>
              <w:left w:val="nil"/>
              <w:bottom w:val="single" w:sz="4" w:space="0" w:color="auto"/>
              <w:right w:val="single" w:sz="4" w:space="0" w:color="auto"/>
            </w:tcBorders>
            <w:shd w:val="clear" w:color="auto" w:fill="auto"/>
            <w:vAlign w:val="center"/>
            <w:hideMark/>
          </w:tcPr>
          <w:p w14:paraId="58DC6807"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663 </w:t>
            </w:r>
          </w:p>
        </w:tc>
        <w:tc>
          <w:tcPr>
            <w:tcW w:w="880" w:type="dxa"/>
            <w:tcBorders>
              <w:top w:val="nil"/>
              <w:left w:val="nil"/>
              <w:bottom w:val="single" w:sz="4" w:space="0" w:color="auto"/>
              <w:right w:val="single" w:sz="4" w:space="0" w:color="auto"/>
            </w:tcBorders>
            <w:shd w:val="clear" w:color="auto" w:fill="auto"/>
            <w:vAlign w:val="center"/>
            <w:hideMark/>
          </w:tcPr>
          <w:p w14:paraId="1A8FC265"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15,518 </w:t>
            </w:r>
          </w:p>
        </w:tc>
        <w:tc>
          <w:tcPr>
            <w:tcW w:w="1303" w:type="dxa"/>
            <w:gridSpan w:val="2"/>
            <w:tcBorders>
              <w:top w:val="nil"/>
              <w:left w:val="nil"/>
              <w:bottom w:val="single" w:sz="4" w:space="0" w:color="auto"/>
              <w:right w:val="single" w:sz="4" w:space="0" w:color="auto"/>
            </w:tcBorders>
            <w:shd w:val="clear" w:color="auto" w:fill="auto"/>
            <w:vAlign w:val="center"/>
            <w:hideMark/>
          </w:tcPr>
          <w:p w14:paraId="18214BC0"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457,267 </w:t>
            </w:r>
          </w:p>
        </w:tc>
      </w:tr>
      <w:tr w:rsidR="007B6D19" w:rsidRPr="001F5175" w14:paraId="1F6CE1A0"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1D06D617"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2A4FE87A" w14:textId="77777777" w:rsidR="007B6D19" w:rsidRPr="001F5175" w:rsidRDefault="007B6D19" w:rsidP="00CF00E4">
            <w:pPr>
              <w:bidi w:val="0"/>
              <w:rPr>
                <w:rFonts w:ascii="Calibri" w:hAnsi="Calibri" w:cs="Calibri"/>
                <w:b/>
                <w:bCs/>
                <w:sz w:val="18"/>
                <w:szCs w:val="18"/>
              </w:rPr>
            </w:pPr>
            <w:r w:rsidRPr="001F5175">
              <w:rPr>
                <w:rFonts w:ascii="Calibri" w:hAnsi="Calibri" w:cs="Calibri"/>
                <w:sz w:val="18"/>
                <w:szCs w:val="18"/>
              </w:rPr>
              <w:t xml:space="preserve"> of which</w:t>
            </w:r>
            <w:r w:rsidRPr="001F5175">
              <w:rPr>
                <w:rFonts w:ascii="Calibri" w:hAnsi="Calibri" w:cs="Calibri"/>
                <w:b/>
                <w:bCs/>
                <w:sz w:val="18"/>
                <w:szCs w:val="18"/>
              </w:rPr>
              <w:t xml:space="preserve"> Real sector</w:t>
            </w:r>
          </w:p>
        </w:tc>
        <w:tc>
          <w:tcPr>
            <w:tcW w:w="1167" w:type="dxa"/>
            <w:tcBorders>
              <w:top w:val="nil"/>
              <w:left w:val="nil"/>
              <w:bottom w:val="single" w:sz="4" w:space="0" w:color="auto"/>
              <w:right w:val="single" w:sz="4" w:space="0" w:color="auto"/>
            </w:tcBorders>
            <w:shd w:val="clear" w:color="auto" w:fill="auto"/>
            <w:vAlign w:val="center"/>
            <w:hideMark/>
          </w:tcPr>
          <w:p w14:paraId="56966C08"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42,456 </w:t>
            </w:r>
          </w:p>
        </w:tc>
        <w:tc>
          <w:tcPr>
            <w:tcW w:w="760" w:type="dxa"/>
            <w:tcBorders>
              <w:top w:val="nil"/>
              <w:left w:val="nil"/>
              <w:bottom w:val="single" w:sz="4" w:space="0" w:color="auto"/>
              <w:right w:val="single" w:sz="4" w:space="0" w:color="auto"/>
            </w:tcBorders>
            <w:shd w:val="clear" w:color="auto" w:fill="auto"/>
            <w:vAlign w:val="center"/>
            <w:hideMark/>
          </w:tcPr>
          <w:p w14:paraId="63BB5555"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22,636 </w:t>
            </w:r>
          </w:p>
        </w:tc>
        <w:tc>
          <w:tcPr>
            <w:tcW w:w="956" w:type="dxa"/>
            <w:tcBorders>
              <w:top w:val="nil"/>
              <w:left w:val="nil"/>
              <w:bottom w:val="single" w:sz="4" w:space="0" w:color="auto"/>
              <w:right w:val="single" w:sz="4" w:space="0" w:color="auto"/>
            </w:tcBorders>
            <w:shd w:val="clear" w:color="auto" w:fill="auto"/>
            <w:vAlign w:val="center"/>
            <w:hideMark/>
          </w:tcPr>
          <w:p w14:paraId="24C58355"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145 </w:t>
            </w:r>
          </w:p>
        </w:tc>
        <w:tc>
          <w:tcPr>
            <w:tcW w:w="880" w:type="dxa"/>
            <w:tcBorders>
              <w:top w:val="nil"/>
              <w:left w:val="nil"/>
              <w:bottom w:val="single" w:sz="4" w:space="0" w:color="auto"/>
              <w:right w:val="single" w:sz="4" w:space="0" w:color="auto"/>
            </w:tcBorders>
            <w:shd w:val="clear" w:color="auto" w:fill="auto"/>
            <w:vAlign w:val="center"/>
            <w:hideMark/>
          </w:tcPr>
          <w:p w14:paraId="484C2B78"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7,230 </w:t>
            </w:r>
          </w:p>
        </w:tc>
        <w:tc>
          <w:tcPr>
            <w:tcW w:w="1303" w:type="dxa"/>
            <w:gridSpan w:val="2"/>
            <w:tcBorders>
              <w:top w:val="nil"/>
              <w:left w:val="nil"/>
              <w:bottom w:val="single" w:sz="4" w:space="0" w:color="auto"/>
              <w:right w:val="single" w:sz="4" w:space="0" w:color="auto"/>
            </w:tcBorders>
            <w:shd w:val="clear" w:color="auto" w:fill="auto"/>
            <w:vAlign w:val="center"/>
            <w:hideMark/>
          </w:tcPr>
          <w:p w14:paraId="2D2C8166"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72,468 </w:t>
            </w:r>
          </w:p>
        </w:tc>
      </w:tr>
      <w:tr w:rsidR="007B6D19" w:rsidRPr="001F5175" w14:paraId="6883451E"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2F187A1D"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59116CD8"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 xml:space="preserve">                 Financial sector</w:t>
            </w:r>
          </w:p>
        </w:tc>
        <w:tc>
          <w:tcPr>
            <w:tcW w:w="1167" w:type="dxa"/>
            <w:tcBorders>
              <w:top w:val="nil"/>
              <w:left w:val="nil"/>
              <w:bottom w:val="single" w:sz="4" w:space="0" w:color="auto"/>
              <w:right w:val="single" w:sz="4" w:space="0" w:color="auto"/>
            </w:tcBorders>
            <w:shd w:val="clear" w:color="auto" w:fill="auto"/>
            <w:vAlign w:val="center"/>
            <w:hideMark/>
          </w:tcPr>
          <w:p w14:paraId="0C899129"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41,820 </w:t>
            </w:r>
          </w:p>
        </w:tc>
        <w:tc>
          <w:tcPr>
            <w:tcW w:w="760" w:type="dxa"/>
            <w:tcBorders>
              <w:top w:val="nil"/>
              <w:left w:val="nil"/>
              <w:bottom w:val="single" w:sz="4" w:space="0" w:color="auto"/>
              <w:right w:val="single" w:sz="4" w:space="0" w:color="auto"/>
            </w:tcBorders>
            <w:shd w:val="clear" w:color="auto" w:fill="auto"/>
            <w:vAlign w:val="center"/>
            <w:hideMark/>
          </w:tcPr>
          <w:p w14:paraId="14927A95"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149,698 </w:t>
            </w:r>
          </w:p>
        </w:tc>
        <w:tc>
          <w:tcPr>
            <w:tcW w:w="956" w:type="dxa"/>
            <w:tcBorders>
              <w:top w:val="nil"/>
              <w:left w:val="nil"/>
              <w:bottom w:val="single" w:sz="4" w:space="0" w:color="auto"/>
              <w:right w:val="single" w:sz="4" w:space="0" w:color="auto"/>
            </w:tcBorders>
            <w:shd w:val="clear" w:color="auto" w:fill="auto"/>
            <w:vAlign w:val="center"/>
            <w:hideMark/>
          </w:tcPr>
          <w:p w14:paraId="527571CE"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341 </w:t>
            </w:r>
          </w:p>
        </w:tc>
        <w:tc>
          <w:tcPr>
            <w:tcW w:w="880" w:type="dxa"/>
            <w:tcBorders>
              <w:top w:val="nil"/>
              <w:left w:val="nil"/>
              <w:bottom w:val="single" w:sz="4" w:space="0" w:color="auto"/>
              <w:right w:val="single" w:sz="4" w:space="0" w:color="auto"/>
            </w:tcBorders>
            <w:shd w:val="clear" w:color="auto" w:fill="auto"/>
            <w:vAlign w:val="center"/>
            <w:hideMark/>
          </w:tcPr>
          <w:p w14:paraId="7E9BD734"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1,024 </w:t>
            </w:r>
          </w:p>
        </w:tc>
        <w:tc>
          <w:tcPr>
            <w:tcW w:w="1303" w:type="dxa"/>
            <w:gridSpan w:val="2"/>
            <w:tcBorders>
              <w:top w:val="nil"/>
              <w:left w:val="nil"/>
              <w:bottom w:val="single" w:sz="4" w:space="0" w:color="auto"/>
              <w:right w:val="single" w:sz="4" w:space="0" w:color="auto"/>
            </w:tcBorders>
            <w:shd w:val="clear" w:color="auto" w:fill="auto"/>
            <w:vAlign w:val="center"/>
            <w:hideMark/>
          </w:tcPr>
          <w:p w14:paraId="3B9BF142"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192,883 </w:t>
            </w:r>
          </w:p>
        </w:tc>
      </w:tr>
      <w:tr w:rsidR="007B6D19" w:rsidRPr="001F5175" w14:paraId="09240141"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0EFF8F6E"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7D2E2847"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 xml:space="preserve">                 Institutions (incl. insurance companies)</w:t>
            </w:r>
          </w:p>
        </w:tc>
        <w:tc>
          <w:tcPr>
            <w:tcW w:w="1167" w:type="dxa"/>
            <w:tcBorders>
              <w:top w:val="nil"/>
              <w:left w:val="nil"/>
              <w:bottom w:val="single" w:sz="4" w:space="0" w:color="auto"/>
              <w:right w:val="single" w:sz="4" w:space="0" w:color="auto"/>
            </w:tcBorders>
            <w:shd w:val="clear" w:color="auto" w:fill="auto"/>
            <w:vAlign w:val="center"/>
            <w:hideMark/>
          </w:tcPr>
          <w:p w14:paraId="6ECC2A45"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27,758 </w:t>
            </w:r>
          </w:p>
        </w:tc>
        <w:tc>
          <w:tcPr>
            <w:tcW w:w="760" w:type="dxa"/>
            <w:tcBorders>
              <w:top w:val="nil"/>
              <w:left w:val="nil"/>
              <w:bottom w:val="single" w:sz="4" w:space="0" w:color="auto"/>
              <w:right w:val="single" w:sz="4" w:space="0" w:color="auto"/>
            </w:tcBorders>
            <w:shd w:val="clear" w:color="auto" w:fill="auto"/>
            <w:vAlign w:val="center"/>
            <w:hideMark/>
          </w:tcPr>
          <w:p w14:paraId="297E8A49"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100,226 </w:t>
            </w:r>
          </w:p>
        </w:tc>
        <w:tc>
          <w:tcPr>
            <w:tcW w:w="956" w:type="dxa"/>
            <w:tcBorders>
              <w:top w:val="nil"/>
              <w:left w:val="nil"/>
              <w:bottom w:val="single" w:sz="4" w:space="0" w:color="auto"/>
              <w:right w:val="single" w:sz="4" w:space="0" w:color="auto"/>
            </w:tcBorders>
            <w:shd w:val="clear" w:color="auto" w:fill="auto"/>
            <w:vAlign w:val="center"/>
            <w:hideMark/>
          </w:tcPr>
          <w:p w14:paraId="768BD7AD"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0 </w:t>
            </w:r>
          </w:p>
        </w:tc>
        <w:tc>
          <w:tcPr>
            <w:tcW w:w="880" w:type="dxa"/>
            <w:tcBorders>
              <w:top w:val="nil"/>
              <w:left w:val="nil"/>
              <w:bottom w:val="single" w:sz="4" w:space="0" w:color="auto"/>
              <w:right w:val="single" w:sz="4" w:space="0" w:color="auto"/>
            </w:tcBorders>
            <w:shd w:val="clear" w:color="auto" w:fill="auto"/>
            <w:vAlign w:val="center"/>
            <w:hideMark/>
          </w:tcPr>
          <w:p w14:paraId="6DDDFAC9"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4,958 </w:t>
            </w:r>
          </w:p>
        </w:tc>
        <w:tc>
          <w:tcPr>
            <w:tcW w:w="1303" w:type="dxa"/>
            <w:gridSpan w:val="2"/>
            <w:tcBorders>
              <w:top w:val="nil"/>
              <w:left w:val="nil"/>
              <w:bottom w:val="single" w:sz="4" w:space="0" w:color="auto"/>
              <w:right w:val="single" w:sz="4" w:space="0" w:color="auto"/>
            </w:tcBorders>
            <w:shd w:val="clear" w:color="auto" w:fill="auto"/>
            <w:vAlign w:val="center"/>
            <w:hideMark/>
          </w:tcPr>
          <w:p w14:paraId="77EAE36F"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132,942 </w:t>
            </w:r>
          </w:p>
        </w:tc>
      </w:tr>
      <w:tr w:rsidR="007B6D19" w:rsidRPr="001F5175" w14:paraId="51B490C1"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4550CBB1"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47A31E2A"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 xml:space="preserve">                 Individuals</w:t>
            </w:r>
          </w:p>
        </w:tc>
        <w:tc>
          <w:tcPr>
            <w:tcW w:w="1167" w:type="dxa"/>
            <w:tcBorders>
              <w:top w:val="nil"/>
              <w:left w:val="nil"/>
              <w:bottom w:val="single" w:sz="4" w:space="0" w:color="auto"/>
              <w:right w:val="single" w:sz="4" w:space="0" w:color="auto"/>
            </w:tcBorders>
            <w:shd w:val="clear" w:color="auto" w:fill="auto"/>
            <w:vAlign w:val="center"/>
            <w:hideMark/>
          </w:tcPr>
          <w:p w14:paraId="57C91B6E"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5,238 </w:t>
            </w:r>
          </w:p>
        </w:tc>
        <w:tc>
          <w:tcPr>
            <w:tcW w:w="760" w:type="dxa"/>
            <w:tcBorders>
              <w:top w:val="nil"/>
              <w:left w:val="nil"/>
              <w:bottom w:val="single" w:sz="4" w:space="0" w:color="auto"/>
              <w:right w:val="single" w:sz="4" w:space="0" w:color="auto"/>
            </w:tcBorders>
            <w:shd w:val="clear" w:color="auto" w:fill="auto"/>
            <w:vAlign w:val="center"/>
            <w:hideMark/>
          </w:tcPr>
          <w:p w14:paraId="592E338F"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615 </w:t>
            </w:r>
          </w:p>
        </w:tc>
        <w:tc>
          <w:tcPr>
            <w:tcW w:w="956" w:type="dxa"/>
            <w:tcBorders>
              <w:top w:val="nil"/>
              <w:left w:val="nil"/>
              <w:bottom w:val="single" w:sz="4" w:space="0" w:color="auto"/>
              <w:right w:val="single" w:sz="4" w:space="0" w:color="auto"/>
            </w:tcBorders>
            <w:shd w:val="clear" w:color="auto" w:fill="auto"/>
            <w:vAlign w:val="center"/>
            <w:hideMark/>
          </w:tcPr>
          <w:p w14:paraId="5C7CE4AA"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0 </w:t>
            </w:r>
          </w:p>
        </w:tc>
        <w:tc>
          <w:tcPr>
            <w:tcW w:w="880" w:type="dxa"/>
            <w:tcBorders>
              <w:top w:val="nil"/>
              <w:left w:val="nil"/>
              <w:bottom w:val="single" w:sz="4" w:space="0" w:color="auto"/>
              <w:right w:val="single" w:sz="4" w:space="0" w:color="auto"/>
            </w:tcBorders>
            <w:shd w:val="clear" w:color="auto" w:fill="auto"/>
            <w:vAlign w:val="center"/>
            <w:hideMark/>
          </w:tcPr>
          <w:p w14:paraId="3E5D474B"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134 </w:t>
            </w:r>
          </w:p>
        </w:tc>
        <w:tc>
          <w:tcPr>
            <w:tcW w:w="1303" w:type="dxa"/>
            <w:gridSpan w:val="2"/>
            <w:tcBorders>
              <w:top w:val="nil"/>
              <w:left w:val="nil"/>
              <w:bottom w:val="single" w:sz="4" w:space="0" w:color="auto"/>
              <w:right w:val="single" w:sz="4" w:space="0" w:color="auto"/>
            </w:tcBorders>
            <w:shd w:val="clear" w:color="auto" w:fill="auto"/>
            <w:vAlign w:val="center"/>
            <w:hideMark/>
          </w:tcPr>
          <w:p w14:paraId="1B84D38D"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5,987 </w:t>
            </w:r>
          </w:p>
        </w:tc>
      </w:tr>
      <w:tr w:rsidR="007B6D19" w:rsidRPr="001F5175" w14:paraId="051ED531"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17220F5D"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4" w:space="0" w:color="auto"/>
              <w:right w:val="single" w:sz="4" w:space="0" w:color="auto"/>
            </w:tcBorders>
            <w:shd w:val="clear" w:color="auto" w:fill="auto"/>
            <w:noWrap/>
            <w:vAlign w:val="bottom"/>
            <w:hideMark/>
          </w:tcPr>
          <w:p w14:paraId="10B40EB2"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 xml:space="preserve">                Other</w:t>
            </w:r>
            <w:r w:rsidRPr="001F5175">
              <w:rPr>
                <w:rFonts w:ascii="Calibri" w:hAnsi="Calibri" w:cs="Calibri"/>
                <w:b/>
                <w:bCs/>
                <w:sz w:val="18"/>
                <w:szCs w:val="18"/>
                <w:vertAlign w:val="superscript"/>
              </w:rPr>
              <w:t>4</w:t>
            </w:r>
          </w:p>
        </w:tc>
        <w:tc>
          <w:tcPr>
            <w:tcW w:w="1167" w:type="dxa"/>
            <w:tcBorders>
              <w:top w:val="nil"/>
              <w:left w:val="nil"/>
              <w:bottom w:val="single" w:sz="4" w:space="0" w:color="auto"/>
              <w:right w:val="single" w:sz="4" w:space="0" w:color="auto"/>
            </w:tcBorders>
            <w:shd w:val="clear" w:color="auto" w:fill="auto"/>
            <w:vAlign w:val="center"/>
            <w:hideMark/>
          </w:tcPr>
          <w:p w14:paraId="66A48712"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646 </w:t>
            </w:r>
          </w:p>
        </w:tc>
        <w:tc>
          <w:tcPr>
            <w:tcW w:w="760" w:type="dxa"/>
            <w:tcBorders>
              <w:top w:val="nil"/>
              <w:left w:val="nil"/>
              <w:bottom w:val="single" w:sz="4" w:space="0" w:color="auto"/>
              <w:right w:val="single" w:sz="4" w:space="0" w:color="auto"/>
            </w:tcBorders>
            <w:shd w:val="clear" w:color="auto" w:fill="auto"/>
            <w:vAlign w:val="center"/>
            <w:hideMark/>
          </w:tcPr>
          <w:p w14:paraId="50DEB786"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0 </w:t>
            </w:r>
          </w:p>
        </w:tc>
        <w:tc>
          <w:tcPr>
            <w:tcW w:w="956" w:type="dxa"/>
            <w:tcBorders>
              <w:top w:val="nil"/>
              <w:left w:val="nil"/>
              <w:bottom w:val="single" w:sz="4" w:space="0" w:color="auto"/>
              <w:right w:val="single" w:sz="4" w:space="0" w:color="auto"/>
            </w:tcBorders>
            <w:shd w:val="clear" w:color="auto" w:fill="auto"/>
            <w:vAlign w:val="center"/>
            <w:hideMark/>
          </w:tcPr>
          <w:p w14:paraId="0B335E6F"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0 </w:t>
            </w:r>
          </w:p>
        </w:tc>
        <w:tc>
          <w:tcPr>
            <w:tcW w:w="880" w:type="dxa"/>
            <w:tcBorders>
              <w:top w:val="nil"/>
              <w:left w:val="nil"/>
              <w:bottom w:val="single" w:sz="4" w:space="0" w:color="auto"/>
              <w:right w:val="single" w:sz="4" w:space="0" w:color="auto"/>
            </w:tcBorders>
            <w:shd w:val="clear" w:color="auto" w:fill="auto"/>
            <w:vAlign w:val="center"/>
            <w:hideMark/>
          </w:tcPr>
          <w:p w14:paraId="4CBA7821"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0 </w:t>
            </w:r>
          </w:p>
        </w:tc>
        <w:tc>
          <w:tcPr>
            <w:tcW w:w="1303" w:type="dxa"/>
            <w:gridSpan w:val="2"/>
            <w:tcBorders>
              <w:top w:val="nil"/>
              <w:left w:val="nil"/>
              <w:bottom w:val="single" w:sz="4" w:space="0" w:color="auto"/>
              <w:right w:val="single" w:sz="4" w:space="0" w:color="auto"/>
            </w:tcBorders>
            <w:shd w:val="clear" w:color="auto" w:fill="auto"/>
            <w:vAlign w:val="center"/>
            <w:hideMark/>
          </w:tcPr>
          <w:p w14:paraId="289F5F7C"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647 </w:t>
            </w:r>
          </w:p>
        </w:tc>
      </w:tr>
      <w:tr w:rsidR="007B6D19" w:rsidRPr="001F5175" w14:paraId="64879F9E" w14:textId="77777777" w:rsidTr="007B6D19">
        <w:trPr>
          <w:gridBefore w:val="1"/>
          <w:trHeight w:val="210"/>
        </w:trPr>
        <w:tc>
          <w:tcPr>
            <w:tcW w:w="901" w:type="dxa"/>
            <w:vMerge/>
            <w:tcBorders>
              <w:top w:val="nil"/>
              <w:left w:val="single" w:sz="8" w:space="0" w:color="auto"/>
              <w:bottom w:val="single" w:sz="8" w:space="0" w:color="000000"/>
              <w:right w:val="single" w:sz="4" w:space="0" w:color="auto"/>
            </w:tcBorders>
            <w:vAlign w:val="center"/>
            <w:hideMark/>
          </w:tcPr>
          <w:p w14:paraId="0AE574AC" w14:textId="77777777" w:rsidR="007B6D19" w:rsidRPr="001F5175" w:rsidRDefault="007B6D19" w:rsidP="00CF00E4">
            <w:pPr>
              <w:bidi w:val="0"/>
              <w:rPr>
                <w:rFonts w:ascii="Calibri" w:hAnsi="Calibri" w:cs="Calibri"/>
                <w:b/>
                <w:bCs/>
                <w:sz w:val="18"/>
                <w:szCs w:val="18"/>
              </w:rPr>
            </w:pPr>
          </w:p>
        </w:tc>
        <w:tc>
          <w:tcPr>
            <w:tcW w:w="3432" w:type="dxa"/>
            <w:tcBorders>
              <w:top w:val="nil"/>
              <w:left w:val="nil"/>
              <w:bottom w:val="single" w:sz="8" w:space="0" w:color="auto"/>
              <w:right w:val="single" w:sz="4" w:space="0" w:color="auto"/>
            </w:tcBorders>
            <w:shd w:val="clear" w:color="auto" w:fill="auto"/>
            <w:noWrap/>
            <w:vAlign w:val="bottom"/>
            <w:hideMark/>
          </w:tcPr>
          <w:p w14:paraId="1FB9A2FC" w14:textId="77777777" w:rsidR="007B6D19" w:rsidRPr="001F5175" w:rsidRDefault="007B6D19" w:rsidP="00CF00E4">
            <w:pPr>
              <w:bidi w:val="0"/>
              <w:rPr>
                <w:rFonts w:ascii="Calibri" w:hAnsi="Calibri" w:cs="Calibri"/>
                <w:b/>
                <w:bCs/>
                <w:sz w:val="18"/>
                <w:szCs w:val="18"/>
              </w:rPr>
            </w:pPr>
            <w:r w:rsidRPr="001F5175">
              <w:rPr>
                <w:rFonts w:ascii="Calibri" w:hAnsi="Calibri" w:cs="Calibri"/>
                <w:b/>
                <w:bCs/>
                <w:sz w:val="18"/>
                <w:szCs w:val="18"/>
              </w:rPr>
              <w:t xml:space="preserve">                Domestic banks</w:t>
            </w:r>
            <w:r w:rsidRPr="001F5175">
              <w:rPr>
                <w:rFonts w:ascii="Calibri" w:hAnsi="Calibri" w:cs="Calibri"/>
                <w:b/>
                <w:bCs/>
                <w:sz w:val="18"/>
                <w:szCs w:val="18"/>
                <w:vertAlign w:val="superscript"/>
              </w:rPr>
              <w:t>5</w:t>
            </w:r>
          </w:p>
        </w:tc>
        <w:tc>
          <w:tcPr>
            <w:tcW w:w="1167" w:type="dxa"/>
            <w:tcBorders>
              <w:top w:val="nil"/>
              <w:left w:val="nil"/>
              <w:bottom w:val="single" w:sz="4" w:space="0" w:color="auto"/>
              <w:right w:val="single" w:sz="4" w:space="0" w:color="auto"/>
            </w:tcBorders>
            <w:shd w:val="clear" w:color="auto" w:fill="auto"/>
            <w:vAlign w:val="center"/>
            <w:hideMark/>
          </w:tcPr>
          <w:p w14:paraId="2FAE4F60"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10,393 </w:t>
            </w:r>
          </w:p>
        </w:tc>
        <w:tc>
          <w:tcPr>
            <w:tcW w:w="760" w:type="dxa"/>
            <w:tcBorders>
              <w:top w:val="nil"/>
              <w:left w:val="nil"/>
              <w:bottom w:val="single" w:sz="4" w:space="0" w:color="auto"/>
              <w:right w:val="single" w:sz="4" w:space="0" w:color="auto"/>
            </w:tcBorders>
            <w:shd w:val="clear" w:color="auto" w:fill="auto"/>
            <w:vAlign w:val="center"/>
            <w:hideMark/>
          </w:tcPr>
          <w:p w14:paraId="4D27E7B2"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20,160 </w:t>
            </w:r>
          </w:p>
        </w:tc>
        <w:tc>
          <w:tcPr>
            <w:tcW w:w="956" w:type="dxa"/>
            <w:tcBorders>
              <w:top w:val="nil"/>
              <w:left w:val="nil"/>
              <w:bottom w:val="single" w:sz="4" w:space="0" w:color="auto"/>
              <w:right w:val="single" w:sz="4" w:space="0" w:color="auto"/>
            </w:tcBorders>
            <w:shd w:val="clear" w:color="auto" w:fill="auto"/>
            <w:vAlign w:val="center"/>
            <w:hideMark/>
          </w:tcPr>
          <w:p w14:paraId="0EF07EFE"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0 </w:t>
            </w:r>
          </w:p>
        </w:tc>
        <w:tc>
          <w:tcPr>
            <w:tcW w:w="880" w:type="dxa"/>
            <w:tcBorders>
              <w:top w:val="nil"/>
              <w:left w:val="nil"/>
              <w:bottom w:val="single" w:sz="4" w:space="0" w:color="auto"/>
              <w:right w:val="single" w:sz="4" w:space="0" w:color="auto"/>
            </w:tcBorders>
            <w:shd w:val="clear" w:color="auto" w:fill="auto"/>
            <w:vAlign w:val="center"/>
            <w:hideMark/>
          </w:tcPr>
          <w:p w14:paraId="3B449C42"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1,743 </w:t>
            </w:r>
          </w:p>
        </w:tc>
        <w:tc>
          <w:tcPr>
            <w:tcW w:w="1303" w:type="dxa"/>
            <w:gridSpan w:val="2"/>
            <w:tcBorders>
              <w:top w:val="nil"/>
              <w:left w:val="nil"/>
              <w:bottom w:val="single" w:sz="4" w:space="0" w:color="auto"/>
              <w:right w:val="single" w:sz="4" w:space="0" w:color="auto"/>
            </w:tcBorders>
            <w:shd w:val="clear" w:color="auto" w:fill="auto"/>
            <w:vAlign w:val="center"/>
            <w:hideMark/>
          </w:tcPr>
          <w:p w14:paraId="522B5C7A" w14:textId="77777777" w:rsidR="007B6D19" w:rsidRPr="001F5175" w:rsidRDefault="007B6D19" w:rsidP="00CF00E4">
            <w:pPr>
              <w:bidi w:val="0"/>
              <w:jc w:val="center"/>
              <w:rPr>
                <w:rFonts w:ascii="Calibri" w:hAnsi="Calibri" w:cs="Calibri"/>
                <w:sz w:val="18"/>
                <w:szCs w:val="18"/>
              </w:rPr>
            </w:pPr>
            <w:r w:rsidRPr="001F5175">
              <w:rPr>
                <w:rFonts w:ascii="Calibri" w:hAnsi="Calibri" w:cs="Calibri"/>
                <w:sz w:val="18"/>
                <w:szCs w:val="18"/>
              </w:rPr>
              <w:t xml:space="preserve">32,296 </w:t>
            </w:r>
          </w:p>
        </w:tc>
      </w:tr>
      <w:tr w:rsidR="007B6D19" w:rsidRPr="001F5175" w14:paraId="05525500" w14:textId="77777777" w:rsidTr="007B6D19">
        <w:trPr>
          <w:gridBefore w:val="1"/>
          <w:trHeight w:val="135"/>
        </w:trPr>
        <w:tc>
          <w:tcPr>
            <w:tcW w:w="901" w:type="dxa"/>
            <w:tcBorders>
              <w:top w:val="nil"/>
              <w:left w:val="nil"/>
              <w:bottom w:val="nil"/>
              <w:right w:val="nil"/>
            </w:tcBorders>
            <w:shd w:val="clear" w:color="auto" w:fill="auto"/>
            <w:noWrap/>
            <w:vAlign w:val="bottom"/>
            <w:hideMark/>
          </w:tcPr>
          <w:p w14:paraId="42034E6F" w14:textId="77777777" w:rsidR="007B6D19" w:rsidRPr="001F5175" w:rsidRDefault="007B6D19" w:rsidP="00CF00E4">
            <w:pPr>
              <w:bidi w:val="0"/>
              <w:jc w:val="center"/>
              <w:rPr>
                <w:rFonts w:ascii="Calibri" w:hAnsi="Calibri" w:cs="Calibri"/>
                <w:sz w:val="18"/>
                <w:szCs w:val="18"/>
              </w:rPr>
            </w:pPr>
          </w:p>
        </w:tc>
        <w:tc>
          <w:tcPr>
            <w:tcW w:w="3432" w:type="dxa"/>
            <w:tcBorders>
              <w:top w:val="nil"/>
              <w:left w:val="nil"/>
              <w:bottom w:val="nil"/>
              <w:right w:val="nil"/>
            </w:tcBorders>
            <w:shd w:val="clear" w:color="auto" w:fill="auto"/>
            <w:noWrap/>
            <w:vAlign w:val="bottom"/>
            <w:hideMark/>
          </w:tcPr>
          <w:p w14:paraId="13E4D098" w14:textId="77777777" w:rsidR="007B6D19" w:rsidRPr="001F5175" w:rsidRDefault="007B6D19" w:rsidP="00CF00E4">
            <w:pPr>
              <w:bidi w:val="0"/>
              <w:rPr>
                <w:rFonts w:ascii="Calibri" w:hAnsi="Calibri" w:cs="Calibri"/>
                <w:sz w:val="20"/>
                <w:szCs w:val="20"/>
              </w:rPr>
            </w:pPr>
          </w:p>
        </w:tc>
        <w:tc>
          <w:tcPr>
            <w:tcW w:w="1167" w:type="dxa"/>
            <w:tcBorders>
              <w:top w:val="nil"/>
              <w:left w:val="nil"/>
              <w:bottom w:val="nil"/>
              <w:right w:val="nil"/>
            </w:tcBorders>
            <w:shd w:val="clear" w:color="auto" w:fill="auto"/>
            <w:noWrap/>
            <w:vAlign w:val="bottom"/>
            <w:hideMark/>
          </w:tcPr>
          <w:p w14:paraId="4C2309A5" w14:textId="77777777" w:rsidR="007B6D19" w:rsidRPr="001F5175" w:rsidRDefault="007B6D19" w:rsidP="00CF00E4">
            <w:pPr>
              <w:bidi w:val="0"/>
              <w:rPr>
                <w:rFonts w:ascii="Calibri" w:hAnsi="Calibri" w:cs="Calibri"/>
                <w:sz w:val="20"/>
                <w:szCs w:val="20"/>
              </w:rPr>
            </w:pPr>
          </w:p>
        </w:tc>
        <w:tc>
          <w:tcPr>
            <w:tcW w:w="760" w:type="dxa"/>
            <w:tcBorders>
              <w:top w:val="nil"/>
              <w:left w:val="nil"/>
              <w:bottom w:val="nil"/>
              <w:right w:val="nil"/>
            </w:tcBorders>
            <w:shd w:val="clear" w:color="auto" w:fill="auto"/>
            <w:noWrap/>
            <w:vAlign w:val="bottom"/>
            <w:hideMark/>
          </w:tcPr>
          <w:p w14:paraId="7735E225" w14:textId="77777777" w:rsidR="007B6D19" w:rsidRPr="001F5175" w:rsidRDefault="007B6D19" w:rsidP="00CF00E4">
            <w:pPr>
              <w:bidi w:val="0"/>
              <w:rPr>
                <w:rFonts w:ascii="Calibri" w:hAnsi="Calibri" w:cs="Calibri"/>
                <w:sz w:val="20"/>
                <w:szCs w:val="20"/>
              </w:rPr>
            </w:pPr>
          </w:p>
        </w:tc>
        <w:tc>
          <w:tcPr>
            <w:tcW w:w="956" w:type="dxa"/>
            <w:tcBorders>
              <w:top w:val="nil"/>
              <w:left w:val="nil"/>
              <w:bottom w:val="nil"/>
              <w:right w:val="nil"/>
            </w:tcBorders>
            <w:shd w:val="clear" w:color="auto" w:fill="auto"/>
            <w:noWrap/>
            <w:vAlign w:val="bottom"/>
            <w:hideMark/>
          </w:tcPr>
          <w:p w14:paraId="69319229" w14:textId="77777777" w:rsidR="007B6D19" w:rsidRPr="001F5175" w:rsidRDefault="007B6D19" w:rsidP="00CF00E4">
            <w:pPr>
              <w:bidi w:val="0"/>
              <w:rPr>
                <w:rFonts w:ascii="Calibri" w:hAnsi="Calibri" w:cs="Calibri"/>
                <w:sz w:val="20"/>
                <w:szCs w:val="20"/>
              </w:rPr>
            </w:pPr>
          </w:p>
        </w:tc>
        <w:tc>
          <w:tcPr>
            <w:tcW w:w="880" w:type="dxa"/>
            <w:tcBorders>
              <w:top w:val="nil"/>
              <w:left w:val="nil"/>
              <w:bottom w:val="nil"/>
              <w:right w:val="nil"/>
            </w:tcBorders>
            <w:shd w:val="clear" w:color="auto" w:fill="auto"/>
            <w:noWrap/>
            <w:vAlign w:val="bottom"/>
            <w:hideMark/>
          </w:tcPr>
          <w:p w14:paraId="2DC11E50" w14:textId="77777777" w:rsidR="007B6D19" w:rsidRPr="001F5175" w:rsidRDefault="007B6D19" w:rsidP="00CF00E4">
            <w:pPr>
              <w:bidi w:val="0"/>
              <w:rPr>
                <w:rFonts w:ascii="Calibri" w:hAnsi="Calibri" w:cs="Calibri"/>
                <w:sz w:val="20"/>
                <w:szCs w:val="20"/>
              </w:rPr>
            </w:pPr>
          </w:p>
        </w:tc>
        <w:tc>
          <w:tcPr>
            <w:tcW w:w="1303" w:type="dxa"/>
            <w:gridSpan w:val="2"/>
            <w:tcBorders>
              <w:top w:val="nil"/>
              <w:left w:val="nil"/>
              <w:bottom w:val="nil"/>
              <w:right w:val="nil"/>
            </w:tcBorders>
            <w:shd w:val="clear" w:color="auto" w:fill="auto"/>
            <w:noWrap/>
            <w:vAlign w:val="bottom"/>
            <w:hideMark/>
          </w:tcPr>
          <w:p w14:paraId="64B4C0B9" w14:textId="77777777" w:rsidR="007B6D19" w:rsidRPr="001F5175" w:rsidRDefault="007B6D19" w:rsidP="00CF00E4">
            <w:pPr>
              <w:bidi w:val="0"/>
              <w:rPr>
                <w:rFonts w:ascii="Calibri" w:hAnsi="Calibri" w:cs="Calibri"/>
                <w:sz w:val="20"/>
                <w:szCs w:val="20"/>
              </w:rPr>
            </w:pPr>
          </w:p>
        </w:tc>
      </w:tr>
      <w:tr w:rsidR="007B6D19" w:rsidRPr="001F5175" w14:paraId="17E8C356" w14:textId="77777777" w:rsidTr="007B6D19">
        <w:trPr>
          <w:gridAfter w:val="1"/>
          <w:wAfter w:w="951" w:type="dxa"/>
          <w:trHeight w:val="165"/>
        </w:trPr>
        <w:tc>
          <w:tcPr>
            <w:tcW w:w="8458" w:type="dxa"/>
            <w:gridSpan w:val="8"/>
            <w:tcBorders>
              <w:top w:val="nil"/>
              <w:left w:val="nil"/>
              <w:bottom w:val="nil"/>
              <w:right w:val="nil"/>
            </w:tcBorders>
            <w:shd w:val="clear" w:color="auto" w:fill="auto"/>
            <w:noWrap/>
            <w:vAlign w:val="center"/>
            <w:hideMark/>
          </w:tcPr>
          <w:p w14:paraId="65841A10" w14:textId="77777777" w:rsidR="007B6D19" w:rsidRPr="001F5175" w:rsidRDefault="007B6D19" w:rsidP="00CF00E4">
            <w:pPr>
              <w:bidi w:val="0"/>
              <w:rPr>
                <w:rFonts w:ascii="Calibri" w:hAnsi="Calibri" w:cs="Calibri"/>
                <w:sz w:val="12"/>
                <w:szCs w:val="12"/>
              </w:rPr>
            </w:pPr>
            <w:r w:rsidRPr="001F5175">
              <w:rPr>
                <w:rFonts w:ascii="Calibri" w:hAnsi="Calibri" w:cs="Calibri"/>
                <w:sz w:val="12"/>
                <w:szCs w:val="12"/>
                <w:vertAlign w:val="superscript"/>
              </w:rPr>
              <w:t>1</w:t>
            </w:r>
            <w:r w:rsidRPr="001F5175">
              <w:rPr>
                <w:rFonts w:ascii="Calibri" w:hAnsi="Calibri" w:cs="Calibri"/>
                <w:sz w:val="12"/>
                <w:szCs w:val="12"/>
              </w:rPr>
              <w:t xml:space="preserve">  Only one leg of the swap, i.e., the nominal value of the transaction (in accordance with the BIS definition) </w:t>
            </w:r>
          </w:p>
        </w:tc>
      </w:tr>
      <w:tr w:rsidR="007B6D19" w:rsidRPr="001F5175" w14:paraId="5E32F231" w14:textId="77777777" w:rsidTr="007B6D19">
        <w:trPr>
          <w:gridAfter w:val="1"/>
          <w:wAfter w:w="951" w:type="dxa"/>
          <w:trHeight w:val="165"/>
        </w:trPr>
        <w:tc>
          <w:tcPr>
            <w:tcW w:w="8458" w:type="dxa"/>
            <w:gridSpan w:val="8"/>
            <w:tcBorders>
              <w:top w:val="nil"/>
              <w:left w:val="nil"/>
              <w:bottom w:val="nil"/>
              <w:right w:val="nil"/>
            </w:tcBorders>
            <w:shd w:val="clear" w:color="auto" w:fill="auto"/>
            <w:noWrap/>
            <w:vAlign w:val="center"/>
            <w:hideMark/>
          </w:tcPr>
          <w:p w14:paraId="579A86D1" w14:textId="77777777" w:rsidR="007B6D19" w:rsidRPr="001F5175" w:rsidRDefault="007B6D19" w:rsidP="00CF00E4">
            <w:pPr>
              <w:bidi w:val="0"/>
              <w:rPr>
                <w:rFonts w:ascii="Calibri" w:hAnsi="Calibri" w:cs="Calibri"/>
                <w:sz w:val="12"/>
                <w:szCs w:val="12"/>
              </w:rPr>
            </w:pPr>
            <w:r w:rsidRPr="001F5175">
              <w:rPr>
                <w:rFonts w:ascii="Calibri" w:hAnsi="Calibri" w:cs="Calibri"/>
                <w:sz w:val="12"/>
                <w:szCs w:val="12"/>
                <w:vertAlign w:val="superscript"/>
              </w:rPr>
              <w:t>2</w:t>
            </w:r>
            <w:r w:rsidRPr="001F5175">
              <w:rPr>
                <w:rFonts w:ascii="Calibri" w:hAnsi="Calibri" w:cs="Calibri"/>
                <w:sz w:val="12"/>
                <w:szCs w:val="12"/>
              </w:rPr>
              <w:t xml:space="preserve"> The exchanged founds through Cross Currency Swap transactions considered for the volume, as one leg only in cases where the two legs offset each other.</w:t>
            </w:r>
          </w:p>
        </w:tc>
      </w:tr>
      <w:tr w:rsidR="007B6D19" w:rsidRPr="001F5175" w14:paraId="116E1420" w14:textId="77777777" w:rsidTr="007B6D19">
        <w:trPr>
          <w:gridAfter w:val="1"/>
          <w:wAfter w:w="951" w:type="dxa"/>
          <w:trHeight w:val="165"/>
        </w:trPr>
        <w:tc>
          <w:tcPr>
            <w:tcW w:w="8458" w:type="dxa"/>
            <w:gridSpan w:val="8"/>
            <w:tcBorders>
              <w:top w:val="nil"/>
              <w:left w:val="nil"/>
              <w:bottom w:val="nil"/>
              <w:right w:val="nil"/>
            </w:tcBorders>
            <w:shd w:val="clear" w:color="auto" w:fill="auto"/>
            <w:noWrap/>
            <w:vAlign w:val="center"/>
            <w:hideMark/>
          </w:tcPr>
          <w:p w14:paraId="63821BB6" w14:textId="77777777" w:rsidR="007B6D19" w:rsidRPr="001F5175" w:rsidRDefault="007B6D19" w:rsidP="00CF00E4">
            <w:pPr>
              <w:bidi w:val="0"/>
              <w:rPr>
                <w:rFonts w:ascii="Calibri" w:hAnsi="Calibri" w:cs="Calibri"/>
                <w:sz w:val="12"/>
                <w:szCs w:val="12"/>
              </w:rPr>
            </w:pPr>
            <w:r w:rsidRPr="001F5175">
              <w:rPr>
                <w:rFonts w:ascii="Calibri" w:hAnsi="Calibri" w:cs="Calibri"/>
                <w:sz w:val="12"/>
                <w:szCs w:val="12"/>
                <w:vertAlign w:val="superscript"/>
              </w:rPr>
              <w:t>3</w:t>
            </w:r>
            <w:r w:rsidRPr="001F5175">
              <w:rPr>
                <w:rFonts w:ascii="Calibri" w:hAnsi="Calibri" w:cs="Calibri"/>
                <w:sz w:val="12"/>
                <w:szCs w:val="12"/>
              </w:rPr>
              <w:t xml:space="preserve"> The national value, that includes purchases and sales of put and call options.</w:t>
            </w:r>
          </w:p>
        </w:tc>
      </w:tr>
      <w:tr w:rsidR="007B6D19" w:rsidRPr="001F5175" w14:paraId="68C83601" w14:textId="77777777" w:rsidTr="007B6D19">
        <w:trPr>
          <w:gridAfter w:val="1"/>
          <w:wAfter w:w="951" w:type="dxa"/>
          <w:trHeight w:val="165"/>
        </w:trPr>
        <w:tc>
          <w:tcPr>
            <w:tcW w:w="8458" w:type="dxa"/>
            <w:gridSpan w:val="8"/>
            <w:tcBorders>
              <w:top w:val="nil"/>
              <w:left w:val="nil"/>
              <w:bottom w:val="nil"/>
              <w:right w:val="nil"/>
            </w:tcBorders>
            <w:shd w:val="clear" w:color="auto" w:fill="auto"/>
            <w:noWrap/>
            <w:vAlign w:val="center"/>
            <w:hideMark/>
          </w:tcPr>
          <w:p w14:paraId="4706BE88" w14:textId="77777777" w:rsidR="007B6D19" w:rsidRPr="001F5175" w:rsidRDefault="007B6D19" w:rsidP="00CF00E4">
            <w:pPr>
              <w:bidi w:val="0"/>
              <w:rPr>
                <w:rFonts w:ascii="Calibri" w:hAnsi="Calibri" w:cs="Calibri"/>
                <w:sz w:val="12"/>
                <w:szCs w:val="12"/>
              </w:rPr>
            </w:pPr>
            <w:r w:rsidRPr="001F5175">
              <w:rPr>
                <w:rFonts w:ascii="Calibri" w:hAnsi="Calibri" w:cs="Calibri"/>
                <w:sz w:val="12"/>
                <w:szCs w:val="12"/>
                <w:vertAlign w:val="superscript"/>
              </w:rPr>
              <w:t>4</w:t>
            </w:r>
            <w:r w:rsidRPr="001F5175">
              <w:rPr>
                <w:rFonts w:ascii="Calibri" w:hAnsi="Calibri" w:cs="Calibri"/>
                <w:sz w:val="12"/>
                <w:szCs w:val="12"/>
              </w:rPr>
              <w:t xml:space="preserve"> Including other entities such as portfolio managers, nonprofit organizations, national institutions, and those not included elsewhere.</w:t>
            </w:r>
          </w:p>
        </w:tc>
      </w:tr>
      <w:tr w:rsidR="007B6D19" w:rsidRPr="001F5175" w14:paraId="3EFA3EBD" w14:textId="77777777" w:rsidTr="007B6D19">
        <w:trPr>
          <w:gridAfter w:val="1"/>
          <w:wAfter w:w="951" w:type="dxa"/>
          <w:trHeight w:val="165"/>
        </w:trPr>
        <w:tc>
          <w:tcPr>
            <w:tcW w:w="8458" w:type="dxa"/>
            <w:gridSpan w:val="8"/>
            <w:tcBorders>
              <w:top w:val="nil"/>
              <w:left w:val="nil"/>
              <w:bottom w:val="nil"/>
              <w:right w:val="nil"/>
            </w:tcBorders>
            <w:shd w:val="clear" w:color="auto" w:fill="auto"/>
            <w:noWrap/>
            <w:vAlign w:val="center"/>
            <w:hideMark/>
          </w:tcPr>
          <w:p w14:paraId="63CCB2F5" w14:textId="77777777" w:rsidR="007B6D19" w:rsidRPr="001F5175" w:rsidRDefault="007B6D19" w:rsidP="00CF00E4">
            <w:pPr>
              <w:bidi w:val="0"/>
              <w:rPr>
                <w:rFonts w:ascii="Calibri" w:hAnsi="Calibri" w:cs="Calibri"/>
                <w:sz w:val="12"/>
                <w:szCs w:val="12"/>
              </w:rPr>
            </w:pPr>
            <w:r w:rsidRPr="001F5175">
              <w:rPr>
                <w:rFonts w:ascii="Calibri" w:hAnsi="Calibri" w:cs="Calibri"/>
                <w:sz w:val="12"/>
                <w:szCs w:val="12"/>
                <w:vertAlign w:val="superscript"/>
              </w:rPr>
              <w:t>5</w:t>
            </w:r>
            <w:r w:rsidRPr="001F5175">
              <w:rPr>
                <w:rFonts w:ascii="Calibri" w:hAnsi="Calibri" w:cs="Calibri"/>
                <w:sz w:val="12"/>
                <w:szCs w:val="12"/>
              </w:rPr>
              <w:t xml:space="preserve"> Total interbank trade, divided by 2</w:t>
            </w:r>
          </w:p>
        </w:tc>
      </w:tr>
    </w:tbl>
    <w:p w14:paraId="467F3BE9" w14:textId="2A0837AE" w:rsidR="00D80DD5" w:rsidRPr="001F5175" w:rsidRDefault="00D80DD5" w:rsidP="00D80DD5">
      <w:pPr>
        <w:bidi w:val="0"/>
        <w:jc w:val="center"/>
        <w:rPr>
          <w:rFonts w:ascii="Calibri" w:hAnsi="Calibri" w:cs="Calibri"/>
          <w:sz w:val="20"/>
          <w:szCs w:val="20"/>
        </w:rPr>
      </w:pPr>
    </w:p>
    <w:p w14:paraId="2B7E5F14" w14:textId="765D0145" w:rsidR="00D80DD5" w:rsidRPr="001F5175" w:rsidRDefault="00D80DD5" w:rsidP="00D80DD5">
      <w:pPr>
        <w:bidi w:val="0"/>
        <w:jc w:val="center"/>
        <w:rPr>
          <w:rFonts w:ascii="Calibri" w:hAnsi="Calibri" w:cs="Calibri"/>
          <w:sz w:val="20"/>
          <w:szCs w:val="20"/>
        </w:rPr>
      </w:pPr>
    </w:p>
    <w:p w14:paraId="2B49B21B" w14:textId="475938B7" w:rsidR="00D80DD5" w:rsidRPr="001F5175" w:rsidRDefault="00D80DD5" w:rsidP="00D80DD5">
      <w:pPr>
        <w:bidi w:val="0"/>
        <w:rPr>
          <w:rFonts w:ascii="Calibri" w:hAnsi="Calibri" w:cs="Calibri"/>
          <w:sz w:val="20"/>
          <w:szCs w:val="20"/>
        </w:rPr>
      </w:pPr>
    </w:p>
    <w:p w14:paraId="16184A14" w14:textId="77777777" w:rsidR="001F5175" w:rsidRDefault="001F5175" w:rsidP="00D80DD5">
      <w:pPr>
        <w:bidi w:val="0"/>
        <w:rPr>
          <w:rFonts w:ascii="Calibri" w:hAnsi="Calibri" w:cs="Calibri"/>
          <w:b/>
          <w:bCs/>
          <w:color w:val="4F81BD" w:themeColor="accent1"/>
        </w:rPr>
      </w:pPr>
    </w:p>
    <w:p w14:paraId="425ECA4C" w14:textId="77777777" w:rsidR="001F5175" w:rsidRDefault="001F5175" w:rsidP="001F5175">
      <w:pPr>
        <w:bidi w:val="0"/>
        <w:rPr>
          <w:rFonts w:ascii="Calibri" w:hAnsi="Calibri" w:cs="Calibri"/>
          <w:b/>
          <w:bCs/>
          <w:color w:val="4F81BD" w:themeColor="accent1"/>
        </w:rPr>
      </w:pPr>
    </w:p>
    <w:p w14:paraId="0EFFCC9A" w14:textId="3CDE974A" w:rsidR="00D80DD5" w:rsidRPr="001F5175" w:rsidRDefault="00D80DD5" w:rsidP="001F5175">
      <w:pPr>
        <w:bidi w:val="0"/>
        <w:rPr>
          <w:rFonts w:ascii="Calibri" w:hAnsi="Calibri" w:cs="Calibri"/>
          <w:b/>
          <w:bCs/>
          <w:color w:val="4F81BD" w:themeColor="accent1"/>
        </w:rPr>
      </w:pPr>
      <w:r w:rsidRPr="001F5175">
        <w:rPr>
          <w:rFonts w:ascii="Calibri" w:hAnsi="Calibri" w:cs="Calibri"/>
          <w:b/>
          <w:bCs/>
          <w:color w:val="4F81BD" w:themeColor="accent1"/>
        </w:rPr>
        <w:lastRenderedPageBreak/>
        <w:t>Estimated total trading volume</w:t>
      </w:r>
      <w:r w:rsidRPr="001F5175">
        <w:rPr>
          <w:rStyle w:val="ad"/>
          <w:rFonts w:ascii="Calibri" w:hAnsi="Calibri" w:cs="Calibri"/>
          <w:b/>
          <w:bCs/>
          <w:color w:val="4F81BD" w:themeColor="accent1"/>
        </w:rPr>
        <w:footnoteReference w:id="4"/>
      </w:r>
      <w:r w:rsidRPr="001F5175">
        <w:rPr>
          <w:rFonts w:ascii="Calibri" w:hAnsi="Calibri" w:cs="Calibri"/>
          <w:b/>
          <w:bCs/>
          <w:color w:val="4F81BD" w:themeColor="accent1"/>
        </w:rPr>
        <w:t>—domestic banking system and foreign reporting entities</w:t>
      </w:r>
    </w:p>
    <w:p w14:paraId="0658ED51" w14:textId="77777777" w:rsidR="00D80DD5" w:rsidRPr="001F5175" w:rsidRDefault="00D80DD5" w:rsidP="00D80DD5">
      <w:pPr>
        <w:bidi w:val="0"/>
        <w:rPr>
          <w:rFonts w:ascii="Calibri" w:hAnsi="Calibri" w:cs="Calibri"/>
          <w:b/>
          <w:bCs/>
        </w:rPr>
      </w:pPr>
    </w:p>
    <w:p w14:paraId="50BDE689" w14:textId="17E3AEE0" w:rsidR="00873B9F" w:rsidRPr="001F5175" w:rsidRDefault="00D80DD5" w:rsidP="004766A2">
      <w:pPr>
        <w:bidi w:val="0"/>
        <w:jc w:val="both"/>
        <w:rPr>
          <w:rFonts w:ascii="Calibri" w:hAnsi="Calibri" w:cs="Calibri"/>
        </w:rPr>
      </w:pPr>
      <w:r w:rsidRPr="001F5175">
        <w:rPr>
          <w:rFonts w:ascii="Calibri" w:hAnsi="Calibri" w:cs="Calibri"/>
        </w:rPr>
        <w:t>The estimated total activity in transactions against the shekel</w:t>
      </w:r>
      <w:r w:rsidR="003125B3" w:rsidRPr="001F5175">
        <w:rPr>
          <w:rFonts w:ascii="Calibri" w:hAnsi="Calibri" w:cs="Calibri"/>
        </w:rPr>
        <w:t>,</w:t>
      </w:r>
      <w:r w:rsidRPr="001F5175">
        <w:rPr>
          <w:rFonts w:ascii="Calibri" w:hAnsi="Calibri" w:cs="Calibri"/>
        </w:rPr>
        <w:t xml:space="preserve"> </w:t>
      </w:r>
      <w:r w:rsidR="00475E9A" w:rsidRPr="001F5175">
        <w:rPr>
          <w:rFonts w:ascii="Calibri" w:hAnsi="Calibri" w:cs="Calibri"/>
        </w:rPr>
        <w:t xml:space="preserve">as </w:t>
      </w:r>
      <w:r w:rsidRPr="001F5175">
        <w:rPr>
          <w:rFonts w:ascii="Calibri" w:hAnsi="Calibri" w:cs="Calibri"/>
        </w:rPr>
        <w:t>reflected in reports from the domestic banking system and foreign reporting entities</w:t>
      </w:r>
      <w:r w:rsidR="003125B3" w:rsidRPr="001F5175">
        <w:rPr>
          <w:rFonts w:ascii="Calibri" w:hAnsi="Calibri" w:cs="Calibri"/>
        </w:rPr>
        <w:t>,</w:t>
      </w:r>
      <w:r w:rsidRPr="001F5175">
        <w:rPr>
          <w:rFonts w:ascii="Calibri" w:hAnsi="Calibri" w:cs="Calibri"/>
        </w:rPr>
        <w:t xml:space="preserve"> </w:t>
      </w:r>
      <w:r w:rsidR="00C62192" w:rsidRPr="001F5175">
        <w:rPr>
          <w:rFonts w:ascii="Calibri" w:hAnsi="Calibri" w:cs="Calibri"/>
        </w:rPr>
        <w:t xml:space="preserve">indicates </w:t>
      </w:r>
      <w:r w:rsidRPr="001F5175">
        <w:rPr>
          <w:rFonts w:ascii="Calibri" w:hAnsi="Calibri" w:cs="Calibri"/>
        </w:rPr>
        <w:t>that</w:t>
      </w:r>
      <w:r w:rsidR="003125B3" w:rsidRPr="001F5175">
        <w:rPr>
          <w:rFonts w:ascii="Calibri" w:hAnsi="Calibri" w:cs="Calibri"/>
        </w:rPr>
        <w:t xml:space="preserve"> </w:t>
      </w:r>
      <w:r w:rsidR="00345CD5" w:rsidRPr="001F5175">
        <w:rPr>
          <w:rFonts w:ascii="Calibri" w:hAnsi="Calibri" w:cs="Calibri"/>
        </w:rPr>
        <w:t xml:space="preserve">nonresidents’ relative share of trading volume in spot and forward transactions (excluding swaps and options) was about </w:t>
      </w:r>
      <w:r w:rsidR="0066696B" w:rsidRPr="001F5175">
        <w:rPr>
          <w:rFonts w:ascii="Calibri" w:hAnsi="Calibri" w:cs="Calibri"/>
        </w:rPr>
        <w:t xml:space="preserve">86 </w:t>
      </w:r>
      <w:r w:rsidR="00345CD5" w:rsidRPr="001F5175">
        <w:rPr>
          <w:rFonts w:ascii="Calibri" w:hAnsi="Calibri" w:cs="Calibri"/>
        </w:rPr>
        <w:t xml:space="preserve">percent in the </w:t>
      </w:r>
      <w:r w:rsidR="004766A2" w:rsidRPr="001F5175">
        <w:rPr>
          <w:rFonts w:ascii="Calibri" w:hAnsi="Calibri" w:cs="Calibri"/>
        </w:rPr>
        <w:t>first</w:t>
      </w:r>
      <w:r w:rsidR="009865FD" w:rsidRPr="001F5175">
        <w:rPr>
          <w:rFonts w:ascii="Calibri" w:hAnsi="Calibri" w:cs="Calibri"/>
        </w:rPr>
        <w:t xml:space="preserve"> </w:t>
      </w:r>
      <w:r w:rsidR="00345CD5" w:rsidRPr="001F5175">
        <w:rPr>
          <w:rFonts w:ascii="Calibri" w:hAnsi="Calibri" w:cs="Calibri"/>
        </w:rPr>
        <w:t>quarter.</w:t>
      </w:r>
    </w:p>
    <w:p w14:paraId="1C94E6D6" w14:textId="3517BA20" w:rsidR="00D80DD5" w:rsidRPr="001F5175" w:rsidRDefault="00E8290A" w:rsidP="0066696B">
      <w:pPr>
        <w:bidi w:val="0"/>
        <w:jc w:val="both"/>
        <w:rPr>
          <w:rFonts w:ascii="Calibri" w:hAnsi="Calibri" w:cs="Calibri"/>
        </w:rPr>
      </w:pPr>
      <w:r w:rsidRPr="001F5175">
        <w:rPr>
          <w:rFonts w:ascii="Calibri" w:hAnsi="Calibri" w:cs="Calibri"/>
        </w:rPr>
        <w:t>T</w:t>
      </w:r>
      <w:r w:rsidR="00D80DD5" w:rsidRPr="001F5175">
        <w:rPr>
          <w:rFonts w:ascii="Calibri" w:hAnsi="Calibri" w:cs="Calibri"/>
        </w:rPr>
        <w:t xml:space="preserve">rade between nonresidents constituted </w:t>
      </w:r>
      <w:r w:rsidR="00475E9A" w:rsidRPr="001F5175">
        <w:rPr>
          <w:rFonts w:ascii="Calibri" w:hAnsi="Calibri" w:cs="Calibri"/>
        </w:rPr>
        <w:t xml:space="preserve">about </w:t>
      </w:r>
      <w:r w:rsidR="0066696B" w:rsidRPr="001F5175">
        <w:rPr>
          <w:rFonts w:ascii="Calibri" w:hAnsi="Calibri" w:cs="Calibri"/>
        </w:rPr>
        <w:t xml:space="preserve">77.1 </w:t>
      </w:r>
      <w:r w:rsidR="00D80DD5" w:rsidRPr="001F5175">
        <w:rPr>
          <w:rFonts w:ascii="Calibri" w:hAnsi="Calibri" w:cs="Calibri"/>
        </w:rPr>
        <w:t>percent of the volume</w:t>
      </w:r>
      <w:r w:rsidR="00345CD5" w:rsidRPr="001F5175">
        <w:rPr>
          <w:rFonts w:ascii="Calibri" w:hAnsi="Calibri" w:cs="Calibri"/>
        </w:rPr>
        <w:t>, which had a daily average of about $</w:t>
      </w:r>
      <w:r w:rsidR="0066696B" w:rsidRPr="001F5175">
        <w:rPr>
          <w:rFonts w:ascii="Calibri" w:hAnsi="Calibri" w:cs="Calibri"/>
        </w:rPr>
        <w:t xml:space="preserve">9.3 </w:t>
      </w:r>
      <w:r w:rsidR="00345CD5" w:rsidRPr="001F5175">
        <w:rPr>
          <w:rFonts w:ascii="Calibri" w:hAnsi="Calibri" w:cs="Calibri"/>
        </w:rPr>
        <w:t>billion.</w:t>
      </w:r>
    </w:p>
    <w:p w14:paraId="0DA8CFF3" w14:textId="7A2F4D33" w:rsidR="00D80DD5" w:rsidRPr="001F5175" w:rsidRDefault="00D80DD5" w:rsidP="00D80DD5">
      <w:pPr>
        <w:bidi w:val="0"/>
        <w:rPr>
          <w:rFonts w:ascii="Calibri" w:hAnsi="Calibri" w:cs="Calibri"/>
        </w:rPr>
      </w:pPr>
    </w:p>
    <w:p w14:paraId="03B187DB" w14:textId="5E4ED82B" w:rsidR="00D80DD5" w:rsidRPr="001F5175" w:rsidRDefault="00D80DD5">
      <w:pPr>
        <w:bidi w:val="0"/>
        <w:rPr>
          <w:rFonts w:ascii="Calibri" w:hAnsi="Calibri" w:cs="Calibri"/>
        </w:rPr>
      </w:pPr>
    </w:p>
    <w:tbl>
      <w:tblPr>
        <w:tblW w:w="10640" w:type="dxa"/>
        <w:tblInd w:w="-651" w:type="dxa"/>
        <w:tblLook w:val="04A0" w:firstRow="1" w:lastRow="0" w:firstColumn="1" w:lastColumn="0" w:noHBand="0" w:noVBand="1"/>
      </w:tblPr>
      <w:tblGrid>
        <w:gridCol w:w="1520"/>
        <w:gridCol w:w="1520"/>
        <w:gridCol w:w="1520"/>
        <w:gridCol w:w="1520"/>
        <w:gridCol w:w="1520"/>
        <w:gridCol w:w="1520"/>
        <w:gridCol w:w="1520"/>
      </w:tblGrid>
      <w:tr w:rsidR="007B6D19" w:rsidRPr="001F5175" w14:paraId="0A4B801C" w14:textId="77777777" w:rsidTr="00CF00E4">
        <w:trPr>
          <w:trHeight w:val="300"/>
        </w:trPr>
        <w:tc>
          <w:tcPr>
            <w:tcW w:w="1520" w:type="dxa"/>
            <w:tcBorders>
              <w:top w:val="single" w:sz="8" w:space="0" w:color="BFBFBF"/>
              <w:left w:val="single" w:sz="8" w:space="0" w:color="BFBFBF"/>
              <w:bottom w:val="single" w:sz="8" w:space="0" w:color="BFBFBF"/>
              <w:right w:val="single" w:sz="8" w:space="0" w:color="BFBFBF"/>
            </w:tcBorders>
            <w:shd w:val="clear" w:color="000000" w:fill="0070C0"/>
            <w:vAlign w:val="center"/>
            <w:hideMark/>
          </w:tcPr>
          <w:p w14:paraId="49567D19" w14:textId="77777777" w:rsidR="007B6D19" w:rsidRPr="001F5175" w:rsidRDefault="007B6D19" w:rsidP="00CF00E4">
            <w:pPr>
              <w:bidi w:val="0"/>
              <w:rPr>
                <w:rFonts w:ascii="Calibri" w:hAnsi="Calibri" w:cs="Calibri"/>
                <w:color w:val="000000"/>
                <w:sz w:val="20"/>
                <w:szCs w:val="20"/>
              </w:rPr>
            </w:pPr>
            <w:r w:rsidRPr="001F5175">
              <w:rPr>
                <w:rFonts w:ascii="Calibri" w:hAnsi="Calibri" w:cs="Calibri"/>
                <w:color w:val="000000"/>
                <w:sz w:val="20"/>
                <w:szCs w:val="20"/>
              </w:rPr>
              <w:t> </w:t>
            </w:r>
          </w:p>
        </w:tc>
        <w:tc>
          <w:tcPr>
            <w:tcW w:w="1520" w:type="dxa"/>
            <w:tcBorders>
              <w:top w:val="single" w:sz="8" w:space="0" w:color="BFBFBF"/>
              <w:left w:val="nil"/>
              <w:bottom w:val="single" w:sz="8" w:space="0" w:color="BFBFBF"/>
              <w:right w:val="single" w:sz="8" w:space="0" w:color="BFBFBF"/>
            </w:tcBorders>
            <w:shd w:val="clear" w:color="000000" w:fill="0070C0"/>
            <w:vAlign w:val="center"/>
            <w:hideMark/>
          </w:tcPr>
          <w:p w14:paraId="160A1661" w14:textId="77777777" w:rsidR="007B6D19" w:rsidRPr="001F5175" w:rsidRDefault="007B6D19" w:rsidP="00CF00E4">
            <w:pPr>
              <w:bidi w:val="0"/>
              <w:rPr>
                <w:rFonts w:ascii="Calibri" w:hAnsi="Calibri" w:cs="Calibri"/>
                <w:color w:val="000000"/>
                <w:sz w:val="20"/>
                <w:szCs w:val="20"/>
              </w:rPr>
            </w:pPr>
            <w:r w:rsidRPr="001F5175">
              <w:rPr>
                <w:rFonts w:ascii="Calibri" w:hAnsi="Calibri" w:cs="Calibri"/>
                <w:color w:val="000000"/>
                <w:sz w:val="20"/>
                <w:szCs w:val="20"/>
              </w:rPr>
              <w:t> </w:t>
            </w:r>
          </w:p>
        </w:tc>
        <w:tc>
          <w:tcPr>
            <w:tcW w:w="4560" w:type="dxa"/>
            <w:gridSpan w:val="3"/>
            <w:tcBorders>
              <w:top w:val="single" w:sz="8" w:space="0" w:color="BFBFBF"/>
              <w:left w:val="nil"/>
              <w:bottom w:val="single" w:sz="8" w:space="0" w:color="BFBFBF"/>
              <w:right w:val="single" w:sz="8" w:space="0" w:color="BFBFBF"/>
            </w:tcBorders>
            <w:shd w:val="clear" w:color="000000" w:fill="0070C0"/>
            <w:vAlign w:val="center"/>
            <w:hideMark/>
          </w:tcPr>
          <w:p w14:paraId="1C09491A" w14:textId="77777777" w:rsidR="007B6D19" w:rsidRPr="001F5175" w:rsidRDefault="007B6D19" w:rsidP="00CF00E4">
            <w:pPr>
              <w:bidi w:val="0"/>
              <w:jc w:val="center"/>
              <w:rPr>
                <w:rFonts w:ascii="Calibri" w:hAnsi="Calibri" w:cs="Calibri"/>
                <w:color w:val="000000"/>
                <w:sz w:val="20"/>
                <w:szCs w:val="20"/>
              </w:rPr>
            </w:pPr>
            <w:r w:rsidRPr="001F5175">
              <w:rPr>
                <w:rFonts w:ascii="Calibri" w:hAnsi="Calibri" w:cs="Calibri"/>
                <w:color w:val="000000"/>
                <w:sz w:val="20"/>
                <w:szCs w:val="20"/>
              </w:rPr>
              <w:t>Relative share of total trading volume</w:t>
            </w:r>
          </w:p>
        </w:tc>
        <w:tc>
          <w:tcPr>
            <w:tcW w:w="1520" w:type="dxa"/>
            <w:tcBorders>
              <w:top w:val="single" w:sz="8" w:space="0" w:color="BFBFBF"/>
              <w:left w:val="nil"/>
              <w:bottom w:val="single" w:sz="8" w:space="0" w:color="BFBFBF"/>
              <w:right w:val="single" w:sz="8" w:space="0" w:color="BFBFBF"/>
            </w:tcBorders>
            <w:shd w:val="clear" w:color="000000" w:fill="0070C0"/>
            <w:vAlign w:val="center"/>
            <w:hideMark/>
          </w:tcPr>
          <w:p w14:paraId="2B463753" w14:textId="77777777" w:rsidR="007B6D19" w:rsidRPr="001F5175" w:rsidRDefault="007B6D19" w:rsidP="00CF00E4">
            <w:pPr>
              <w:bidi w:val="0"/>
              <w:rPr>
                <w:rFonts w:ascii="Calibri" w:hAnsi="Calibri" w:cs="Calibri"/>
                <w:color w:val="000000"/>
                <w:sz w:val="20"/>
                <w:szCs w:val="20"/>
              </w:rPr>
            </w:pPr>
            <w:r w:rsidRPr="001F5175">
              <w:rPr>
                <w:rFonts w:ascii="Calibri" w:hAnsi="Calibri" w:cs="Calibri"/>
                <w:color w:val="000000"/>
                <w:sz w:val="20"/>
                <w:szCs w:val="20"/>
              </w:rPr>
              <w:t> </w:t>
            </w:r>
          </w:p>
        </w:tc>
        <w:tc>
          <w:tcPr>
            <w:tcW w:w="1520" w:type="dxa"/>
            <w:tcBorders>
              <w:top w:val="single" w:sz="8" w:space="0" w:color="BFBFBF"/>
              <w:left w:val="nil"/>
              <w:bottom w:val="single" w:sz="8" w:space="0" w:color="BFBFBF"/>
              <w:right w:val="single" w:sz="8" w:space="0" w:color="BFBFBF"/>
            </w:tcBorders>
            <w:shd w:val="clear" w:color="000000" w:fill="0070C0"/>
            <w:vAlign w:val="center"/>
            <w:hideMark/>
          </w:tcPr>
          <w:p w14:paraId="3FC52C91" w14:textId="77777777" w:rsidR="007B6D19" w:rsidRPr="001F5175" w:rsidRDefault="007B6D19" w:rsidP="00CF00E4">
            <w:pPr>
              <w:bidi w:val="0"/>
              <w:rPr>
                <w:rFonts w:ascii="Calibri" w:hAnsi="Calibri" w:cs="Calibri"/>
                <w:color w:val="000000"/>
                <w:sz w:val="20"/>
                <w:szCs w:val="20"/>
              </w:rPr>
            </w:pPr>
            <w:r w:rsidRPr="001F5175">
              <w:rPr>
                <w:rFonts w:ascii="Calibri" w:hAnsi="Calibri" w:cs="Calibri"/>
                <w:color w:val="000000"/>
                <w:sz w:val="20"/>
                <w:szCs w:val="20"/>
              </w:rPr>
              <w:t> </w:t>
            </w:r>
          </w:p>
        </w:tc>
      </w:tr>
      <w:tr w:rsidR="007B6D19" w:rsidRPr="001F5175" w14:paraId="7A31DB9A" w14:textId="77777777" w:rsidTr="00CF00E4">
        <w:trPr>
          <w:trHeight w:val="1020"/>
        </w:trPr>
        <w:tc>
          <w:tcPr>
            <w:tcW w:w="1520" w:type="dxa"/>
            <w:tcBorders>
              <w:top w:val="nil"/>
              <w:left w:val="single" w:sz="8" w:space="0" w:color="BFBFBF"/>
              <w:bottom w:val="nil"/>
              <w:right w:val="single" w:sz="8" w:space="0" w:color="BFBFBF"/>
            </w:tcBorders>
            <w:shd w:val="clear" w:color="000000" w:fill="0070C0"/>
            <w:vAlign w:val="center"/>
            <w:hideMark/>
          </w:tcPr>
          <w:p w14:paraId="0D7E65F3" w14:textId="77777777" w:rsidR="007B6D19" w:rsidRPr="001F5175" w:rsidRDefault="007B6D19" w:rsidP="00CF00E4">
            <w:pPr>
              <w:bidi w:val="0"/>
              <w:rPr>
                <w:rFonts w:ascii="Calibri" w:hAnsi="Calibri" w:cs="Calibri"/>
                <w:color w:val="000000"/>
                <w:sz w:val="20"/>
                <w:szCs w:val="20"/>
              </w:rPr>
            </w:pPr>
            <w:r w:rsidRPr="001F5175">
              <w:rPr>
                <w:rFonts w:ascii="Calibri" w:hAnsi="Calibri" w:cs="Calibri"/>
                <w:color w:val="000000"/>
                <w:sz w:val="20"/>
                <w:szCs w:val="20"/>
              </w:rPr>
              <w:t> </w:t>
            </w:r>
          </w:p>
        </w:tc>
        <w:tc>
          <w:tcPr>
            <w:tcW w:w="1520" w:type="dxa"/>
            <w:tcBorders>
              <w:top w:val="nil"/>
              <w:left w:val="nil"/>
              <w:bottom w:val="nil"/>
              <w:right w:val="single" w:sz="8" w:space="0" w:color="BFBFBF"/>
            </w:tcBorders>
            <w:shd w:val="clear" w:color="000000" w:fill="0070C0"/>
            <w:vAlign w:val="center"/>
            <w:hideMark/>
          </w:tcPr>
          <w:p w14:paraId="4519E276" w14:textId="77777777" w:rsidR="007B6D19" w:rsidRPr="001F5175" w:rsidRDefault="007B6D19" w:rsidP="00CF00E4">
            <w:pPr>
              <w:bidi w:val="0"/>
              <w:rPr>
                <w:rFonts w:ascii="Calibri" w:hAnsi="Calibri" w:cs="Calibri"/>
                <w:color w:val="000000"/>
                <w:sz w:val="20"/>
                <w:szCs w:val="20"/>
              </w:rPr>
            </w:pPr>
            <w:r w:rsidRPr="001F5175">
              <w:rPr>
                <w:rFonts w:ascii="Calibri" w:hAnsi="Calibri" w:cs="Calibri"/>
                <w:color w:val="000000"/>
                <w:sz w:val="20"/>
                <w:szCs w:val="20"/>
              </w:rPr>
              <w:t> </w:t>
            </w:r>
          </w:p>
        </w:tc>
        <w:tc>
          <w:tcPr>
            <w:tcW w:w="1520" w:type="dxa"/>
            <w:tcBorders>
              <w:top w:val="nil"/>
              <w:left w:val="nil"/>
              <w:bottom w:val="nil"/>
              <w:right w:val="single" w:sz="8" w:space="0" w:color="BFBFBF"/>
            </w:tcBorders>
            <w:shd w:val="clear" w:color="000000" w:fill="0070C0"/>
            <w:vAlign w:val="center"/>
            <w:hideMark/>
          </w:tcPr>
          <w:p w14:paraId="0D1191C7" w14:textId="77777777" w:rsidR="007B6D19" w:rsidRPr="001F5175" w:rsidRDefault="007B6D19" w:rsidP="00CF00E4">
            <w:pPr>
              <w:bidi w:val="0"/>
              <w:rPr>
                <w:rFonts w:ascii="Calibri" w:hAnsi="Calibri" w:cs="Calibri"/>
                <w:color w:val="000000"/>
                <w:sz w:val="20"/>
                <w:szCs w:val="20"/>
              </w:rPr>
            </w:pPr>
            <w:r w:rsidRPr="001F5175">
              <w:rPr>
                <w:rFonts w:ascii="Calibri" w:hAnsi="Calibri" w:cs="Calibri"/>
                <w:color w:val="000000"/>
                <w:sz w:val="20"/>
                <w:szCs w:val="20"/>
              </w:rPr>
              <w:t>Trade between nonresidents</w:t>
            </w:r>
          </w:p>
        </w:tc>
        <w:tc>
          <w:tcPr>
            <w:tcW w:w="1520" w:type="dxa"/>
            <w:tcBorders>
              <w:top w:val="nil"/>
              <w:left w:val="nil"/>
              <w:bottom w:val="nil"/>
              <w:right w:val="single" w:sz="8" w:space="0" w:color="BFBFBF"/>
            </w:tcBorders>
            <w:shd w:val="clear" w:color="000000" w:fill="0070C0"/>
            <w:vAlign w:val="center"/>
            <w:hideMark/>
          </w:tcPr>
          <w:p w14:paraId="761228A7" w14:textId="77777777" w:rsidR="007B6D19" w:rsidRPr="001F5175" w:rsidRDefault="007B6D19" w:rsidP="00CF00E4">
            <w:pPr>
              <w:bidi w:val="0"/>
              <w:rPr>
                <w:rFonts w:ascii="Calibri" w:hAnsi="Calibri" w:cs="Calibri"/>
                <w:color w:val="000000"/>
                <w:sz w:val="20"/>
                <w:szCs w:val="20"/>
              </w:rPr>
            </w:pPr>
            <w:r w:rsidRPr="001F5175">
              <w:rPr>
                <w:rFonts w:ascii="Calibri" w:hAnsi="Calibri" w:cs="Calibri"/>
                <w:color w:val="000000"/>
                <w:sz w:val="20"/>
                <w:szCs w:val="20"/>
              </w:rPr>
              <w:t>Trade between a nonresident and a resident</w:t>
            </w:r>
            <w:r w:rsidRPr="001F5175">
              <w:rPr>
                <w:rFonts w:ascii="Calibri" w:hAnsi="Calibri" w:cs="Calibri"/>
                <w:color w:val="000000"/>
                <w:sz w:val="20"/>
                <w:szCs w:val="20"/>
                <w:vertAlign w:val="superscript"/>
              </w:rPr>
              <w:t>1</w:t>
            </w:r>
          </w:p>
        </w:tc>
        <w:tc>
          <w:tcPr>
            <w:tcW w:w="1520" w:type="dxa"/>
            <w:tcBorders>
              <w:top w:val="nil"/>
              <w:left w:val="nil"/>
              <w:bottom w:val="nil"/>
              <w:right w:val="single" w:sz="8" w:space="0" w:color="BFBFBF"/>
            </w:tcBorders>
            <w:shd w:val="clear" w:color="000000" w:fill="0070C0"/>
            <w:vAlign w:val="center"/>
            <w:hideMark/>
          </w:tcPr>
          <w:p w14:paraId="31AE72B3" w14:textId="77777777" w:rsidR="007B6D19" w:rsidRPr="001F5175" w:rsidRDefault="007B6D19" w:rsidP="00CF00E4">
            <w:pPr>
              <w:bidi w:val="0"/>
              <w:rPr>
                <w:rFonts w:ascii="Calibri" w:hAnsi="Calibri" w:cs="Calibri"/>
                <w:color w:val="000000"/>
                <w:sz w:val="20"/>
                <w:szCs w:val="20"/>
              </w:rPr>
            </w:pPr>
            <w:r w:rsidRPr="001F5175">
              <w:rPr>
                <w:rFonts w:ascii="Calibri" w:hAnsi="Calibri" w:cs="Calibri"/>
                <w:color w:val="000000"/>
                <w:sz w:val="20"/>
                <w:szCs w:val="20"/>
              </w:rPr>
              <w:t>Trade between the domestic banking system and residents</w:t>
            </w:r>
          </w:p>
        </w:tc>
        <w:tc>
          <w:tcPr>
            <w:tcW w:w="1520" w:type="dxa"/>
            <w:tcBorders>
              <w:top w:val="nil"/>
              <w:left w:val="nil"/>
              <w:bottom w:val="nil"/>
              <w:right w:val="single" w:sz="8" w:space="0" w:color="BFBFBF"/>
            </w:tcBorders>
            <w:shd w:val="clear" w:color="000000" w:fill="0070C0"/>
            <w:vAlign w:val="center"/>
            <w:hideMark/>
          </w:tcPr>
          <w:p w14:paraId="0C730363" w14:textId="77777777" w:rsidR="007B6D19" w:rsidRPr="001F5175" w:rsidRDefault="007B6D19" w:rsidP="00CF00E4">
            <w:pPr>
              <w:bidi w:val="0"/>
              <w:rPr>
                <w:rFonts w:ascii="Calibri" w:hAnsi="Calibri" w:cs="Calibri"/>
                <w:color w:val="000000"/>
                <w:sz w:val="20"/>
                <w:szCs w:val="20"/>
              </w:rPr>
            </w:pPr>
            <w:r w:rsidRPr="001F5175">
              <w:rPr>
                <w:rFonts w:ascii="Calibri" w:hAnsi="Calibri" w:cs="Calibri"/>
                <w:color w:val="000000"/>
                <w:sz w:val="20"/>
                <w:szCs w:val="20"/>
              </w:rPr>
              <w:t>Total volume ($ million)</w:t>
            </w:r>
          </w:p>
        </w:tc>
        <w:tc>
          <w:tcPr>
            <w:tcW w:w="1520" w:type="dxa"/>
            <w:tcBorders>
              <w:top w:val="nil"/>
              <w:left w:val="nil"/>
              <w:bottom w:val="nil"/>
              <w:right w:val="single" w:sz="8" w:space="0" w:color="BFBFBF"/>
            </w:tcBorders>
            <w:shd w:val="clear" w:color="000000" w:fill="0070C0"/>
            <w:vAlign w:val="center"/>
            <w:hideMark/>
          </w:tcPr>
          <w:p w14:paraId="3355B5F2" w14:textId="77777777" w:rsidR="007B6D19" w:rsidRPr="001F5175" w:rsidRDefault="007B6D19" w:rsidP="00CF00E4">
            <w:pPr>
              <w:bidi w:val="0"/>
              <w:rPr>
                <w:rFonts w:ascii="Calibri" w:hAnsi="Calibri" w:cs="Calibri"/>
                <w:color w:val="000000"/>
                <w:sz w:val="20"/>
                <w:szCs w:val="20"/>
              </w:rPr>
            </w:pPr>
            <w:r w:rsidRPr="001F5175">
              <w:rPr>
                <w:rFonts w:ascii="Calibri" w:hAnsi="Calibri" w:cs="Calibri"/>
                <w:color w:val="000000"/>
                <w:sz w:val="20"/>
                <w:szCs w:val="20"/>
              </w:rPr>
              <w:t>Daily average ($ million)</w:t>
            </w:r>
          </w:p>
        </w:tc>
      </w:tr>
      <w:tr w:rsidR="007B6D19" w:rsidRPr="001F5175" w14:paraId="3977AF08" w14:textId="77777777" w:rsidTr="00CF00E4">
        <w:trPr>
          <w:trHeight w:val="1035"/>
        </w:trPr>
        <w:tc>
          <w:tcPr>
            <w:tcW w:w="1520" w:type="dxa"/>
            <w:vMerge w:val="restart"/>
            <w:tcBorders>
              <w:top w:val="single" w:sz="4" w:space="0" w:color="auto"/>
              <w:left w:val="single" w:sz="4" w:space="0" w:color="auto"/>
              <w:bottom w:val="single" w:sz="8" w:space="0" w:color="000000"/>
              <w:right w:val="single" w:sz="8" w:space="0" w:color="BFBFBF"/>
            </w:tcBorders>
            <w:shd w:val="clear" w:color="000000" w:fill="DCE6F1"/>
            <w:vAlign w:val="center"/>
            <w:hideMark/>
          </w:tcPr>
          <w:p w14:paraId="65C2A937" w14:textId="77777777" w:rsidR="007B6D19" w:rsidRPr="001F5175" w:rsidRDefault="007B6D19" w:rsidP="00CF00E4">
            <w:pPr>
              <w:bidi w:val="0"/>
              <w:rPr>
                <w:rFonts w:ascii="Calibri" w:hAnsi="Calibri" w:cs="Calibri"/>
                <w:color w:val="000000"/>
                <w:sz w:val="20"/>
                <w:szCs w:val="20"/>
              </w:rPr>
            </w:pPr>
            <w:r w:rsidRPr="001F5175">
              <w:rPr>
                <w:rFonts w:ascii="Calibri" w:hAnsi="Calibri" w:cs="Calibri"/>
                <w:color w:val="000000"/>
                <w:sz w:val="20"/>
                <w:szCs w:val="20"/>
              </w:rPr>
              <w:t>2025-Q1</w:t>
            </w:r>
            <w:r w:rsidRPr="001F5175">
              <w:rPr>
                <w:rFonts w:ascii="Calibri" w:hAnsi="Calibri" w:cs="Calibri"/>
                <w:color w:val="000000"/>
                <w:sz w:val="20"/>
                <w:szCs w:val="20"/>
              </w:rPr>
              <w:br/>
              <w:t>(Tentative figure)</w:t>
            </w:r>
          </w:p>
        </w:tc>
        <w:tc>
          <w:tcPr>
            <w:tcW w:w="1520" w:type="dxa"/>
            <w:tcBorders>
              <w:top w:val="single" w:sz="4" w:space="0" w:color="auto"/>
              <w:left w:val="nil"/>
              <w:bottom w:val="single" w:sz="8" w:space="0" w:color="BFBFBF"/>
              <w:right w:val="single" w:sz="8" w:space="0" w:color="BFBFBF"/>
            </w:tcBorders>
            <w:shd w:val="clear" w:color="000000" w:fill="DCE6F1"/>
            <w:vAlign w:val="center"/>
            <w:hideMark/>
          </w:tcPr>
          <w:p w14:paraId="77E28FFF" w14:textId="77777777" w:rsidR="007B6D19" w:rsidRPr="001F5175" w:rsidRDefault="007B6D19" w:rsidP="00CF00E4">
            <w:pPr>
              <w:bidi w:val="0"/>
              <w:rPr>
                <w:rFonts w:ascii="Calibri" w:hAnsi="Calibri" w:cs="Calibri"/>
                <w:color w:val="000000"/>
                <w:sz w:val="20"/>
                <w:szCs w:val="20"/>
              </w:rPr>
            </w:pPr>
            <w:r w:rsidRPr="001F5175">
              <w:rPr>
                <w:rFonts w:ascii="Calibri" w:hAnsi="Calibri" w:cs="Calibri"/>
                <w:color w:val="000000"/>
                <w:sz w:val="20"/>
                <w:szCs w:val="20"/>
              </w:rPr>
              <w:t>Trading volume in spot and forward transactions</w:t>
            </w:r>
          </w:p>
        </w:tc>
        <w:tc>
          <w:tcPr>
            <w:tcW w:w="1520" w:type="dxa"/>
            <w:tcBorders>
              <w:top w:val="nil"/>
              <w:left w:val="single" w:sz="8" w:space="0" w:color="9CC2E5"/>
              <w:bottom w:val="single" w:sz="8" w:space="0" w:color="4F81BD"/>
              <w:right w:val="nil"/>
            </w:tcBorders>
            <w:shd w:val="clear" w:color="000000" w:fill="DEEAF6"/>
            <w:vAlign w:val="center"/>
            <w:hideMark/>
          </w:tcPr>
          <w:p w14:paraId="49BB34DA" w14:textId="77777777" w:rsidR="007B6D19" w:rsidRPr="001F5175" w:rsidRDefault="007B6D19" w:rsidP="00CF00E4">
            <w:pPr>
              <w:jc w:val="center"/>
              <w:rPr>
                <w:rFonts w:ascii="Calibri" w:hAnsi="Calibri" w:cs="Calibri"/>
                <w:sz w:val="22"/>
                <w:szCs w:val="22"/>
              </w:rPr>
            </w:pPr>
            <w:r w:rsidRPr="001F5175">
              <w:rPr>
                <w:rFonts w:ascii="Calibri" w:hAnsi="Calibri" w:cs="Calibri"/>
                <w:sz w:val="22"/>
                <w:szCs w:val="22"/>
                <w:rtl/>
              </w:rPr>
              <w:t>74.1%</w:t>
            </w:r>
          </w:p>
        </w:tc>
        <w:tc>
          <w:tcPr>
            <w:tcW w:w="1520" w:type="dxa"/>
            <w:tcBorders>
              <w:top w:val="nil"/>
              <w:left w:val="single" w:sz="8" w:space="0" w:color="9CC2E5"/>
              <w:bottom w:val="single" w:sz="8" w:space="0" w:color="4F81BD"/>
              <w:right w:val="nil"/>
            </w:tcBorders>
            <w:shd w:val="clear" w:color="000000" w:fill="DEEAF6"/>
            <w:vAlign w:val="center"/>
            <w:hideMark/>
          </w:tcPr>
          <w:p w14:paraId="2DE77BEB"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9.3%</w:t>
            </w:r>
          </w:p>
        </w:tc>
        <w:tc>
          <w:tcPr>
            <w:tcW w:w="1520" w:type="dxa"/>
            <w:tcBorders>
              <w:top w:val="nil"/>
              <w:left w:val="single" w:sz="8" w:space="0" w:color="9CC2E5"/>
              <w:bottom w:val="single" w:sz="8" w:space="0" w:color="4F81BD"/>
              <w:right w:val="nil"/>
            </w:tcBorders>
            <w:shd w:val="clear" w:color="000000" w:fill="DEEAF6"/>
            <w:vAlign w:val="center"/>
            <w:hideMark/>
          </w:tcPr>
          <w:p w14:paraId="2489AF5A"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16.6%</w:t>
            </w:r>
          </w:p>
        </w:tc>
        <w:tc>
          <w:tcPr>
            <w:tcW w:w="1520" w:type="dxa"/>
            <w:tcBorders>
              <w:top w:val="nil"/>
              <w:left w:val="single" w:sz="8" w:space="0" w:color="9CC2E5"/>
              <w:bottom w:val="single" w:sz="8" w:space="0" w:color="4F81BD"/>
              <w:right w:val="nil"/>
            </w:tcBorders>
            <w:shd w:val="clear" w:color="000000" w:fill="DEEAF6"/>
            <w:vAlign w:val="center"/>
            <w:hideMark/>
          </w:tcPr>
          <w:p w14:paraId="5118E663"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793,206</w:t>
            </w:r>
          </w:p>
        </w:tc>
        <w:tc>
          <w:tcPr>
            <w:tcW w:w="1520" w:type="dxa"/>
            <w:tcBorders>
              <w:top w:val="nil"/>
              <w:left w:val="single" w:sz="8" w:space="0" w:color="9CC2E5"/>
              <w:bottom w:val="single" w:sz="8" w:space="0" w:color="4F81BD"/>
              <w:right w:val="nil"/>
            </w:tcBorders>
            <w:shd w:val="clear" w:color="000000" w:fill="DEEAF6"/>
            <w:vAlign w:val="center"/>
            <w:hideMark/>
          </w:tcPr>
          <w:p w14:paraId="434B43E0"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12,794</w:t>
            </w:r>
          </w:p>
        </w:tc>
      </w:tr>
      <w:tr w:rsidR="007B6D19" w:rsidRPr="001F5175" w14:paraId="6F7384C4" w14:textId="77777777" w:rsidTr="00CF00E4">
        <w:trPr>
          <w:trHeight w:val="1035"/>
        </w:trPr>
        <w:tc>
          <w:tcPr>
            <w:tcW w:w="1520" w:type="dxa"/>
            <w:vMerge/>
            <w:tcBorders>
              <w:top w:val="single" w:sz="4" w:space="0" w:color="auto"/>
              <w:left w:val="single" w:sz="4" w:space="0" w:color="auto"/>
              <w:bottom w:val="single" w:sz="8" w:space="0" w:color="000000"/>
              <w:right w:val="single" w:sz="8" w:space="0" w:color="BFBFBF"/>
            </w:tcBorders>
            <w:vAlign w:val="center"/>
            <w:hideMark/>
          </w:tcPr>
          <w:p w14:paraId="3F82AAC3" w14:textId="77777777" w:rsidR="007B6D19" w:rsidRPr="001F5175" w:rsidRDefault="007B6D19" w:rsidP="00CF00E4">
            <w:pPr>
              <w:bidi w:val="0"/>
              <w:rPr>
                <w:rFonts w:ascii="Calibri" w:hAnsi="Calibri" w:cs="Calibri"/>
                <w:color w:val="000000"/>
                <w:sz w:val="20"/>
                <w:szCs w:val="20"/>
              </w:rPr>
            </w:pPr>
          </w:p>
        </w:tc>
        <w:tc>
          <w:tcPr>
            <w:tcW w:w="1520" w:type="dxa"/>
            <w:tcBorders>
              <w:top w:val="nil"/>
              <w:left w:val="nil"/>
              <w:bottom w:val="single" w:sz="8" w:space="0" w:color="auto"/>
              <w:right w:val="single" w:sz="8" w:space="0" w:color="BFBFBF"/>
            </w:tcBorders>
            <w:shd w:val="clear" w:color="000000" w:fill="DCE6F1"/>
            <w:vAlign w:val="center"/>
            <w:hideMark/>
          </w:tcPr>
          <w:p w14:paraId="12DDC10D" w14:textId="77777777" w:rsidR="007B6D19" w:rsidRPr="001F5175" w:rsidRDefault="007B6D19" w:rsidP="00CF00E4">
            <w:pPr>
              <w:bidi w:val="0"/>
              <w:rPr>
                <w:rFonts w:ascii="Calibri" w:hAnsi="Calibri" w:cs="Calibri"/>
                <w:color w:val="000000"/>
                <w:sz w:val="20"/>
                <w:szCs w:val="20"/>
                <w:rtl/>
              </w:rPr>
            </w:pPr>
            <w:r w:rsidRPr="001F5175">
              <w:rPr>
                <w:rFonts w:ascii="Calibri" w:hAnsi="Calibri" w:cs="Calibri"/>
                <w:color w:val="000000"/>
                <w:sz w:val="20"/>
                <w:szCs w:val="20"/>
              </w:rPr>
              <w:t>Trading volume in swap and options transactions</w:t>
            </w:r>
          </w:p>
        </w:tc>
        <w:tc>
          <w:tcPr>
            <w:tcW w:w="1520" w:type="dxa"/>
            <w:tcBorders>
              <w:top w:val="nil"/>
              <w:left w:val="single" w:sz="8" w:space="0" w:color="9CC2E5"/>
              <w:bottom w:val="single" w:sz="12" w:space="0" w:color="auto"/>
              <w:right w:val="nil"/>
            </w:tcBorders>
            <w:shd w:val="clear" w:color="000000" w:fill="DEEAF6"/>
            <w:vAlign w:val="center"/>
            <w:hideMark/>
          </w:tcPr>
          <w:p w14:paraId="6043CAC4" w14:textId="77777777" w:rsidR="007B6D19" w:rsidRPr="001F5175" w:rsidRDefault="007B6D19" w:rsidP="00CF00E4">
            <w:pPr>
              <w:jc w:val="center"/>
              <w:rPr>
                <w:rFonts w:ascii="Calibri" w:hAnsi="Calibri" w:cs="Calibri"/>
                <w:sz w:val="22"/>
                <w:szCs w:val="22"/>
              </w:rPr>
            </w:pPr>
            <w:r w:rsidRPr="001F5175">
              <w:rPr>
                <w:rFonts w:ascii="Calibri" w:hAnsi="Calibri" w:cs="Calibri"/>
                <w:sz w:val="22"/>
                <w:szCs w:val="22"/>
                <w:rtl/>
              </w:rPr>
              <w:t>49.0%</w:t>
            </w:r>
          </w:p>
        </w:tc>
        <w:tc>
          <w:tcPr>
            <w:tcW w:w="1520" w:type="dxa"/>
            <w:tcBorders>
              <w:top w:val="nil"/>
              <w:left w:val="single" w:sz="8" w:space="0" w:color="9CC2E5"/>
              <w:bottom w:val="single" w:sz="12" w:space="0" w:color="auto"/>
              <w:right w:val="nil"/>
            </w:tcBorders>
            <w:shd w:val="clear" w:color="000000" w:fill="DEEAF6"/>
            <w:vAlign w:val="center"/>
            <w:hideMark/>
          </w:tcPr>
          <w:p w14:paraId="23C6A024"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24.8%</w:t>
            </w:r>
          </w:p>
        </w:tc>
        <w:tc>
          <w:tcPr>
            <w:tcW w:w="1520" w:type="dxa"/>
            <w:tcBorders>
              <w:top w:val="nil"/>
              <w:left w:val="single" w:sz="8" w:space="0" w:color="9CC2E5"/>
              <w:bottom w:val="single" w:sz="12" w:space="0" w:color="auto"/>
              <w:right w:val="nil"/>
            </w:tcBorders>
            <w:shd w:val="clear" w:color="000000" w:fill="DEEAF6"/>
            <w:vAlign w:val="center"/>
            <w:hideMark/>
          </w:tcPr>
          <w:p w14:paraId="15FA3DE0"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26.1%</w:t>
            </w:r>
          </w:p>
        </w:tc>
        <w:tc>
          <w:tcPr>
            <w:tcW w:w="1520" w:type="dxa"/>
            <w:tcBorders>
              <w:top w:val="nil"/>
              <w:left w:val="single" w:sz="8" w:space="0" w:color="9CC2E5"/>
              <w:bottom w:val="single" w:sz="12" w:space="0" w:color="auto"/>
              <w:right w:val="nil"/>
            </w:tcBorders>
            <w:shd w:val="clear" w:color="000000" w:fill="DEEAF6"/>
            <w:vAlign w:val="center"/>
            <w:hideMark/>
          </w:tcPr>
          <w:p w14:paraId="3C248814"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1,211,096</w:t>
            </w:r>
          </w:p>
        </w:tc>
        <w:tc>
          <w:tcPr>
            <w:tcW w:w="1520" w:type="dxa"/>
            <w:tcBorders>
              <w:top w:val="nil"/>
              <w:left w:val="single" w:sz="8" w:space="0" w:color="9CC2E5"/>
              <w:bottom w:val="single" w:sz="12" w:space="0" w:color="auto"/>
              <w:right w:val="nil"/>
            </w:tcBorders>
            <w:shd w:val="clear" w:color="000000" w:fill="DEEAF6"/>
            <w:vAlign w:val="center"/>
            <w:hideMark/>
          </w:tcPr>
          <w:p w14:paraId="6085289A"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19,534</w:t>
            </w:r>
          </w:p>
        </w:tc>
      </w:tr>
      <w:tr w:rsidR="007B6D19" w:rsidRPr="001F5175" w14:paraId="39A777DC" w14:textId="77777777" w:rsidTr="00CF00E4">
        <w:trPr>
          <w:trHeight w:val="1035"/>
        </w:trPr>
        <w:tc>
          <w:tcPr>
            <w:tcW w:w="1520" w:type="dxa"/>
            <w:vMerge w:val="restart"/>
            <w:tcBorders>
              <w:top w:val="nil"/>
              <w:left w:val="single" w:sz="4" w:space="0" w:color="auto"/>
              <w:bottom w:val="single" w:sz="4" w:space="0" w:color="000000"/>
              <w:right w:val="single" w:sz="8" w:space="0" w:color="BFBFBF"/>
            </w:tcBorders>
            <w:shd w:val="clear" w:color="000000" w:fill="DCE6F1"/>
            <w:vAlign w:val="center"/>
            <w:hideMark/>
          </w:tcPr>
          <w:p w14:paraId="3DB957D4" w14:textId="77777777" w:rsidR="007B6D19" w:rsidRPr="001F5175" w:rsidRDefault="007B6D19" w:rsidP="00CF00E4">
            <w:pPr>
              <w:bidi w:val="0"/>
              <w:rPr>
                <w:rFonts w:ascii="Calibri" w:hAnsi="Calibri" w:cs="Calibri"/>
                <w:color w:val="000000"/>
                <w:sz w:val="20"/>
                <w:szCs w:val="20"/>
                <w:rtl/>
              </w:rPr>
            </w:pPr>
            <w:r w:rsidRPr="001F5175">
              <w:rPr>
                <w:rFonts w:ascii="Calibri" w:hAnsi="Calibri" w:cs="Calibri"/>
                <w:color w:val="000000"/>
                <w:sz w:val="20"/>
                <w:szCs w:val="20"/>
              </w:rPr>
              <w:t>2024- Q4</w:t>
            </w:r>
          </w:p>
        </w:tc>
        <w:tc>
          <w:tcPr>
            <w:tcW w:w="1520" w:type="dxa"/>
            <w:tcBorders>
              <w:top w:val="nil"/>
              <w:left w:val="nil"/>
              <w:bottom w:val="single" w:sz="8" w:space="0" w:color="BFBFBF"/>
              <w:right w:val="single" w:sz="8" w:space="0" w:color="BFBFBF"/>
            </w:tcBorders>
            <w:shd w:val="clear" w:color="000000" w:fill="DCE6F1"/>
            <w:vAlign w:val="center"/>
            <w:hideMark/>
          </w:tcPr>
          <w:p w14:paraId="0A6B26FA" w14:textId="77777777" w:rsidR="007B6D19" w:rsidRPr="001F5175" w:rsidRDefault="007B6D19" w:rsidP="00CF00E4">
            <w:pPr>
              <w:bidi w:val="0"/>
              <w:rPr>
                <w:rFonts w:ascii="Calibri" w:hAnsi="Calibri" w:cs="Calibri"/>
                <w:color w:val="000000"/>
                <w:sz w:val="20"/>
                <w:szCs w:val="20"/>
              </w:rPr>
            </w:pPr>
            <w:r w:rsidRPr="001F5175">
              <w:rPr>
                <w:rFonts w:ascii="Calibri" w:hAnsi="Calibri" w:cs="Calibri"/>
                <w:color w:val="000000"/>
                <w:sz w:val="20"/>
                <w:szCs w:val="20"/>
              </w:rPr>
              <w:t>Trading volume in spot and forward transactions</w:t>
            </w:r>
          </w:p>
        </w:tc>
        <w:tc>
          <w:tcPr>
            <w:tcW w:w="1520" w:type="dxa"/>
            <w:tcBorders>
              <w:top w:val="nil"/>
              <w:left w:val="single" w:sz="8" w:space="0" w:color="9CC2E5"/>
              <w:bottom w:val="single" w:sz="8" w:space="0" w:color="4F81BD"/>
              <w:right w:val="nil"/>
            </w:tcBorders>
            <w:shd w:val="clear" w:color="000000" w:fill="DEEAF6"/>
            <w:vAlign w:val="center"/>
            <w:hideMark/>
          </w:tcPr>
          <w:p w14:paraId="4BC2F8D2" w14:textId="77777777" w:rsidR="007B6D19" w:rsidRPr="001F5175" w:rsidRDefault="007B6D19" w:rsidP="00CF00E4">
            <w:pPr>
              <w:jc w:val="center"/>
              <w:rPr>
                <w:rFonts w:ascii="Calibri" w:hAnsi="Calibri" w:cs="Calibri"/>
                <w:sz w:val="22"/>
                <w:szCs w:val="22"/>
              </w:rPr>
            </w:pPr>
            <w:r w:rsidRPr="001F5175">
              <w:rPr>
                <w:rFonts w:ascii="Calibri" w:hAnsi="Calibri" w:cs="Calibri"/>
                <w:sz w:val="22"/>
                <w:szCs w:val="22"/>
                <w:rtl/>
              </w:rPr>
              <w:t>77.1%</w:t>
            </w:r>
          </w:p>
        </w:tc>
        <w:tc>
          <w:tcPr>
            <w:tcW w:w="1520" w:type="dxa"/>
            <w:tcBorders>
              <w:top w:val="nil"/>
              <w:left w:val="single" w:sz="8" w:space="0" w:color="9CC2E5"/>
              <w:bottom w:val="single" w:sz="8" w:space="0" w:color="4F81BD"/>
              <w:right w:val="nil"/>
            </w:tcBorders>
            <w:shd w:val="clear" w:color="000000" w:fill="DEEAF6"/>
            <w:vAlign w:val="center"/>
            <w:hideMark/>
          </w:tcPr>
          <w:p w14:paraId="11D06C61"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9.0%</w:t>
            </w:r>
          </w:p>
        </w:tc>
        <w:tc>
          <w:tcPr>
            <w:tcW w:w="1520" w:type="dxa"/>
            <w:tcBorders>
              <w:top w:val="nil"/>
              <w:left w:val="single" w:sz="8" w:space="0" w:color="9CC2E5"/>
              <w:bottom w:val="single" w:sz="8" w:space="0" w:color="4F81BD"/>
              <w:right w:val="nil"/>
            </w:tcBorders>
            <w:shd w:val="clear" w:color="000000" w:fill="DEEAF6"/>
            <w:vAlign w:val="center"/>
            <w:hideMark/>
          </w:tcPr>
          <w:p w14:paraId="03DA81C9"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13.9%</w:t>
            </w:r>
          </w:p>
        </w:tc>
        <w:tc>
          <w:tcPr>
            <w:tcW w:w="1520" w:type="dxa"/>
            <w:tcBorders>
              <w:top w:val="nil"/>
              <w:left w:val="single" w:sz="8" w:space="0" w:color="9CC2E5"/>
              <w:bottom w:val="single" w:sz="8" w:space="0" w:color="4F81BD"/>
              <w:right w:val="nil"/>
            </w:tcBorders>
            <w:shd w:val="clear" w:color="000000" w:fill="DEEAF6"/>
            <w:vAlign w:val="center"/>
            <w:hideMark/>
          </w:tcPr>
          <w:p w14:paraId="70B1A680"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568,113</w:t>
            </w:r>
          </w:p>
        </w:tc>
        <w:tc>
          <w:tcPr>
            <w:tcW w:w="1520" w:type="dxa"/>
            <w:tcBorders>
              <w:top w:val="nil"/>
              <w:left w:val="single" w:sz="8" w:space="0" w:color="9CC2E5"/>
              <w:bottom w:val="single" w:sz="8" w:space="0" w:color="4F81BD"/>
              <w:right w:val="nil"/>
            </w:tcBorders>
            <w:shd w:val="clear" w:color="000000" w:fill="DEEAF6"/>
            <w:vAlign w:val="center"/>
            <w:hideMark/>
          </w:tcPr>
          <w:p w14:paraId="6A4D7C53"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9,629</w:t>
            </w:r>
          </w:p>
        </w:tc>
      </w:tr>
      <w:tr w:rsidR="007B6D19" w:rsidRPr="001F5175" w14:paraId="0C29E5CA" w14:textId="77777777" w:rsidTr="00CF00E4">
        <w:trPr>
          <w:trHeight w:val="765"/>
        </w:trPr>
        <w:tc>
          <w:tcPr>
            <w:tcW w:w="1520" w:type="dxa"/>
            <w:vMerge/>
            <w:tcBorders>
              <w:top w:val="nil"/>
              <w:left w:val="single" w:sz="4" w:space="0" w:color="auto"/>
              <w:bottom w:val="single" w:sz="4" w:space="0" w:color="000000"/>
              <w:right w:val="single" w:sz="8" w:space="0" w:color="BFBFBF"/>
            </w:tcBorders>
            <w:vAlign w:val="center"/>
            <w:hideMark/>
          </w:tcPr>
          <w:p w14:paraId="68AE087D" w14:textId="77777777" w:rsidR="007B6D19" w:rsidRPr="001F5175" w:rsidRDefault="007B6D19" w:rsidP="00CF00E4">
            <w:pPr>
              <w:bidi w:val="0"/>
              <w:rPr>
                <w:rFonts w:ascii="Calibri" w:hAnsi="Calibri" w:cs="Calibri"/>
                <w:color w:val="000000"/>
                <w:sz w:val="20"/>
                <w:szCs w:val="20"/>
              </w:rPr>
            </w:pPr>
          </w:p>
        </w:tc>
        <w:tc>
          <w:tcPr>
            <w:tcW w:w="1520" w:type="dxa"/>
            <w:tcBorders>
              <w:top w:val="nil"/>
              <w:left w:val="nil"/>
              <w:bottom w:val="single" w:sz="4" w:space="0" w:color="auto"/>
              <w:right w:val="single" w:sz="8" w:space="0" w:color="BFBFBF"/>
            </w:tcBorders>
            <w:shd w:val="clear" w:color="000000" w:fill="DCE6F1"/>
            <w:vAlign w:val="center"/>
            <w:hideMark/>
          </w:tcPr>
          <w:p w14:paraId="77888DE1" w14:textId="77777777" w:rsidR="007B6D19" w:rsidRPr="001F5175" w:rsidRDefault="007B6D19" w:rsidP="00CF00E4">
            <w:pPr>
              <w:bidi w:val="0"/>
              <w:rPr>
                <w:rFonts w:ascii="Calibri" w:hAnsi="Calibri" w:cs="Calibri"/>
                <w:color w:val="000000"/>
                <w:sz w:val="20"/>
                <w:szCs w:val="20"/>
                <w:rtl/>
              </w:rPr>
            </w:pPr>
            <w:r w:rsidRPr="001F5175">
              <w:rPr>
                <w:rFonts w:ascii="Calibri" w:hAnsi="Calibri" w:cs="Calibri"/>
                <w:color w:val="000000"/>
                <w:sz w:val="20"/>
                <w:szCs w:val="20"/>
              </w:rPr>
              <w:t>Trading volume in swap and options transactions</w:t>
            </w:r>
          </w:p>
        </w:tc>
        <w:tc>
          <w:tcPr>
            <w:tcW w:w="1520" w:type="dxa"/>
            <w:tcBorders>
              <w:top w:val="nil"/>
              <w:left w:val="single" w:sz="8" w:space="0" w:color="9CC2E5"/>
              <w:bottom w:val="nil"/>
              <w:right w:val="nil"/>
            </w:tcBorders>
            <w:shd w:val="clear" w:color="000000" w:fill="DEEAF6"/>
            <w:vAlign w:val="center"/>
            <w:hideMark/>
          </w:tcPr>
          <w:p w14:paraId="4CB7F536" w14:textId="77777777" w:rsidR="007B6D19" w:rsidRPr="001F5175" w:rsidRDefault="007B6D19" w:rsidP="00CF00E4">
            <w:pPr>
              <w:jc w:val="center"/>
              <w:rPr>
                <w:rFonts w:ascii="Calibri" w:hAnsi="Calibri" w:cs="Calibri"/>
                <w:sz w:val="22"/>
                <w:szCs w:val="22"/>
              </w:rPr>
            </w:pPr>
            <w:r w:rsidRPr="001F5175">
              <w:rPr>
                <w:rFonts w:ascii="Calibri" w:hAnsi="Calibri" w:cs="Calibri"/>
                <w:sz w:val="22"/>
                <w:szCs w:val="22"/>
                <w:rtl/>
              </w:rPr>
              <w:t>49.4%</w:t>
            </w:r>
          </w:p>
        </w:tc>
        <w:tc>
          <w:tcPr>
            <w:tcW w:w="1520" w:type="dxa"/>
            <w:tcBorders>
              <w:top w:val="nil"/>
              <w:left w:val="single" w:sz="8" w:space="0" w:color="9CC2E5"/>
              <w:bottom w:val="nil"/>
              <w:right w:val="nil"/>
            </w:tcBorders>
            <w:shd w:val="clear" w:color="000000" w:fill="DEEAF6"/>
            <w:vAlign w:val="center"/>
            <w:hideMark/>
          </w:tcPr>
          <w:p w14:paraId="4846F7DA"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24.0%</w:t>
            </w:r>
          </w:p>
        </w:tc>
        <w:tc>
          <w:tcPr>
            <w:tcW w:w="1520" w:type="dxa"/>
            <w:tcBorders>
              <w:top w:val="nil"/>
              <w:left w:val="single" w:sz="8" w:space="0" w:color="9CC2E5"/>
              <w:bottom w:val="nil"/>
              <w:right w:val="nil"/>
            </w:tcBorders>
            <w:shd w:val="clear" w:color="000000" w:fill="DEEAF6"/>
            <w:vAlign w:val="center"/>
            <w:hideMark/>
          </w:tcPr>
          <w:p w14:paraId="659F3ADD"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26.6%</w:t>
            </w:r>
          </w:p>
        </w:tc>
        <w:tc>
          <w:tcPr>
            <w:tcW w:w="1520" w:type="dxa"/>
            <w:tcBorders>
              <w:top w:val="nil"/>
              <w:left w:val="single" w:sz="8" w:space="0" w:color="9CC2E5"/>
              <w:bottom w:val="nil"/>
              <w:right w:val="nil"/>
            </w:tcBorders>
            <w:shd w:val="clear" w:color="000000" w:fill="DEEAF6"/>
            <w:vAlign w:val="center"/>
            <w:hideMark/>
          </w:tcPr>
          <w:p w14:paraId="28A213DE"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902,726</w:t>
            </w:r>
          </w:p>
        </w:tc>
        <w:tc>
          <w:tcPr>
            <w:tcW w:w="1520" w:type="dxa"/>
            <w:tcBorders>
              <w:top w:val="nil"/>
              <w:left w:val="single" w:sz="8" w:space="0" w:color="9CC2E5"/>
              <w:bottom w:val="nil"/>
              <w:right w:val="nil"/>
            </w:tcBorders>
            <w:shd w:val="clear" w:color="000000" w:fill="DEEAF6"/>
            <w:vAlign w:val="center"/>
            <w:hideMark/>
          </w:tcPr>
          <w:p w14:paraId="6CE0EE7B" w14:textId="77777777" w:rsidR="007B6D19" w:rsidRPr="001F5175" w:rsidRDefault="007B6D19" w:rsidP="00CF00E4">
            <w:pPr>
              <w:jc w:val="center"/>
              <w:rPr>
                <w:rFonts w:ascii="Calibri" w:hAnsi="Calibri" w:cs="Calibri"/>
                <w:sz w:val="22"/>
                <w:szCs w:val="22"/>
                <w:rtl/>
              </w:rPr>
            </w:pPr>
            <w:r w:rsidRPr="001F5175">
              <w:rPr>
                <w:rFonts w:ascii="Calibri" w:hAnsi="Calibri" w:cs="Calibri"/>
                <w:sz w:val="22"/>
                <w:szCs w:val="22"/>
                <w:rtl/>
              </w:rPr>
              <w:t>15,300</w:t>
            </w:r>
          </w:p>
        </w:tc>
      </w:tr>
      <w:tr w:rsidR="007B6D19" w:rsidRPr="001F5175" w14:paraId="3061B0AA" w14:textId="77777777" w:rsidTr="00CF00E4">
        <w:trPr>
          <w:trHeight w:val="990"/>
        </w:trPr>
        <w:tc>
          <w:tcPr>
            <w:tcW w:w="10640" w:type="dxa"/>
            <w:gridSpan w:val="7"/>
            <w:tcBorders>
              <w:top w:val="single" w:sz="4" w:space="0" w:color="auto"/>
              <w:left w:val="nil"/>
              <w:bottom w:val="nil"/>
              <w:right w:val="nil"/>
            </w:tcBorders>
            <w:shd w:val="clear" w:color="000000" w:fill="FFFFFF"/>
            <w:vAlign w:val="bottom"/>
            <w:hideMark/>
          </w:tcPr>
          <w:p w14:paraId="3E6128A9" w14:textId="77777777" w:rsidR="007B6D19" w:rsidRPr="001F5175" w:rsidRDefault="007B6D19" w:rsidP="00CF00E4">
            <w:pPr>
              <w:bidi w:val="0"/>
              <w:rPr>
                <w:rFonts w:ascii="Calibri" w:hAnsi="Calibri" w:cs="Calibri"/>
                <w:color w:val="000000"/>
                <w:sz w:val="20"/>
                <w:szCs w:val="20"/>
                <w:rtl/>
              </w:rPr>
            </w:pPr>
            <w:r w:rsidRPr="001F5175">
              <w:rPr>
                <w:rFonts w:ascii="Calibri" w:hAnsi="Calibri" w:cs="Calibri"/>
                <w:color w:val="000000"/>
                <w:sz w:val="20"/>
                <w:szCs w:val="20"/>
                <w:vertAlign w:val="superscript"/>
              </w:rPr>
              <w:t>1</w:t>
            </w:r>
            <w:r w:rsidRPr="001F5175">
              <w:rPr>
                <w:rFonts w:ascii="Calibri" w:hAnsi="Calibri" w:cs="Calibri"/>
                <w:color w:val="000000"/>
                <w:sz w:val="20"/>
                <w:szCs w:val="20"/>
              </w:rPr>
              <w:t xml:space="preserve"> Trade between a nonresident and a resident includes: (a) reports by foreign reporting entities regarding transactions with residents</w:t>
            </w:r>
            <w:proofErr w:type="gramStart"/>
            <w:r w:rsidRPr="001F5175">
              <w:rPr>
                <w:rFonts w:ascii="Calibri" w:hAnsi="Calibri" w:cs="Calibri"/>
                <w:color w:val="000000"/>
                <w:sz w:val="20"/>
                <w:szCs w:val="20"/>
              </w:rPr>
              <w:t>;</w:t>
            </w:r>
            <w:proofErr w:type="gramEnd"/>
            <w:r w:rsidRPr="001F5175">
              <w:rPr>
                <w:rFonts w:ascii="Calibri" w:hAnsi="Calibri" w:cs="Calibri"/>
                <w:color w:val="000000"/>
                <w:sz w:val="20"/>
                <w:szCs w:val="20"/>
              </w:rPr>
              <w:t xml:space="preserve"> and (b) reports by domestic banks regarding transactions with nonresidents.</w:t>
            </w:r>
          </w:p>
        </w:tc>
      </w:tr>
    </w:tbl>
    <w:p w14:paraId="2EC3385C" w14:textId="77777777" w:rsidR="007B6D19" w:rsidRPr="001F5175" w:rsidRDefault="007B6D19" w:rsidP="007B6D19">
      <w:pPr>
        <w:bidi w:val="0"/>
        <w:rPr>
          <w:rFonts w:ascii="Calibri" w:hAnsi="Calibri" w:cs="Calibri"/>
        </w:rPr>
      </w:pPr>
    </w:p>
    <w:p w14:paraId="792414DE" w14:textId="4D032460" w:rsidR="00D80DD5" w:rsidRPr="001F5175" w:rsidRDefault="00D80DD5" w:rsidP="00451EEC">
      <w:pPr>
        <w:bidi w:val="0"/>
        <w:rPr>
          <w:rFonts w:ascii="Calibri" w:hAnsi="Calibri" w:cs="Calibri"/>
        </w:rPr>
      </w:pPr>
    </w:p>
    <w:sectPr w:rsidR="00D80DD5" w:rsidRPr="001F5175" w:rsidSect="005D39B6">
      <w:pgSz w:w="11906" w:h="16838"/>
      <w:pgMar w:top="1135" w:right="1416" w:bottom="1135" w:left="1276" w:header="397" w:footer="39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30093" w14:textId="77777777" w:rsidR="000138F5" w:rsidRDefault="000138F5" w:rsidP="00E64B36">
      <w:r>
        <w:separator/>
      </w:r>
    </w:p>
  </w:endnote>
  <w:endnote w:type="continuationSeparator" w:id="0">
    <w:p w14:paraId="5C7B6400" w14:textId="77777777" w:rsidR="000138F5" w:rsidRDefault="000138F5"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FD8D6" w14:textId="77777777" w:rsidR="000138F5" w:rsidRDefault="000138F5" w:rsidP="00E64B36">
      <w:r>
        <w:separator/>
      </w:r>
    </w:p>
  </w:footnote>
  <w:footnote w:type="continuationSeparator" w:id="0">
    <w:p w14:paraId="73E08161" w14:textId="77777777" w:rsidR="000138F5" w:rsidRDefault="000138F5" w:rsidP="00E64B36">
      <w:r>
        <w:continuationSeparator/>
      </w:r>
    </w:p>
  </w:footnote>
  <w:footnote w:id="1">
    <w:p w14:paraId="61C6D2D3" w14:textId="77777777" w:rsidR="00115E0C" w:rsidRPr="001F5175" w:rsidRDefault="00221362" w:rsidP="00D66B63">
      <w:pPr>
        <w:pStyle w:val="ab"/>
        <w:spacing w:line="240" w:lineRule="auto"/>
        <w:rPr>
          <w:rFonts w:ascii="Calibri" w:hAnsi="Calibri" w:cs="Calibri"/>
        </w:rPr>
      </w:pPr>
      <w:r w:rsidRPr="001F5175">
        <w:rPr>
          <w:rStyle w:val="ad"/>
          <w:rFonts w:ascii="Calibri" w:hAnsi="Calibri" w:cs="Calibri"/>
        </w:rPr>
        <w:footnoteRef/>
      </w:r>
      <w:r w:rsidRPr="001F5175">
        <w:rPr>
          <w:rFonts w:ascii="Calibri" w:hAnsi="Calibri" w:cs="Calibri"/>
        </w:rPr>
        <w:t xml:space="preserve"> </w:t>
      </w:r>
      <w:r w:rsidR="00D66B63" w:rsidRPr="001F5175">
        <w:rPr>
          <w:rFonts w:ascii="Calibri" w:hAnsi="Calibri" w:cs="Calibri"/>
        </w:rPr>
        <w:t>For additional information on the segments’ activity in the foreign exchange market, see “</w:t>
      </w:r>
      <w:r w:rsidR="00E05AF2" w:rsidRPr="001F5175">
        <w:rPr>
          <w:rFonts w:ascii="Calibri" w:hAnsi="Calibri" w:cs="Calibri"/>
        </w:rPr>
        <w:t>Statistical</w:t>
      </w:r>
      <w:r w:rsidR="00D66B63" w:rsidRPr="001F5175">
        <w:rPr>
          <w:rFonts w:ascii="Calibri" w:hAnsi="Calibri" w:cs="Calibri"/>
        </w:rPr>
        <w:t xml:space="preserve"> Bulletin 2024—Chapter D</w:t>
      </w:r>
      <w:r w:rsidR="00A5203F" w:rsidRPr="001F5175">
        <w:rPr>
          <w:rFonts w:ascii="Calibri" w:hAnsi="Calibri" w:cs="Calibri"/>
        </w:rPr>
        <w:t>”</w:t>
      </w:r>
      <w:r w:rsidR="00D66B63" w:rsidRPr="001F5175">
        <w:rPr>
          <w:rFonts w:ascii="Calibri" w:hAnsi="Calibri" w:cs="Calibri"/>
        </w:rPr>
        <w:t xml:space="preserve"> (translation forthcoming).</w:t>
      </w:r>
    </w:p>
    <w:p w14:paraId="08EA09CE" w14:textId="0B440967" w:rsidR="00221362" w:rsidRPr="001F5175" w:rsidRDefault="00115E0C" w:rsidP="00115E0C">
      <w:pPr>
        <w:pStyle w:val="ab"/>
        <w:spacing w:line="240" w:lineRule="auto"/>
        <w:rPr>
          <w:rFonts w:ascii="Calibri" w:hAnsi="Calibri" w:cs="Calibri"/>
        </w:rPr>
      </w:pPr>
      <w:r w:rsidRPr="001F5175">
        <w:rPr>
          <w:rFonts w:ascii="Calibri" w:hAnsi="Calibri" w:cs="Calibri"/>
        </w:rPr>
        <w:t xml:space="preserve"> </w:t>
      </w:r>
      <w:hyperlink r:id="rId1" w:tgtFrame="_blank" w:tooltip="https://www.boi.org.il/publications/regularpublications/statistic_bulletin/bulletin2024/" w:history="1">
        <w:r w:rsidRPr="001F5175">
          <w:rPr>
            <w:rStyle w:val="Hyperlink"/>
            <w:rFonts w:ascii="Calibri" w:hAnsi="Calibri" w:cs="Calibri"/>
          </w:rPr>
          <w:t>https://www.boi.org.il/publications/regularpublications/statistic_bulletin/bulletin2024/</w:t>
        </w:r>
      </w:hyperlink>
    </w:p>
  </w:footnote>
  <w:footnote w:id="2">
    <w:p w14:paraId="3270F559" w14:textId="77777777" w:rsidR="00115E0C" w:rsidRPr="001F5175" w:rsidRDefault="00115E0C" w:rsidP="00115E0C">
      <w:pPr>
        <w:pStyle w:val="ab"/>
        <w:spacing w:line="240" w:lineRule="auto"/>
        <w:rPr>
          <w:rFonts w:ascii="Calibri" w:hAnsi="Calibri" w:cs="Calibri"/>
        </w:rPr>
      </w:pPr>
      <w:r w:rsidRPr="001F5175">
        <w:rPr>
          <w:rStyle w:val="ad"/>
          <w:rFonts w:ascii="Calibri" w:hAnsi="Calibri" w:cs="Calibri"/>
        </w:rPr>
        <w:footnoteRef/>
      </w:r>
      <w:r w:rsidRPr="001F5175">
        <w:rPr>
          <w:rFonts w:ascii="Calibri" w:hAnsi="Calibri" w:cs="Calibri"/>
        </w:rPr>
        <w:t xml:space="preserve"> The main segments presented do not make up the entire market—for additional information, see the section on “The Database of Foreign Exchange Market Activity” in the Bank of Israel's "Statistical Bulletin" for 2024 (forthcoming): </w:t>
      </w:r>
    </w:p>
    <w:p w14:paraId="0489493A" w14:textId="083F8C15" w:rsidR="00115E0C" w:rsidRPr="001F5175" w:rsidRDefault="001F5175" w:rsidP="004F5159">
      <w:pPr>
        <w:pStyle w:val="ab"/>
        <w:spacing w:line="240" w:lineRule="auto"/>
        <w:rPr>
          <w:rFonts w:ascii="Calibri" w:hAnsi="Calibri" w:cs="Calibri"/>
        </w:rPr>
      </w:pPr>
      <w:hyperlink r:id="rId2" w:history="1">
        <w:r w:rsidR="00115E0C" w:rsidRPr="001F5175">
          <w:rPr>
            <w:rStyle w:val="Hyperlink"/>
            <w:rFonts w:ascii="Calibri" w:hAnsi="Calibri" w:cs="Calibri"/>
          </w:rPr>
          <w:t>https://boi.org.il/en/communication-and-publications/regular-publications/statistical-publications/statistical-bulletin-2018/</w:t>
        </w:r>
      </w:hyperlink>
    </w:p>
  </w:footnote>
  <w:footnote w:id="3">
    <w:p w14:paraId="37580CC5" w14:textId="0B19EFB4" w:rsidR="0063362C" w:rsidRPr="001F5175" w:rsidRDefault="0063362C" w:rsidP="009D4E48">
      <w:pPr>
        <w:pStyle w:val="ab"/>
        <w:spacing w:line="240" w:lineRule="auto"/>
        <w:rPr>
          <w:rFonts w:ascii="Calibri" w:hAnsi="Calibri" w:cs="Calibri"/>
        </w:rPr>
      </w:pPr>
      <w:r w:rsidRPr="001F5175">
        <w:rPr>
          <w:rStyle w:val="ad"/>
          <w:rFonts w:ascii="Calibri" w:hAnsi="Calibri" w:cs="Calibri"/>
        </w:rPr>
        <w:footnoteRef/>
      </w:r>
      <w:r w:rsidRPr="001F5175">
        <w:rPr>
          <w:rFonts w:ascii="Calibri" w:hAnsi="Calibri" w:cs="Calibri"/>
        </w:rPr>
        <w:t xml:space="preserve"> </w:t>
      </w:r>
      <w:r w:rsidR="009D4E48" w:rsidRPr="001F5175">
        <w:rPr>
          <w:rFonts w:ascii="Calibri" w:hAnsi="Calibri" w:cs="Calibri"/>
        </w:rPr>
        <w:t>From the beginning of 2020, the data do not include branches of foreign banks in Israel.</w:t>
      </w:r>
    </w:p>
  </w:footnote>
  <w:footnote w:id="4">
    <w:p w14:paraId="1768723E" w14:textId="77777777" w:rsidR="00D80DD5" w:rsidRPr="001F5175" w:rsidRDefault="00D80DD5" w:rsidP="00D80DD5">
      <w:pPr>
        <w:pStyle w:val="ab"/>
        <w:spacing w:line="240" w:lineRule="auto"/>
        <w:rPr>
          <w:rFonts w:ascii="Calibri" w:hAnsi="Calibri" w:cs="Calibri"/>
        </w:rPr>
      </w:pPr>
      <w:r w:rsidRPr="001F5175">
        <w:rPr>
          <w:rStyle w:val="ad"/>
          <w:rFonts w:ascii="Calibri" w:hAnsi="Calibri" w:cs="Calibri"/>
        </w:rPr>
        <w:footnoteRef/>
      </w:r>
      <w:r w:rsidRPr="001F5175">
        <w:rPr>
          <w:rFonts w:ascii="Calibri" w:hAnsi="Calibri" w:cs="Calibri"/>
        </w:rPr>
        <w:t xml:space="preserve"> Total trading volume is an estimate of total activity in transactions against the shekel, based on reports by the domestic banking system and by foreign reporting entities.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15AF"/>
    <w:rsid w:val="000063E5"/>
    <w:rsid w:val="00010600"/>
    <w:rsid w:val="000123AF"/>
    <w:rsid w:val="000133C4"/>
    <w:rsid w:val="0001385E"/>
    <w:rsid w:val="000138F5"/>
    <w:rsid w:val="0001413F"/>
    <w:rsid w:val="00020C20"/>
    <w:rsid w:val="000225C3"/>
    <w:rsid w:val="00024A52"/>
    <w:rsid w:val="0002528B"/>
    <w:rsid w:val="00031541"/>
    <w:rsid w:val="00034686"/>
    <w:rsid w:val="00035675"/>
    <w:rsid w:val="00042899"/>
    <w:rsid w:val="00051AE6"/>
    <w:rsid w:val="000526A0"/>
    <w:rsid w:val="00052DFD"/>
    <w:rsid w:val="0005726E"/>
    <w:rsid w:val="00061625"/>
    <w:rsid w:val="00064641"/>
    <w:rsid w:val="00065F2F"/>
    <w:rsid w:val="00074802"/>
    <w:rsid w:val="0008141D"/>
    <w:rsid w:val="00096380"/>
    <w:rsid w:val="000A2172"/>
    <w:rsid w:val="000A2D52"/>
    <w:rsid w:val="000A520E"/>
    <w:rsid w:val="000A65E5"/>
    <w:rsid w:val="000B66D6"/>
    <w:rsid w:val="000C0E73"/>
    <w:rsid w:val="000C1512"/>
    <w:rsid w:val="000C5557"/>
    <w:rsid w:val="000C57D0"/>
    <w:rsid w:val="000C5EF4"/>
    <w:rsid w:val="000C7A2A"/>
    <w:rsid w:val="000D22EB"/>
    <w:rsid w:val="000D26BE"/>
    <w:rsid w:val="000D4B4A"/>
    <w:rsid w:val="000E1A34"/>
    <w:rsid w:val="000E2845"/>
    <w:rsid w:val="000E38B5"/>
    <w:rsid w:val="000E5335"/>
    <w:rsid w:val="000E6E53"/>
    <w:rsid w:val="000F4369"/>
    <w:rsid w:val="000F5EA6"/>
    <w:rsid w:val="000F638D"/>
    <w:rsid w:val="001001A2"/>
    <w:rsid w:val="00101B55"/>
    <w:rsid w:val="00102E8F"/>
    <w:rsid w:val="001030DF"/>
    <w:rsid w:val="00115E0C"/>
    <w:rsid w:val="0011703E"/>
    <w:rsid w:val="001204D4"/>
    <w:rsid w:val="001254A8"/>
    <w:rsid w:val="00130245"/>
    <w:rsid w:val="0013070F"/>
    <w:rsid w:val="001349B9"/>
    <w:rsid w:val="001428C4"/>
    <w:rsid w:val="00143F3A"/>
    <w:rsid w:val="001454F1"/>
    <w:rsid w:val="001459BD"/>
    <w:rsid w:val="00151140"/>
    <w:rsid w:val="0015175D"/>
    <w:rsid w:val="00153DE6"/>
    <w:rsid w:val="00154D08"/>
    <w:rsid w:val="00156288"/>
    <w:rsid w:val="00160B25"/>
    <w:rsid w:val="00165EE7"/>
    <w:rsid w:val="00170192"/>
    <w:rsid w:val="001707E0"/>
    <w:rsid w:val="00171B30"/>
    <w:rsid w:val="001721C7"/>
    <w:rsid w:val="00172B27"/>
    <w:rsid w:val="00176396"/>
    <w:rsid w:val="0017665B"/>
    <w:rsid w:val="0017718E"/>
    <w:rsid w:val="00182B94"/>
    <w:rsid w:val="0018370C"/>
    <w:rsid w:val="00183AC6"/>
    <w:rsid w:val="00183AE0"/>
    <w:rsid w:val="001933D0"/>
    <w:rsid w:val="00194595"/>
    <w:rsid w:val="0019621E"/>
    <w:rsid w:val="0019782B"/>
    <w:rsid w:val="001A0404"/>
    <w:rsid w:val="001B1084"/>
    <w:rsid w:val="001B2122"/>
    <w:rsid w:val="001B4974"/>
    <w:rsid w:val="001B4D8F"/>
    <w:rsid w:val="001B4E73"/>
    <w:rsid w:val="001C07E2"/>
    <w:rsid w:val="001C1BC1"/>
    <w:rsid w:val="001C1FA3"/>
    <w:rsid w:val="001C2790"/>
    <w:rsid w:val="001C2E7B"/>
    <w:rsid w:val="001C388F"/>
    <w:rsid w:val="001C41F2"/>
    <w:rsid w:val="001C64AE"/>
    <w:rsid w:val="001C71E8"/>
    <w:rsid w:val="001D0AB4"/>
    <w:rsid w:val="001D2EB5"/>
    <w:rsid w:val="001D6426"/>
    <w:rsid w:val="001D7072"/>
    <w:rsid w:val="001E3DF2"/>
    <w:rsid w:val="001E409B"/>
    <w:rsid w:val="001E6AE3"/>
    <w:rsid w:val="001F5175"/>
    <w:rsid w:val="001F527C"/>
    <w:rsid w:val="001F6A4A"/>
    <w:rsid w:val="001F7971"/>
    <w:rsid w:val="002005DD"/>
    <w:rsid w:val="00206276"/>
    <w:rsid w:val="00212F75"/>
    <w:rsid w:val="0021327F"/>
    <w:rsid w:val="0021416E"/>
    <w:rsid w:val="00216E35"/>
    <w:rsid w:val="0021704D"/>
    <w:rsid w:val="00220D65"/>
    <w:rsid w:val="00221362"/>
    <w:rsid w:val="00227FCB"/>
    <w:rsid w:val="002316F9"/>
    <w:rsid w:val="002331FC"/>
    <w:rsid w:val="00236B78"/>
    <w:rsid w:val="00237CE5"/>
    <w:rsid w:val="0024066C"/>
    <w:rsid w:val="0024170D"/>
    <w:rsid w:val="00242823"/>
    <w:rsid w:val="00252F9E"/>
    <w:rsid w:val="00264C17"/>
    <w:rsid w:val="002669C3"/>
    <w:rsid w:val="002709AA"/>
    <w:rsid w:val="0027498F"/>
    <w:rsid w:val="00280A66"/>
    <w:rsid w:val="00280E43"/>
    <w:rsid w:val="00281C70"/>
    <w:rsid w:val="00282F65"/>
    <w:rsid w:val="002860E9"/>
    <w:rsid w:val="00294ABA"/>
    <w:rsid w:val="00295F5E"/>
    <w:rsid w:val="00297AC8"/>
    <w:rsid w:val="002A00BC"/>
    <w:rsid w:val="002A0D2A"/>
    <w:rsid w:val="002A51FC"/>
    <w:rsid w:val="002A6B07"/>
    <w:rsid w:val="002B1BC6"/>
    <w:rsid w:val="002B48CC"/>
    <w:rsid w:val="002B763A"/>
    <w:rsid w:val="002C248A"/>
    <w:rsid w:val="002C3403"/>
    <w:rsid w:val="002C6776"/>
    <w:rsid w:val="002D7BBC"/>
    <w:rsid w:val="002E2128"/>
    <w:rsid w:val="002E4AB3"/>
    <w:rsid w:val="002F0525"/>
    <w:rsid w:val="003004FD"/>
    <w:rsid w:val="0030279B"/>
    <w:rsid w:val="00303015"/>
    <w:rsid w:val="00305D1D"/>
    <w:rsid w:val="003125B3"/>
    <w:rsid w:val="003129D6"/>
    <w:rsid w:val="003136EE"/>
    <w:rsid w:val="00316664"/>
    <w:rsid w:val="00316A5F"/>
    <w:rsid w:val="00326B32"/>
    <w:rsid w:val="003271D0"/>
    <w:rsid w:val="0033007A"/>
    <w:rsid w:val="00340E06"/>
    <w:rsid w:val="00344AA9"/>
    <w:rsid w:val="00345CD5"/>
    <w:rsid w:val="0034638A"/>
    <w:rsid w:val="00347A38"/>
    <w:rsid w:val="00353385"/>
    <w:rsid w:val="003549F0"/>
    <w:rsid w:val="003617D2"/>
    <w:rsid w:val="00361C9E"/>
    <w:rsid w:val="00362D57"/>
    <w:rsid w:val="003663BD"/>
    <w:rsid w:val="00372416"/>
    <w:rsid w:val="003727EE"/>
    <w:rsid w:val="003772AF"/>
    <w:rsid w:val="00383088"/>
    <w:rsid w:val="00385CB3"/>
    <w:rsid w:val="00387840"/>
    <w:rsid w:val="00387DD7"/>
    <w:rsid w:val="00390345"/>
    <w:rsid w:val="0039059D"/>
    <w:rsid w:val="00390CA5"/>
    <w:rsid w:val="00392CE6"/>
    <w:rsid w:val="003937E7"/>
    <w:rsid w:val="00397AA4"/>
    <w:rsid w:val="003A103D"/>
    <w:rsid w:val="003A15FE"/>
    <w:rsid w:val="003A335C"/>
    <w:rsid w:val="003A3813"/>
    <w:rsid w:val="003B0F1E"/>
    <w:rsid w:val="003B715F"/>
    <w:rsid w:val="003B7DC3"/>
    <w:rsid w:val="003C063B"/>
    <w:rsid w:val="003C2BB9"/>
    <w:rsid w:val="003C44AE"/>
    <w:rsid w:val="003C45F4"/>
    <w:rsid w:val="003C7815"/>
    <w:rsid w:val="003D23B5"/>
    <w:rsid w:val="003D6F31"/>
    <w:rsid w:val="003D7088"/>
    <w:rsid w:val="003D7860"/>
    <w:rsid w:val="003D7C2F"/>
    <w:rsid w:val="003E0D23"/>
    <w:rsid w:val="003F6116"/>
    <w:rsid w:val="00411BA4"/>
    <w:rsid w:val="00412846"/>
    <w:rsid w:val="004137E7"/>
    <w:rsid w:val="004147FC"/>
    <w:rsid w:val="00416E0A"/>
    <w:rsid w:val="00416F2B"/>
    <w:rsid w:val="0041749E"/>
    <w:rsid w:val="004200DC"/>
    <w:rsid w:val="00424296"/>
    <w:rsid w:val="004247DA"/>
    <w:rsid w:val="00426CA2"/>
    <w:rsid w:val="00431281"/>
    <w:rsid w:val="00435260"/>
    <w:rsid w:val="004357B2"/>
    <w:rsid w:val="004376D8"/>
    <w:rsid w:val="0044125C"/>
    <w:rsid w:val="00441348"/>
    <w:rsid w:val="00445B15"/>
    <w:rsid w:val="00446C7F"/>
    <w:rsid w:val="004506C0"/>
    <w:rsid w:val="00451EEC"/>
    <w:rsid w:val="004574F7"/>
    <w:rsid w:val="00461E98"/>
    <w:rsid w:val="00465721"/>
    <w:rsid w:val="00466441"/>
    <w:rsid w:val="00467FFB"/>
    <w:rsid w:val="004710A5"/>
    <w:rsid w:val="0047295E"/>
    <w:rsid w:val="00473C1E"/>
    <w:rsid w:val="00475E9A"/>
    <w:rsid w:val="004766A2"/>
    <w:rsid w:val="0048070C"/>
    <w:rsid w:val="00492391"/>
    <w:rsid w:val="00492AB3"/>
    <w:rsid w:val="00497B95"/>
    <w:rsid w:val="004A0425"/>
    <w:rsid w:val="004A20A5"/>
    <w:rsid w:val="004A548C"/>
    <w:rsid w:val="004B0CEA"/>
    <w:rsid w:val="004B3F3D"/>
    <w:rsid w:val="004B5E31"/>
    <w:rsid w:val="004C61F9"/>
    <w:rsid w:val="004C6A99"/>
    <w:rsid w:val="004C72D6"/>
    <w:rsid w:val="004D08E6"/>
    <w:rsid w:val="004D32A7"/>
    <w:rsid w:val="004D5D6F"/>
    <w:rsid w:val="004D75D4"/>
    <w:rsid w:val="004E3B8E"/>
    <w:rsid w:val="004E4AEC"/>
    <w:rsid w:val="004E66D9"/>
    <w:rsid w:val="004F5159"/>
    <w:rsid w:val="005007E2"/>
    <w:rsid w:val="0050183E"/>
    <w:rsid w:val="005122EB"/>
    <w:rsid w:val="00512B40"/>
    <w:rsid w:val="00512DA3"/>
    <w:rsid w:val="005135B6"/>
    <w:rsid w:val="00513B3E"/>
    <w:rsid w:val="0051643E"/>
    <w:rsid w:val="00520577"/>
    <w:rsid w:val="00520ADA"/>
    <w:rsid w:val="00525B10"/>
    <w:rsid w:val="00530A25"/>
    <w:rsid w:val="005316D2"/>
    <w:rsid w:val="005331E3"/>
    <w:rsid w:val="00533CB8"/>
    <w:rsid w:val="005406F8"/>
    <w:rsid w:val="00540991"/>
    <w:rsid w:val="00540A8E"/>
    <w:rsid w:val="00540B03"/>
    <w:rsid w:val="00541838"/>
    <w:rsid w:val="005439FF"/>
    <w:rsid w:val="00544758"/>
    <w:rsid w:val="005462D0"/>
    <w:rsid w:val="00546392"/>
    <w:rsid w:val="00547EBB"/>
    <w:rsid w:val="00556116"/>
    <w:rsid w:val="005613C1"/>
    <w:rsid w:val="00565786"/>
    <w:rsid w:val="0056698A"/>
    <w:rsid w:val="00570280"/>
    <w:rsid w:val="005713A8"/>
    <w:rsid w:val="0058083E"/>
    <w:rsid w:val="00584A0F"/>
    <w:rsid w:val="00587598"/>
    <w:rsid w:val="0059277F"/>
    <w:rsid w:val="0059583A"/>
    <w:rsid w:val="005965B3"/>
    <w:rsid w:val="00596FB4"/>
    <w:rsid w:val="00597398"/>
    <w:rsid w:val="00597BB2"/>
    <w:rsid w:val="00597EED"/>
    <w:rsid w:val="005B00FD"/>
    <w:rsid w:val="005B1BA1"/>
    <w:rsid w:val="005B3DCE"/>
    <w:rsid w:val="005B3EEA"/>
    <w:rsid w:val="005B529D"/>
    <w:rsid w:val="005C4C81"/>
    <w:rsid w:val="005C72E2"/>
    <w:rsid w:val="005C7628"/>
    <w:rsid w:val="005D1CE7"/>
    <w:rsid w:val="005D39B6"/>
    <w:rsid w:val="005D7130"/>
    <w:rsid w:val="005E15BD"/>
    <w:rsid w:val="005E26D2"/>
    <w:rsid w:val="005E27F9"/>
    <w:rsid w:val="005E5212"/>
    <w:rsid w:val="005F20E9"/>
    <w:rsid w:val="005F3E47"/>
    <w:rsid w:val="005F6E5B"/>
    <w:rsid w:val="005F7744"/>
    <w:rsid w:val="00600224"/>
    <w:rsid w:val="00601CA2"/>
    <w:rsid w:val="0060215A"/>
    <w:rsid w:val="00602CBA"/>
    <w:rsid w:val="00604322"/>
    <w:rsid w:val="006050B1"/>
    <w:rsid w:val="00606124"/>
    <w:rsid w:val="006149EB"/>
    <w:rsid w:val="0061530A"/>
    <w:rsid w:val="00616685"/>
    <w:rsid w:val="0061692C"/>
    <w:rsid w:val="006216F9"/>
    <w:rsid w:val="00621BB5"/>
    <w:rsid w:val="006223DB"/>
    <w:rsid w:val="00623A3E"/>
    <w:rsid w:val="0062658F"/>
    <w:rsid w:val="0063362C"/>
    <w:rsid w:val="006346E3"/>
    <w:rsid w:val="006349E3"/>
    <w:rsid w:val="0063514B"/>
    <w:rsid w:val="00642252"/>
    <w:rsid w:val="006425AC"/>
    <w:rsid w:val="006426A2"/>
    <w:rsid w:val="0064703F"/>
    <w:rsid w:val="00651C22"/>
    <w:rsid w:val="00652D53"/>
    <w:rsid w:val="00654FCC"/>
    <w:rsid w:val="0065569A"/>
    <w:rsid w:val="006558DE"/>
    <w:rsid w:val="0066439E"/>
    <w:rsid w:val="0066534F"/>
    <w:rsid w:val="0066696B"/>
    <w:rsid w:val="00671C94"/>
    <w:rsid w:val="00672104"/>
    <w:rsid w:val="006730BD"/>
    <w:rsid w:val="006777B7"/>
    <w:rsid w:val="006778D4"/>
    <w:rsid w:val="006811E6"/>
    <w:rsid w:val="00681338"/>
    <w:rsid w:val="006855BF"/>
    <w:rsid w:val="00692468"/>
    <w:rsid w:val="00694180"/>
    <w:rsid w:val="00696602"/>
    <w:rsid w:val="006A301B"/>
    <w:rsid w:val="006A3FC4"/>
    <w:rsid w:val="006A6BEF"/>
    <w:rsid w:val="006B37A4"/>
    <w:rsid w:val="006B4862"/>
    <w:rsid w:val="006B679C"/>
    <w:rsid w:val="006B7D9D"/>
    <w:rsid w:val="006C070A"/>
    <w:rsid w:val="006C1761"/>
    <w:rsid w:val="006C1C18"/>
    <w:rsid w:val="006C3672"/>
    <w:rsid w:val="006C6B43"/>
    <w:rsid w:val="006D3582"/>
    <w:rsid w:val="006D3D86"/>
    <w:rsid w:val="006D4768"/>
    <w:rsid w:val="006D5EA0"/>
    <w:rsid w:val="006E0BC7"/>
    <w:rsid w:val="006E38CA"/>
    <w:rsid w:val="006F20E9"/>
    <w:rsid w:val="006F2E68"/>
    <w:rsid w:val="0070039B"/>
    <w:rsid w:val="00701938"/>
    <w:rsid w:val="00701A3B"/>
    <w:rsid w:val="00707976"/>
    <w:rsid w:val="00707AC7"/>
    <w:rsid w:val="00716379"/>
    <w:rsid w:val="0072067C"/>
    <w:rsid w:val="00721560"/>
    <w:rsid w:val="007218B0"/>
    <w:rsid w:val="00723DBF"/>
    <w:rsid w:val="00724066"/>
    <w:rsid w:val="007326B5"/>
    <w:rsid w:val="0073283D"/>
    <w:rsid w:val="00733ACE"/>
    <w:rsid w:val="00735737"/>
    <w:rsid w:val="00736B67"/>
    <w:rsid w:val="0073750A"/>
    <w:rsid w:val="0074341E"/>
    <w:rsid w:val="00750EC7"/>
    <w:rsid w:val="00751F08"/>
    <w:rsid w:val="00756100"/>
    <w:rsid w:val="00757A52"/>
    <w:rsid w:val="00757B9D"/>
    <w:rsid w:val="007604B4"/>
    <w:rsid w:val="007621F1"/>
    <w:rsid w:val="00766664"/>
    <w:rsid w:val="007666A8"/>
    <w:rsid w:val="007764CA"/>
    <w:rsid w:val="0078051F"/>
    <w:rsid w:val="00785BD2"/>
    <w:rsid w:val="007876B0"/>
    <w:rsid w:val="00791405"/>
    <w:rsid w:val="007924C8"/>
    <w:rsid w:val="00793399"/>
    <w:rsid w:val="00794D46"/>
    <w:rsid w:val="007A2DE7"/>
    <w:rsid w:val="007B2448"/>
    <w:rsid w:val="007B6386"/>
    <w:rsid w:val="007B6D19"/>
    <w:rsid w:val="007B74E7"/>
    <w:rsid w:val="007C6400"/>
    <w:rsid w:val="007D1025"/>
    <w:rsid w:val="007D2403"/>
    <w:rsid w:val="007D57EE"/>
    <w:rsid w:val="007D65DA"/>
    <w:rsid w:val="007E058D"/>
    <w:rsid w:val="007E38F9"/>
    <w:rsid w:val="007F0CCC"/>
    <w:rsid w:val="007F1559"/>
    <w:rsid w:val="007F29B3"/>
    <w:rsid w:val="007F44E2"/>
    <w:rsid w:val="007F6F44"/>
    <w:rsid w:val="007F7993"/>
    <w:rsid w:val="008049BE"/>
    <w:rsid w:val="00805221"/>
    <w:rsid w:val="008059F1"/>
    <w:rsid w:val="008072EF"/>
    <w:rsid w:val="0081026B"/>
    <w:rsid w:val="0081371F"/>
    <w:rsid w:val="00834456"/>
    <w:rsid w:val="008403F1"/>
    <w:rsid w:val="008412E8"/>
    <w:rsid w:val="00842BAF"/>
    <w:rsid w:val="0085046F"/>
    <w:rsid w:val="008507C5"/>
    <w:rsid w:val="00853938"/>
    <w:rsid w:val="008639EC"/>
    <w:rsid w:val="00864C55"/>
    <w:rsid w:val="008659EE"/>
    <w:rsid w:val="00872640"/>
    <w:rsid w:val="00873B9F"/>
    <w:rsid w:val="00875999"/>
    <w:rsid w:val="0087642C"/>
    <w:rsid w:val="00877705"/>
    <w:rsid w:val="008829AB"/>
    <w:rsid w:val="00884B49"/>
    <w:rsid w:val="00886CC2"/>
    <w:rsid w:val="008872F8"/>
    <w:rsid w:val="00887755"/>
    <w:rsid w:val="00892E93"/>
    <w:rsid w:val="00894249"/>
    <w:rsid w:val="008960F7"/>
    <w:rsid w:val="008A3B4D"/>
    <w:rsid w:val="008A4204"/>
    <w:rsid w:val="008A7212"/>
    <w:rsid w:val="008A72D3"/>
    <w:rsid w:val="008B0D77"/>
    <w:rsid w:val="008B4273"/>
    <w:rsid w:val="008B6833"/>
    <w:rsid w:val="008B7464"/>
    <w:rsid w:val="008C0C91"/>
    <w:rsid w:val="008C6903"/>
    <w:rsid w:val="008D11D4"/>
    <w:rsid w:val="008D1A2C"/>
    <w:rsid w:val="008D1F4D"/>
    <w:rsid w:val="008D46BB"/>
    <w:rsid w:val="008D4B9C"/>
    <w:rsid w:val="008D58D4"/>
    <w:rsid w:val="008D6BC5"/>
    <w:rsid w:val="008D6FB6"/>
    <w:rsid w:val="008E38AD"/>
    <w:rsid w:val="008E635D"/>
    <w:rsid w:val="008E674E"/>
    <w:rsid w:val="008E7D15"/>
    <w:rsid w:val="008F1D45"/>
    <w:rsid w:val="008F2476"/>
    <w:rsid w:val="008F361E"/>
    <w:rsid w:val="0091307F"/>
    <w:rsid w:val="00915D25"/>
    <w:rsid w:val="0091626D"/>
    <w:rsid w:val="00923347"/>
    <w:rsid w:val="00924942"/>
    <w:rsid w:val="00926495"/>
    <w:rsid w:val="009338FA"/>
    <w:rsid w:val="00933EF4"/>
    <w:rsid w:val="0093574D"/>
    <w:rsid w:val="009400D8"/>
    <w:rsid w:val="009438E2"/>
    <w:rsid w:val="00952674"/>
    <w:rsid w:val="00960444"/>
    <w:rsid w:val="009609FA"/>
    <w:rsid w:val="00961BD6"/>
    <w:rsid w:val="009651F0"/>
    <w:rsid w:val="00966025"/>
    <w:rsid w:val="00967248"/>
    <w:rsid w:val="009708C5"/>
    <w:rsid w:val="0097278E"/>
    <w:rsid w:val="00973016"/>
    <w:rsid w:val="009744A0"/>
    <w:rsid w:val="009745A6"/>
    <w:rsid w:val="00976781"/>
    <w:rsid w:val="009831EE"/>
    <w:rsid w:val="009844A2"/>
    <w:rsid w:val="009846A7"/>
    <w:rsid w:val="00984FBD"/>
    <w:rsid w:val="00985B16"/>
    <w:rsid w:val="009865FD"/>
    <w:rsid w:val="00994D5A"/>
    <w:rsid w:val="00997FAC"/>
    <w:rsid w:val="009A0D29"/>
    <w:rsid w:val="009B15DB"/>
    <w:rsid w:val="009B1778"/>
    <w:rsid w:val="009B1A17"/>
    <w:rsid w:val="009B3F8D"/>
    <w:rsid w:val="009B50A7"/>
    <w:rsid w:val="009B51A5"/>
    <w:rsid w:val="009B5DE0"/>
    <w:rsid w:val="009C1E74"/>
    <w:rsid w:val="009C21B3"/>
    <w:rsid w:val="009C2C42"/>
    <w:rsid w:val="009C3529"/>
    <w:rsid w:val="009C7BCD"/>
    <w:rsid w:val="009D4E48"/>
    <w:rsid w:val="009D7CDF"/>
    <w:rsid w:val="009E3D4E"/>
    <w:rsid w:val="009E6150"/>
    <w:rsid w:val="009E70F4"/>
    <w:rsid w:val="009F2679"/>
    <w:rsid w:val="00A0590C"/>
    <w:rsid w:val="00A06ACF"/>
    <w:rsid w:val="00A117D2"/>
    <w:rsid w:val="00A15FCE"/>
    <w:rsid w:val="00A1704B"/>
    <w:rsid w:val="00A235FC"/>
    <w:rsid w:val="00A23DBE"/>
    <w:rsid w:val="00A25E08"/>
    <w:rsid w:val="00A32D0E"/>
    <w:rsid w:val="00A33F21"/>
    <w:rsid w:val="00A3533A"/>
    <w:rsid w:val="00A367C5"/>
    <w:rsid w:val="00A37869"/>
    <w:rsid w:val="00A37C5F"/>
    <w:rsid w:val="00A406BA"/>
    <w:rsid w:val="00A41B9A"/>
    <w:rsid w:val="00A44A88"/>
    <w:rsid w:val="00A45819"/>
    <w:rsid w:val="00A46934"/>
    <w:rsid w:val="00A501F6"/>
    <w:rsid w:val="00A5201A"/>
    <w:rsid w:val="00A5203F"/>
    <w:rsid w:val="00A5307A"/>
    <w:rsid w:val="00A56F78"/>
    <w:rsid w:val="00A60725"/>
    <w:rsid w:val="00A62731"/>
    <w:rsid w:val="00A71713"/>
    <w:rsid w:val="00A72122"/>
    <w:rsid w:val="00A725A1"/>
    <w:rsid w:val="00A73A47"/>
    <w:rsid w:val="00A74752"/>
    <w:rsid w:val="00A749E1"/>
    <w:rsid w:val="00A74B6D"/>
    <w:rsid w:val="00A80F11"/>
    <w:rsid w:val="00A811CE"/>
    <w:rsid w:val="00A81355"/>
    <w:rsid w:val="00A81B6C"/>
    <w:rsid w:val="00A82B0D"/>
    <w:rsid w:val="00A8444B"/>
    <w:rsid w:val="00A86C23"/>
    <w:rsid w:val="00A87DC1"/>
    <w:rsid w:val="00A9039C"/>
    <w:rsid w:val="00A9162A"/>
    <w:rsid w:val="00A9429D"/>
    <w:rsid w:val="00A94775"/>
    <w:rsid w:val="00A94805"/>
    <w:rsid w:val="00A97D03"/>
    <w:rsid w:val="00AA241D"/>
    <w:rsid w:val="00AA4329"/>
    <w:rsid w:val="00AA7F6F"/>
    <w:rsid w:val="00AB52DC"/>
    <w:rsid w:val="00AB5B37"/>
    <w:rsid w:val="00AB75B4"/>
    <w:rsid w:val="00AC0B5C"/>
    <w:rsid w:val="00AC1143"/>
    <w:rsid w:val="00AC3FC7"/>
    <w:rsid w:val="00AC5D3F"/>
    <w:rsid w:val="00AD0339"/>
    <w:rsid w:val="00AD4E62"/>
    <w:rsid w:val="00AD57E4"/>
    <w:rsid w:val="00AD7CC8"/>
    <w:rsid w:val="00AE645F"/>
    <w:rsid w:val="00AE70C0"/>
    <w:rsid w:val="00AE7F22"/>
    <w:rsid w:val="00AF32A3"/>
    <w:rsid w:val="00AF471B"/>
    <w:rsid w:val="00AF511A"/>
    <w:rsid w:val="00AF67E2"/>
    <w:rsid w:val="00AF6B3A"/>
    <w:rsid w:val="00AF7F92"/>
    <w:rsid w:val="00B04FB0"/>
    <w:rsid w:val="00B05353"/>
    <w:rsid w:val="00B055AC"/>
    <w:rsid w:val="00B108AE"/>
    <w:rsid w:val="00B13C9D"/>
    <w:rsid w:val="00B20B2B"/>
    <w:rsid w:val="00B21C28"/>
    <w:rsid w:val="00B21CC0"/>
    <w:rsid w:val="00B2783E"/>
    <w:rsid w:val="00B3066D"/>
    <w:rsid w:val="00B37116"/>
    <w:rsid w:val="00B37430"/>
    <w:rsid w:val="00B40E49"/>
    <w:rsid w:val="00B46E33"/>
    <w:rsid w:val="00B47112"/>
    <w:rsid w:val="00B47729"/>
    <w:rsid w:val="00B5463B"/>
    <w:rsid w:val="00B550EB"/>
    <w:rsid w:val="00B602F6"/>
    <w:rsid w:val="00B64DCF"/>
    <w:rsid w:val="00B66537"/>
    <w:rsid w:val="00B67F37"/>
    <w:rsid w:val="00B701F2"/>
    <w:rsid w:val="00B7455A"/>
    <w:rsid w:val="00B75E66"/>
    <w:rsid w:val="00B76B5D"/>
    <w:rsid w:val="00B82927"/>
    <w:rsid w:val="00B84789"/>
    <w:rsid w:val="00B85769"/>
    <w:rsid w:val="00B8751E"/>
    <w:rsid w:val="00B87F00"/>
    <w:rsid w:val="00B903FA"/>
    <w:rsid w:val="00B926AD"/>
    <w:rsid w:val="00B96022"/>
    <w:rsid w:val="00B9767B"/>
    <w:rsid w:val="00BA26B5"/>
    <w:rsid w:val="00BA69BE"/>
    <w:rsid w:val="00BB0B79"/>
    <w:rsid w:val="00BB77A2"/>
    <w:rsid w:val="00BC1596"/>
    <w:rsid w:val="00BC22C6"/>
    <w:rsid w:val="00BC43BA"/>
    <w:rsid w:val="00BC71FF"/>
    <w:rsid w:val="00BC7D84"/>
    <w:rsid w:val="00BD443F"/>
    <w:rsid w:val="00BD70C1"/>
    <w:rsid w:val="00BE2296"/>
    <w:rsid w:val="00BE27B4"/>
    <w:rsid w:val="00BE480B"/>
    <w:rsid w:val="00BE4B58"/>
    <w:rsid w:val="00BE52BF"/>
    <w:rsid w:val="00BE7ED4"/>
    <w:rsid w:val="00BF2C62"/>
    <w:rsid w:val="00BF2D7E"/>
    <w:rsid w:val="00BF32AB"/>
    <w:rsid w:val="00BF428E"/>
    <w:rsid w:val="00BF4848"/>
    <w:rsid w:val="00C01B10"/>
    <w:rsid w:val="00C10D54"/>
    <w:rsid w:val="00C12090"/>
    <w:rsid w:val="00C13F51"/>
    <w:rsid w:val="00C14E00"/>
    <w:rsid w:val="00C15121"/>
    <w:rsid w:val="00C15BBE"/>
    <w:rsid w:val="00C162A8"/>
    <w:rsid w:val="00C171FF"/>
    <w:rsid w:val="00C21009"/>
    <w:rsid w:val="00C210E7"/>
    <w:rsid w:val="00C21C2F"/>
    <w:rsid w:val="00C25F53"/>
    <w:rsid w:val="00C26558"/>
    <w:rsid w:val="00C270C6"/>
    <w:rsid w:val="00C3350A"/>
    <w:rsid w:val="00C36B70"/>
    <w:rsid w:val="00C37129"/>
    <w:rsid w:val="00C443BC"/>
    <w:rsid w:val="00C477FA"/>
    <w:rsid w:val="00C47F00"/>
    <w:rsid w:val="00C52DB7"/>
    <w:rsid w:val="00C52FC2"/>
    <w:rsid w:val="00C54DA8"/>
    <w:rsid w:val="00C56BA1"/>
    <w:rsid w:val="00C6128E"/>
    <w:rsid w:val="00C61C43"/>
    <w:rsid w:val="00C62192"/>
    <w:rsid w:val="00C62D37"/>
    <w:rsid w:val="00C74190"/>
    <w:rsid w:val="00C76E10"/>
    <w:rsid w:val="00C777AD"/>
    <w:rsid w:val="00C809DA"/>
    <w:rsid w:val="00C81A02"/>
    <w:rsid w:val="00C869D7"/>
    <w:rsid w:val="00C90887"/>
    <w:rsid w:val="00CA01A1"/>
    <w:rsid w:val="00CA2CA0"/>
    <w:rsid w:val="00CB155C"/>
    <w:rsid w:val="00CC2ABA"/>
    <w:rsid w:val="00CC31EA"/>
    <w:rsid w:val="00CC58F8"/>
    <w:rsid w:val="00CC6D30"/>
    <w:rsid w:val="00CD01C3"/>
    <w:rsid w:val="00CD43DC"/>
    <w:rsid w:val="00CD70B6"/>
    <w:rsid w:val="00CE0B40"/>
    <w:rsid w:val="00CE1103"/>
    <w:rsid w:val="00CE319F"/>
    <w:rsid w:val="00CE4684"/>
    <w:rsid w:val="00CE529E"/>
    <w:rsid w:val="00CF0D7A"/>
    <w:rsid w:val="00CF4AFC"/>
    <w:rsid w:val="00CF5CEA"/>
    <w:rsid w:val="00CF63C0"/>
    <w:rsid w:val="00D005EC"/>
    <w:rsid w:val="00D05632"/>
    <w:rsid w:val="00D072D6"/>
    <w:rsid w:val="00D10A47"/>
    <w:rsid w:val="00D10AE3"/>
    <w:rsid w:val="00D110EB"/>
    <w:rsid w:val="00D116BE"/>
    <w:rsid w:val="00D12941"/>
    <w:rsid w:val="00D17014"/>
    <w:rsid w:val="00D1753D"/>
    <w:rsid w:val="00D211FE"/>
    <w:rsid w:val="00D27A38"/>
    <w:rsid w:val="00D31076"/>
    <w:rsid w:val="00D313DC"/>
    <w:rsid w:val="00D31E5D"/>
    <w:rsid w:val="00D32D46"/>
    <w:rsid w:val="00D32DDD"/>
    <w:rsid w:val="00D37632"/>
    <w:rsid w:val="00D40E9F"/>
    <w:rsid w:val="00D43C5B"/>
    <w:rsid w:val="00D43E2E"/>
    <w:rsid w:val="00D46A6F"/>
    <w:rsid w:val="00D554DA"/>
    <w:rsid w:val="00D60BFC"/>
    <w:rsid w:val="00D60FF3"/>
    <w:rsid w:val="00D648E1"/>
    <w:rsid w:val="00D66B63"/>
    <w:rsid w:val="00D67C46"/>
    <w:rsid w:val="00D67FD3"/>
    <w:rsid w:val="00D80DD5"/>
    <w:rsid w:val="00D83702"/>
    <w:rsid w:val="00D906D3"/>
    <w:rsid w:val="00D907A2"/>
    <w:rsid w:val="00D914B7"/>
    <w:rsid w:val="00D934F6"/>
    <w:rsid w:val="00DA65FA"/>
    <w:rsid w:val="00DB0F47"/>
    <w:rsid w:val="00DB291D"/>
    <w:rsid w:val="00DB3BD6"/>
    <w:rsid w:val="00DB402E"/>
    <w:rsid w:val="00DC2C2B"/>
    <w:rsid w:val="00DC3A5B"/>
    <w:rsid w:val="00DC49A5"/>
    <w:rsid w:val="00DD4CFD"/>
    <w:rsid w:val="00DD7D9C"/>
    <w:rsid w:val="00DE0078"/>
    <w:rsid w:val="00DE01A0"/>
    <w:rsid w:val="00DE0699"/>
    <w:rsid w:val="00DE2E73"/>
    <w:rsid w:val="00DF4CC2"/>
    <w:rsid w:val="00DF5143"/>
    <w:rsid w:val="00DF6966"/>
    <w:rsid w:val="00E00873"/>
    <w:rsid w:val="00E01704"/>
    <w:rsid w:val="00E020E5"/>
    <w:rsid w:val="00E04222"/>
    <w:rsid w:val="00E04770"/>
    <w:rsid w:val="00E04D4F"/>
    <w:rsid w:val="00E05AF2"/>
    <w:rsid w:val="00E11590"/>
    <w:rsid w:val="00E13283"/>
    <w:rsid w:val="00E2493A"/>
    <w:rsid w:val="00E24F40"/>
    <w:rsid w:val="00E25475"/>
    <w:rsid w:val="00E3503F"/>
    <w:rsid w:val="00E3560C"/>
    <w:rsid w:val="00E37851"/>
    <w:rsid w:val="00E40ED5"/>
    <w:rsid w:val="00E42C0F"/>
    <w:rsid w:val="00E503AA"/>
    <w:rsid w:val="00E52455"/>
    <w:rsid w:val="00E5462E"/>
    <w:rsid w:val="00E56749"/>
    <w:rsid w:val="00E6114C"/>
    <w:rsid w:val="00E61393"/>
    <w:rsid w:val="00E64202"/>
    <w:rsid w:val="00E64B36"/>
    <w:rsid w:val="00E660F1"/>
    <w:rsid w:val="00E673F0"/>
    <w:rsid w:val="00E71475"/>
    <w:rsid w:val="00E7335C"/>
    <w:rsid w:val="00E8005F"/>
    <w:rsid w:val="00E8008F"/>
    <w:rsid w:val="00E809A4"/>
    <w:rsid w:val="00E8290A"/>
    <w:rsid w:val="00E84DD6"/>
    <w:rsid w:val="00E85DB1"/>
    <w:rsid w:val="00E87603"/>
    <w:rsid w:val="00E927D0"/>
    <w:rsid w:val="00E9418B"/>
    <w:rsid w:val="00E97A52"/>
    <w:rsid w:val="00EA035A"/>
    <w:rsid w:val="00EA4091"/>
    <w:rsid w:val="00EB07CD"/>
    <w:rsid w:val="00EB0DEC"/>
    <w:rsid w:val="00EB44F5"/>
    <w:rsid w:val="00EB64E3"/>
    <w:rsid w:val="00EB669A"/>
    <w:rsid w:val="00EC13FB"/>
    <w:rsid w:val="00EC1C00"/>
    <w:rsid w:val="00EC46DA"/>
    <w:rsid w:val="00EC48D4"/>
    <w:rsid w:val="00EC6A33"/>
    <w:rsid w:val="00ED08A0"/>
    <w:rsid w:val="00ED2DF8"/>
    <w:rsid w:val="00ED477C"/>
    <w:rsid w:val="00ED5226"/>
    <w:rsid w:val="00ED5B65"/>
    <w:rsid w:val="00EE09FC"/>
    <w:rsid w:val="00EE0BA4"/>
    <w:rsid w:val="00EE1353"/>
    <w:rsid w:val="00EE1511"/>
    <w:rsid w:val="00EE17C2"/>
    <w:rsid w:val="00EE2AA0"/>
    <w:rsid w:val="00EF0372"/>
    <w:rsid w:val="00EF1AC2"/>
    <w:rsid w:val="00EF312C"/>
    <w:rsid w:val="00EF71C5"/>
    <w:rsid w:val="00EF7FCA"/>
    <w:rsid w:val="00F00D13"/>
    <w:rsid w:val="00F031B0"/>
    <w:rsid w:val="00F03B49"/>
    <w:rsid w:val="00F04C09"/>
    <w:rsid w:val="00F0508D"/>
    <w:rsid w:val="00F06E4F"/>
    <w:rsid w:val="00F101FA"/>
    <w:rsid w:val="00F12380"/>
    <w:rsid w:val="00F15890"/>
    <w:rsid w:val="00F15922"/>
    <w:rsid w:val="00F15E93"/>
    <w:rsid w:val="00F167DD"/>
    <w:rsid w:val="00F241C9"/>
    <w:rsid w:val="00F24C4E"/>
    <w:rsid w:val="00F307FA"/>
    <w:rsid w:val="00F4293B"/>
    <w:rsid w:val="00F43537"/>
    <w:rsid w:val="00F4540B"/>
    <w:rsid w:val="00F53236"/>
    <w:rsid w:val="00F563D6"/>
    <w:rsid w:val="00F56917"/>
    <w:rsid w:val="00F576F6"/>
    <w:rsid w:val="00F57C64"/>
    <w:rsid w:val="00F6263E"/>
    <w:rsid w:val="00F806F6"/>
    <w:rsid w:val="00F81BEE"/>
    <w:rsid w:val="00F81D9F"/>
    <w:rsid w:val="00F8267E"/>
    <w:rsid w:val="00F82AC5"/>
    <w:rsid w:val="00F83B0F"/>
    <w:rsid w:val="00F84DAD"/>
    <w:rsid w:val="00F85F66"/>
    <w:rsid w:val="00F87F2D"/>
    <w:rsid w:val="00F91EA0"/>
    <w:rsid w:val="00F94E2E"/>
    <w:rsid w:val="00FA003E"/>
    <w:rsid w:val="00FA0E1A"/>
    <w:rsid w:val="00FA13BA"/>
    <w:rsid w:val="00FA28D4"/>
    <w:rsid w:val="00FA4531"/>
    <w:rsid w:val="00FA4548"/>
    <w:rsid w:val="00FB0D59"/>
    <w:rsid w:val="00FB4279"/>
    <w:rsid w:val="00FB7F0A"/>
    <w:rsid w:val="00FC2164"/>
    <w:rsid w:val="00FC2A67"/>
    <w:rsid w:val="00FD07FC"/>
    <w:rsid w:val="00FD18A0"/>
    <w:rsid w:val="00FD7E54"/>
    <w:rsid w:val="00FE4E0E"/>
    <w:rsid w:val="00FE5D3B"/>
    <w:rsid w:val="00FF017C"/>
    <w:rsid w:val="00FF1C5A"/>
    <w:rsid w:val="00FF4620"/>
    <w:rsid w:val="00FF5D0D"/>
    <w:rsid w:val="00FF5E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6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iPriority w:val="99"/>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uiPriority w:val="99"/>
    <w:rsid w:val="00596FB4"/>
    <w:rPr>
      <w:rFonts w:ascii="Times" w:hAnsi="Times" w:cs="Times"/>
    </w:rPr>
  </w:style>
  <w:style w:type="character" w:styleId="ad">
    <w:name w:val="footnote reference"/>
    <w:unhideWhenUsed/>
    <w:rsid w:val="00596FB4"/>
    <w:rPr>
      <w:vertAlign w:val="superscript"/>
    </w:rPr>
  </w:style>
  <w:style w:type="paragraph" w:customStyle="1" w:styleId="PressReleaseTitle">
    <w:name w:val="Press Release Title"/>
    <w:basedOn w:val="a"/>
    <w:link w:val="PressReleaseTitleChar"/>
    <w:qFormat/>
    <w:rsid w:val="00DE2E73"/>
    <w:pPr>
      <w:tabs>
        <w:tab w:val="center" w:pos="4156"/>
        <w:tab w:val="right" w:pos="8312"/>
      </w:tabs>
      <w:bidi w:val="0"/>
      <w:jc w:val="center"/>
    </w:pPr>
    <w:rPr>
      <w:rFonts w:cs="David"/>
      <w:b/>
      <w:bCs/>
      <w:sz w:val="26"/>
      <w:szCs w:val="26"/>
    </w:rPr>
  </w:style>
  <w:style w:type="character" w:customStyle="1" w:styleId="PressReleaseTitleChar">
    <w:name w:val="Press Release Title Char"/>
    <w:basedOn w:val="a0"/>
    <w:link w:val="PressReleaseTitle"/>
    <w:rsid w:val="00DE2E73"/>
    <w:rPr>
      <w:rFonts w:cs="David"/>
      <w:b/>
      <w:bCs/>
      <w:sz w:val="26"/>
      <w:szCs w:val="26"/>
    </w:rPr>
  </w:style>
  <w:style w:type="paragraph" w:styleId="ae">
    <w:name w:val="Title"/>
    <w:basedOn w:val="a"/>
    <w:next w:val="a"/>
    <w:link w:val="af"/>
    <w:qFormat/>
    <w:rsid w:val="00FA28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כותרת טקסט תו"/>
    <w:basedOn w:val="a0"/>
    <w:link w:val="ae"/>
    <w:rsid w:val="00FA28D4"/>
    <w:rPr>
      <w:rFonts w:asciiTheme="majorHAnsi" w:eastAsiaTheme="majorEastAsia" w:hAnsiTheme="majorHAnsi" w:cstheme="majorBidi"/>
      <w:color w:val="17365D" w:themeColor="text2" w:themeShade="BF"/>
      <w:spacing w:val="5"/>
      <w:kern w:val="28"/>
      <w:sz w:val="52"/>
      <w:szCs w:val="52"/>
    </w:rPr>
  </w:style>
  <w:style w:type="character" w:styleId="af0">
    <w:name w:val="annotation reference"/>
    <w:basedOn w:val="a0"/>
    <w:rsid w:val="00F031B0"/>
    <w:rPr>
      <w:sz w:val="16"/>
      <w:szCs w:val="16"/>
    </w:rPr>
  </w:style>
  <w:style w:type="paragraph" w:styleId="af1">
    <w:name w:val="annotation text"/>
    <w:basedOn w:val="a"/>
    <w:link w:val="af2"/>
    <w:rsid w:val="00F031B0"/>
    <w:rPr>
      <w:sz w:val="20"/>
      <w:szCs w:val="20"/>
    </w:rPr>
  </w:style>
  <w:style w:type="character" w:customStyle="1" w:styleId="af2">
    <w:name w:val="טקסט הערה תו"/>
    <w:basedOn w:val="a0"/>
    <w:link w:val="af1"/>
    <w:rsid w:val="00F031B0"/>
  </w:style>
  <w:style w:type="paragraph" w:styleId="af3">
    <w:name w:val="annotation subject"/>
    <w:basedOn w:val="af1"/>
    <w:next w:val="af1"/>
    <w:link w:val="af4"/>
    <w:rsid w:val="00F031B0"/>
    <w:rPr>
      <w:b/>
      <w:bCs/>
    </w:rPr>
  </w:style>
  <w:style w:type="character" w:customStyle="1" w:styleId="af4">
    <w:name w:val="נושא הערה תו"/>
    <w:basedOn w:val="af2"/>
    <w:link w:val="af3"/>
    <w:rsid w:val="00F031B0"/>
    <w:rPr>
      <w:b/>
      <w:bCs/>
    </w:rPr>
  </w:style>
  <w:style w:type="table" w:styleId="af5">
    <w:name w:val="Table Grid"/>
    <w:basedOn w:val="a1"/>
    <w:rsid w:val="005F6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5"/>
    <w:uiPriority w:val="59"/>
    <w:rsid w:val="001459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2">
    <w:name w:val="Letterhead 2"/>
    <w:basedOn w:val="a"/>
    <w:link w:val="Letterhead2Char"/>
    <w:qFormat/>
    <w:rsid w:val="001F5175"/>
    <w:pPr>
      <w:bidi w:val="0"/>
      <w:spacing w:line="300" w:lineRule="atLeast"/>
      <w:jc w:val="center"/>
    </w:pPr>
    <w:rPr>
      <w:sz w:val="26"/>
      <w:szCs w:val="26"/>
    </w:rPr>
  </w:style>
  <w:style w:type="character" w:customStyle="1" w:styleId="Letterhead2Char">
    <w:name w:val="Letterhead 2 Char"/>
    <w:basedOn w:val="a0"/>
    <w:link w:val="Letterhead2"/>
    <w:rsid w:val="001F5175"/>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07886">
      <w:bodyDiv w:val="1"/>
      <w:marLeft w:val="0"/>
      <w:marRight w:val="0"/>
      <w:marTop w:val="0"/>
      <w:marBottom w:val="0"/>
      <w:divBdr>
        <w:top w:val="none" w:sz="0" w:space="0" w:color="auto"/>
        <w:left w:val="none" w:sz="0" w:space="0" w:color="auto"/>
        <w:bottom w:val="none" w:sz="0" w:space="0" w:color="auto"/>
        <w:right w:val="none" w:sz="0" w:space="0" w:color="auto"/>
      </w:divBdr>
    </w:div>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boi.org.il/en/communication-and-publications/regular-publications/statistical-publications/statistical-bulletin-2018/" TargetMode="External"/><Relationship Id="rId1" Type="http://schemas.openxmlformats.org/officeDocument/2006/relationships/hyperlink" Target="https://www.boi.org.il/publications/regularpublications/statistic_bulletin/bulletin202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38CA6-4855-44F1-86E9-E3D9948A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932</Words>
  <Characters>5554</Characters>
  <Application>Microsoft Office Word</Application>
  <DocSecurity>4</DocSecurity>
  <Lines>46</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6474</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2025-05-05T11:01:00Z</dcterms:created>
  <dcterms:modified xsi:type="dcterms:W3CDTF">2025-05-05T11:01:00Z</dcterms:modified>
</cp:coreProperties>
</file>