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6400FD" w:rsidTr="0029736D">
        <w:tc>
          <w:tcPr>
            <w:tcW w:w="3343" w:type="dxa"/>
            <w:tcBorders>
              <w:top w:val="nil"/>
              <w:left w:val="nil"/>
              <w:bottom w:val="nil"/>
              <w:right w:val="nil"/>
            </w:tcBorders>
            <w:vAlign w:val="center"/>
          </w:tcPr>
          <w:p w:rsidR="009005BA" w:rsidRPr="006400FD" w:rsidRDefault="009005BA" w:rsidP="0029736D">
            <w:pPr>
              <w:rPr>
                <w:rFonts w:ascii="Calibri" w:hAnsi="Calibri" w:cs="Calibri"/>
                <w:b/>
                <w:bCs/>
                <w:sz w:val="24"/>
                <w:szCs w:val="24"/>
                <w:rtl/>
              </w:rPr>
            </w:pPr>
            <w:r w:rsidRPr="006400FD">
              <w:rPr>
                <w:rFonts w:ascii="Calibri" w:hAnsi="Calibri" w:cs="Calibri"/>
                <w:b/>
                <w:bCs/>
                <w:sz w:val="24"/>
                <w:szCs w:val="24"/>
                <w:rtl/>
              </w:rPr>
              <w:t>בנק ישראל</w:t>
            </w:r>
          </w:p>
          <w:p w:rsidR="009005BA" w:rsidRPr="006400FD" w:rsidRDefault="009005BA" w:rsidP="0029736D">
            <w:pPr>
              <w:rPr>
                <w:rFonts w:ascii="Calibri" w:hAnsi="Calibri" w:cs="Calibri"/>
                <w:b/>
                <w:bCs/>
                <w:sz w:val="28"/>
                <w:szCs w:val="28"/>
              </w:rPr>
            </w:pPr>
            <w:r w:rsidRPr="006400F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6400FD" w:rsidRDefault="009005BA" w:rsidP="0029736D">
            <w:pPr>
              <w:jc w:val="center"/>
              <w:rPr>
                <w:rFonts w:ascii="Calibri" w:hAnsi="Calibri" w:cs="Calibri"/>
              </w:rPr>
            </w:pPr>
            <w:r w:rsidRPr="006400FD">
              <w:rPr>
                <w:rFonts w:ascii="Calibri" w:hAnsi="Calibri" w:cs="Calibri"/>
                <w:noProof/>
              </w:rPr>
              <w:drawing>
                <wp:anchor distT="0" distB="0" distL="114300" distR="114300" simplePos="0" relativeHeight="251659264" behindDoc="0" locked="0" layoutInCell="1" allowOverlap="1" wp14:anchorId="36DFB231" wp14:editId="3EC3DABE">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6400FD" w:rsidRDefault="009005BA" w:rsidP="009005BA">
            <w:pPr>
              <w:jc w:val="right"/>
              <w:rPr>
                <w:rFonts w:ascii="Calibri" w:hAnsi="Calibri" w:cs="Calibri"/>
                <w:rtl/>
              </w:rPr>
            </w:pPr>
            <w:r w:rsidRPr="006400FD">
              <w:rPr>
                <w:rFonts w:ascii="Calibri" w:hAnsi="Calibri" w:cs="Calibri"/>
                <w:highlight w:val="green"/>
                <w:rtl/>
              </w:rPr>
              <w:t>‏</w:t>
            </w:r>
            <w:r w:rsidRPr="006400FD">
              <w:rPr>
                <w:rFonts w:ascii="Calibri" w:hAnsi="Calibri" w:cs="Calibri"/>
                <w:rtl/>
              </w:rPr>
              <w:t xml:space="preserve">ירושלים, </w:t>
            </w:r>
            <w:r w:rsidRPr="006400FD">
              <w:rPr>
                <w:rFonts w:ascii="Calibri" w:hAnsi="Calibri" w:cs="Calibri"/>
                <w:rtl/>
              </w:rPr>
              <w:fldChar w:fldCharType="begin"/>
            </w:r>
            <w:r w:rsidRPr="006400FD">
              <w:rPr>
                <w:rFonts w:ascii="Calibri" w:hAnsi="Calibri" w:cs="Calibri"/>
                <w:rtl/>
              </w:rPr>
              <w:instrText xml:space="preserve"> </w:instrText>
            </w:r>
            <w:r w:rsidRPr="006400FD">
              <w:rPr>
                <w:rFonts w:ascii="Calibri" w:hAnsi="Calibri" w:cs="Calibri"/>
              </w:rPr>
              <w:instrText>DATE</w:instrText>
            </w:r>
            <w:r w:rsidRPr="006400FD">
              <w:rPr>
                <w:rFonts w:ascii="Calibri" w:hAnsi="Calibri" w:cs="Calibri"/>
                <w:rtl/>
              </w:rPr>
              <w:instrText xml:space="preserve"> \@ "</w:instrText>
            </w:r>
            <w:r w:rsidRPr="006400FD">
              <w:rPr>
                <w:rFonts w:ascii="Calibri" w:hAnsi="Calibri" w:cs="Calibri"/>
              </w:rPr>
              <w:instrText>d MMMM, yyyy" \h</w:instrText>
            </w:r>
            <w:r w:rsidRPr="006400FD">
              <w:rPr>
                <w:rFonts w:ascii="Calibri" w:hAnsi="Calibri" w:cs="Calibri"/>
                <w:rtl/>
              </w:rPr>
              <w:instrText xml:space="preserve"> </w:instrText>
            </w:r>
            <w:r w:rsidRPr="006400FD">
              <w:rPr>
                <w:rFonts w:ascii="Calibri" w:hAnsi="Calibri" w:cs="Calibri"/>
                <w:rtl/>
              </w:rPr>
              <w:fldChar w:fldCharType="separate"/>
            </w:r>
            <w:r w:rsidR="006400FD" w:rsidRPr="006400FD">
              <w:rPr>
                <w:rFonts w:ascii="Calibri" w:hAnsi="Calibri" w:cs="Calibri"/>
                <w:noProof/>
                <w:rtl/>
              </w:rPr>
              <w:t>‏י"ח אדר, תשפ"ה</w:t>
            </w:r>
            <w:r w:rsidRPr="006400FD">
              <w:rPr>
                <w:rFonts w:ascii="Calibri" w:hAnsi="Calibri" w:cs="Calibri"/>
                <w:rtl/>
              </w:rPr>
              <w:fldChar w:fldCharType="end"/>
            </w:r>
          </w:p>
          <w:p w:rsidR="009005BA" w:rsidRPr="006400FD" w:rsidRDefault="009005BA" w:rsidP="009005BA">
            <w:pPr>
              <w:jc w:val="right"/>
              <w:rPr>
                <w:rFonts w:ascii="Calibri" w:hAnsi="Calibri" w:cs="Calibri"/>
                <w:highlight w:val="green"/>
              </w:rPr>
            </w:pPr>
            <w:r w:rsidRPr="006400FD">
              <w:rPr>
                <w:rFonts w:ascii="Calibri" w:hAnsi="Calibri" w:cs="Calibri"/>
                <w:rtl/>
              </w:rPr>
              <w:fldChar w:fldCharType="begin"/>
            </w:r>
            <w:r w:rsidRPr="006400FD">
              <w:rPr>
                <w:rFonts w:ascii="Calibri" w:hAnsi="Calibri" w:cs="Calibri"/>
                <w:rtl/>
              </w:rPr>
              <w:instrText xml:space="preserve"> </w:instrText>
            </w:r>
            <w:r w:rsidRPr="006400FD">
              <w:rPr>
                <w:rFonts w:ascii="Calibri" w:hAnsi="Calibri" w:cs="Calibri"/>
              </w:rPr>
              <w:instrText>DATE</w:instrText>
            </w:r>
            <w:r w:rsidRPr="006400FD">
              <w:rPr>
                <w:rFonts w:ascii="Calibri" w:hAnsi="Calibri" w:cs="Calibri"/>
                <w:rtl/>
              </w:rPr>
              <w:instrText xml:space="preserve"> \@ "</w:instrText>
            </w:r>
            <w:r w:rsidRPr="006400FD">
              <w:rPr>
                <w:rFonts w:ascii="Calibri" w:hAnsi="Calibri" w:cs="Calibri"/>
              </w:rPr>
              <w:instrText>d MMMM, yyyy</w:instrText>
            </w:r>
            <w:r w:rsidRPr="006400FD">
              <w:rPr>
                <w:rFonts w:ascii="Calibri" w:hAnsi="Calibri" w:cs="Calibri"/>
                <w:rtl/>
              </w:rPr>
              <w:instrText xml:space="preserve">" </w:instrText>
            </w:r>
            <w:r w:rsidRPr="006400FD">
              <w:rPr>
                <w:rFonts w:ascii="Calibri" w:hAnsi="Calibri" w:cs="Calibri"/>
                <w:rtl/>
              </w:rPr>
              <w:fldChar w:fldCharType="separate"/>
            </w:r>
            <w:r w:rsidR="006400FD" w:rsidRPr="006400FD">
              <w:rPr>
                <w:rFonts w:ascii="Calibri" w:hAnsi="Calibri" w:cs="Calibri"/>
                <w:noProof/>
                <w:rtl/>
              </w:rPr>
              <w:t>‏18 מרץ, 2025</w:t>
            </w:r>
            <w:r w:rsidRPr="006400FD">
              <w:rPr>
                <w:rFonts w:ascii="Calibri" w:hAnsi="Calibri" w:cs="Calibri"/>
                <w:rtl/>
              </w:rPr>
              <w:fldChar w:fldCharType="end"/>
            </w:r>
          </w:p>
        </w:tc>
      </w:tr>
    </w:tbl>
    <w:p w:rsidR="009005BA" w:rsidRPr="006400FD" w:rsidRDefault="009005BA" w:rsidP="007B0741">
      <w:pPr>
        <w:tabs>
          <w:tab w:val="left" w:pos="2315"/>
        </w:tabs>
        <w:rPr>
          <w:rFonts w:ascii="Calibri" w:hAnsi="Calibri" w:cs="Calibri"/>
          <w:sz w:val="24"/>
          <w:szCs w:val="24"/>
          <w:rtl/>
        </w:rPr>
      </w:pPr>
    </w:p>
    <w:p w:rsidR="00D66255" w:rsidRPr="006400FD" w:rsidRDefault="008E761A" w:rsidP="009005BA">
      <w:pPr>
        <w:tabs>
          <w:tab w:val="left" w:pos="2315"/>
        </w:tabs>
        <w:rPr>
          <w:rFonts w:ascii="Calibri" w:hAnsi="Calibri" w:cs="Calibri"/>
          <w:sz w:val="24"/>
          <w:szCs w:val="24"/>
          <w:rtl/>
        </w:rPr>
      </w:pPr>
      <w:r w:rsidRPr="006400FD">
        <w:rPr>
          <w:rFonts w:ascii="Calibri" w:hAnsi="Calibri" w:cs="Calibri"/>
          <w:sz w:val="24"/>
          <w:szCs w:val="24"/>
          <w:rtl/>
        </w:rPr>
        <w:t>הודעה לעיתונות:</w:t>
      </w:r>
    </w:p>
    <w:p w:rsidR="007158FC" w:rsidRPr="006400FD" w:rsidRDefault="007158FC" w:rsidP="007D645E">
      <w:pPr>
        <w:spacing w:after="0" w:line="240" w:lineRule="auto"/>
        <w:jc w:val="center"/>
        <w:rPr>
          <w:rFonts w:ascii="Calibri" w:eastAsia="Times New Roman" w:hAnsi="Calibri" w:cs="Calibri"/>
          <w:b/>
          <w:bCs/>
          <w:sz w:val="28"/>
          <w:szCs w:val="28"/>
          <w:shd w:val="clear" w:color="auto" w:fill="FFFFFF"/>
          <w:rtl/>
        </w:rPr>
      </w:pPr>
      <w:bookmarkStart w:id="0" w:name="_GoBack"/>
      <w:r w:rsidRPr="006400FD">
        <w:rPr>
          <w:rFonts w:ascii="Calibri" w:hAnsi="Calibri" w:cs="Calibri"/>
          <w:b/>
          <w:bCs/>
          <w:sz w:val="28"/>
          <w:szCs w:val="28"/>
          <w:shd w:val="clear" w:color="auto" w:fill="FFFFFF"/>
          <w:rtl/>
        </w:rPr>
        <w:t>בנק ישראל זכה בפרס המגזין הבינלאומי</w:t>
      </w:r>
      <w:r w:rsidR="0048330D" w:rsidRPr="006400FD">
        <w:rPr>
          <w:rFonts w:ascii="Calibri" w:hAnsi="Calibri" w:cs="Calibri"/>
          <w:b/>
          <w:bCs/>
          <w:sz w:val="28"/>
          <w:szCs w:val="28"/>
          <w:shd w:val="clear" w:color="auto" w:fill="FFFFFF"/>
        </w:rPr>
        <w:t>C</w:t>
      </w:r>
      <w:r w:rsidRPr="006400FD">
        <w:rPr>
          <w:rFonts w:ascii="Calibri" w:hAnsi="Calibri" w:cs="Calibri"/>
          <w:b/>
          <w:bCs/>
          <w:sz w:val="28"/>
          <w:szCs w:val="28"/>
          <w:shd w:val="clear" w:color="auto" w:fill="FFFFFF"/>
        </w:rPr>
        <w:t xml:space="preserve">entral Banking </w:t>
      </w:r>
      <w:r w:rsidR="006400FD">
        <w:rPr>
          <w:rFonts w:ascii="Calibri" w:eastAsia="Times New Roman" w:hAnsi="Calibri" w:cs="Calibri"/>
          <w:b/>
          <w:bCs/>
          <w:sz w:val="28"/>
          <w:szCs w:val="28"/>
          <w:shd w:val="clear" w:color="auto" w:fill="FFFFFF"/>
          <w:rtl/>
        </w:rPr>
        <w:t xml:space="preserve"> לשנת 2025</w:t>
      </w:r>
    </w:p>
    <w:bookmarkEnd w:id="0"/>
    <w:p w:rsidR="007158FC" w:rsidRPr="006400FD" w:rsidRDefault="007158FC" w:rsidP="007158FC">
      <w:pPr>
        <w:spacing w:after="0" w:line="240" w:lineRule="auto"/>
        <w:rPr>
          <w:rFonts w:ascii="Calibri" w:eastAsia="Times New Roman" w:hAnsi="Calibri" w:cs="Calibri"/>
          <w:color w:val="2E3D50"/>
          <w:sz w:val="24"/>
          <w:szCs w:val="24"/>
          <w:shd w:val="clear" w:color="auto" w:fill="FFFFFF"/>
          <w:rtl/>
        </w:rPr>
      </w:pPr>
    </w:p>
    <w:p w:rsidR="007158FC" w:rsidRPr="006400FD" w:rsidRDefault="007158FC" w:rsidP="007158FC">
      <w:pPr>
        <w:spacing w:after="0" w:line="240" w:lineRule="auto"/>
        <w:rPr>
          <w:rFonts w:ascii="Calibri" w:eastAsia="Times New Roman" w:hAnsi="Calibri" w:cs="Calibri"/>
          <w:color w:val="2E3D50"/>
          <w:sz w:val="24"/>
          <w:szCs w:val="24"/>
          <w:shd w:val="clear" w:color="auto" w:fill="FFFFFF"/>
          <w:rtl/>
        </w:rPr>
      </w:pPr>
    </w:p>
    <w:p w:rsidR="007158FC" w:rsidRPr="006400FD" w:rsidRDefault="007158FC" w:rsidP="006400FD">
      <w:pPr>
        <w:spacing w:after="0" w:line="360" w:lineRule="auto"/>
        <w:jc w:val="both"/>
        <w:rPr>
          <w:rFonts w:ascii="Calibri" w:eastAsia="Times New Roman" w:hAnsi="Calibri" w:cs="Calibri"/>
          <w:sz w:val="24"/>
          <w:szCs w:val="24"/>
          <w:shd w:val="clear" w:color="auto" w:fill="FFFFFF"/>
          <w:rtl/>
        </w:rPr>
      </w:pPr>
      <w:r w:rsidRPr="006400FD">
        <w:rPr>
          <w:rFonts w:ascii="Calibri" w:eastAsia="Times New Roman" w:hAnsi="Calibri" w:cs="Calibri"/>
          <w:sz w:val="24"/>
          <w:szCs w:val="24"/>
          <w:shd w:val="clear" w:color="auto" w:fill="FFFFFF"/>
          <w:rtl/>
        </w:rPr>
        <w:t>המגזין הבינלאומי</w:t>
      </w:r>
      <w:r w:rsidR="00D823C7" w:rsidRPr="006400FD">
        <w:rPr>
          <w:rFonts w:ascii="Calibri" w:eastAsia="Times New Roman" w:hAnsi="Calibri" w:cs="Calibri"/>
          <w:sz w:val="24"/>
          <w:szCs w:val="24"/>
          <w:shd w:val="clear" w:color="auto" w:fill="FFFFFF"/>
        </w:rPr>
        <w:t>"</w:t>
      </w:r>
      <w:r w:rsidRPr="006400FD">
        <w:rPr>
          <w:rFonts w:ascii="Calibri" w:eastAsia="Times New Roman" w:hAnsi="Calibri" w:cs="Calibri"/>
          <w:sz w:val="24"/>
          <w:szCs w:val="24"/>
          <w:shd w:val="clear" w:color="auto" w:fill="FFFFFF"/>
        </w:rPr>
        <w:t>Central Banking</w:t>
      </w:r>
      <w:r w:rsidR="00D823C7" w:rsidRPr="006400FD">
        <w:rPr>
          <w:rFonts w:ascii="Calibri" w:eastAsia="Times New Roman" w:hAnsi="Calibri" w:cs="Calibri"/>
          <w:sz w:val="24"/>
          <w:szCs w:val="24"/>
          <w:shd w:val="clear" w:color="auto" w:fill="FFFFFF"/>
        </w:rPr>
        <w:t>"</w:t>
      </w:r>
      <w:r w:rsidRPr="006400FD">
        <w:rPr>
          <w:rFonts w:ascii="Calibri" w:eastAsia="Times New Roman" w:hAnsi="Calibri" w:cs="Calibri"/>
          <w:sz w:val="24"/>
          <w:szCs w:val="24"/>
          <w:shd w:val="clear" w:color="auto" w:fill="FFFFFF"/>
        </w:rPr>
        <w:t xml:space="preserve"> </w:t>
      </w:r>
      <w:r w:rsidR="0048330D" w:rsidRPr="006400FD">
        <w:rPr>
          <w:rFonts w:ascii="Calibri" w:eastAsia="Times New Roman" w:hAnsi="Calibri" w:cs="Calibri"/>
          <w:sz w:val="24"/>
          <w:szCs w:val="24"/>
          <w:shd w:val="clear" w:color="auto" w:fill="FFFFFF"/>
          <w:rtl/>
        </w:rPr>
        <w:t xml:space="preserve"> </w:t>
      </w:r>
      <w:hyperlink r:id="rId9" w:history="1">
        <w:r w:rsidR="0048330D" w:rsidRPr="006400FD">
          <w:rPr>
            <w:rStyle w:val="Hyperlink"/>
            <w:rFonts w:ascii="Calibri" w:eastAsia="Times New Roman" w:hAnsi="Calibri" w:cs="Calibri"/>
            <w:sz w:val="24"/>
            <w:szCs w:val="24"/>
            <w:shd w:val="clear" w:color="auto" w:fill="FFFFFF"/>
            <w:rtl/>
          </w:rPr>
          <w:t>הודיע</w:t>
        </w:r>
      </w:hyperlink>
      <w:r w:rsidR="006400FD">
        <w:rPr>
          <w:rStyle w:val="af2"/>
          <w:rFonts w:ascii="Calibri" w:eastAsia="Times New Roman" w:hAnsi="Calibri" w:cs="Calibri" w:hint="cs"/>
          <w:sz w:val="24"/>
          <w:szCs w:val="24"/>
          <w:shd w:val="clear" w:color="auto" w:fill="FFFFFF"/>
        </w:rPr>
        <w:t xml:space="preserve"> </w:t>
      </w:r>
      <w:r w:rsidR="0048330D" w:rsidRPr="006400FD">
        <w:rPr>
          <w:rFonts w:ascii="Calibri" w:eastAsia="Times New Roman" w:hAnsi="Calibri" w:cs="Calibri"/>
          <w:sz w:val="24"/>
          <w:szCs w:val="24"/>
          <w:shd w:val="clear" w:color="auto" w:fill="FFFFFF"/>
          <w:rtl/>
        </w:rPr>
        <w:t xml:space="preserve">כי </w:t>
      </w:r>
      <w:r w:rsidR="00BC77BF" w:rsidRPr="006400FD">
        <w:rPr>
          <w:rFonts w:ascii="Calibri" w:eastAsia="Times New Roman" w:hAnsi="Calibri" w:cs="Calibri"/>
          <w:sz w:val="24"/>
          <w:szCs w:val="24"/>
          <w:shd w:val="clear" w:color="auto" w:fill="FFFFFF"/>
          <w:rtl/>
        </w:rPr>
        <w:t xml:space="preserve">בעקבות </w:t>
      </w:r>
      <w:r w:rsidR="00E95307" w:rsidRPr="006400FD">
        <w:rPr>
          <w:rFonts w:ascii="Calibri" w:eastAsia="Times New Roman" w:hAnsi="Calibri" w:cs="Calibri"/>
          <w:sz w:val="24"/>
          <w:szCs w:val="24"/>
          <w:shd w:val="clear" w:color="auto" w:fill="FFFFFF"/>
          <w:rtl/>
        </w:rPr>
        <w:t xml:space="preserve">תהליכי </w:t>
      </w:r>
      <w:r w:rsidR="00A146F7" w:rsidRPr="006400FD">
        <w:rPr>
          <w:rFonts w:ascii="Calibri" w:eastAsia="Times New Roman" w:hAnsi="Calibri" w:cs="Calibri"/>
          <w:sz w:val="24"/>
          <w:szCs w:val="24"/>
          <w:shd w:val="clear" w:color="auto" w:fill="FFFFFF"/>
          <w:rtl/>
        </w:rPr>
        <w:t>הנגשת המידע הבנקאי לציבור שקידם</w:t>
      </w:r>
      <w:r w:rsidR="0048330D" w:rsidRPr="006400FD">
        <w:rPr>
          <w:rFonts w:ascii="Calibri" w:eastAsia="Times New Roman" w:hAnsi="Calibri" w:cs="Calibri"/>
          <w:sz w:val="24"/>
          <w:szCs w:val="24"/>
          <w:shd w:val="clear" w:color="auto" w:fill="FFFFFF"/>
          <w:rtl/>
        </w:rPr>
        <w:t xml:space="preserve"> בנק ישראל</w:t>
      </w:r>
      <w:r w:rsidR="00E95307" w:rsidRPr="006400FD">
        <w:rPr>
          <w:rFonts w:ascii="Calibri" w:eastAsia="Times New Roman" w:hAnsi="Calibri" w:cs="Calibri"/>
          <w:sz w:val="24"/>
          <w:szCs w:val="24"/>
          <w:shd w:val="clear" w:color="auto" w:fill="FFFFFF"/>
          <w:rtl/>
        </w:rPr>
        <w:t xml:space="preserve"> בשנים האחרונות</w:t>
      </w:r>
      <w:r w:rsidR="00C562BF" w:rsidRPr="006400FD">
        <w:rPr>
          <w:rFonts w:ascii="Calibri" w:eastAsia="Times New Roman" w:hAnsi="Calibri" w:cs="Calibri"/>
          <w:sz w:val="24"/>
          <w:szCs w:val="24"/>
          <w:shd w:val="clear" w:color="auto" w:fill="FFFFFF"/>
          <w:rtl/>
        </w:rPr>
        <w:t>,</w:t>
      </w:r>
      <w:r w:rsidR="00E95307" w:rsidRPr="006400FD">
        <w:rPr>
          <w:rFonts w:ascii="Calibri" w:eastAsia="Times New Roman" w:hAnsi="Calibri" w:cs="Calibri"/>
          <w:sz w:val="24"/>
          <w:szCs w:val="24"/>
          <w:shd w:val="clear" w:color="auto" w:fill="FFFFFF"/>
          <w:rtl/>
        </w:rPr>
        <w:t xml:space="preserve"> </w:t>
      </w:r>
      <w:r w:rsidR="0048330D" w:rsidRPr="006400FD">
        <w:rPr>
          <w:rFonts w:ascii="Calibri" w:eastAsia="Times New Roman" w:hAnsi="Calibri" w:cs="Calibri"/>
          <w:sz w:val="24"/>
          <w:szCs w:val="24"/>
          <w:shd w:val="clear" w:color="auto" w:fill="FFFFFF"/>
          <w:rtl/>
        </w:rPr>
        <w:t xml:space="preserve">זכה </w:t>
      </w:r>
      <w:r w:rsidR="00BC77BF" w:rsidRPr="006400FD">
        <w:rPr>
          <w:rFonts w:ascii="Calibri" w:eastAsia="Times New Roman" w:hAnsi="Calibri" w:cs="Calibri"/>
          <w:sz w:val="24"/>
          <w:szCs w:val="24"/>
          <w:shd w:val="clear" w:color="auto" w:fill="FFFFFF"/>
          <w:rtl/>
        </w:rPr>
        <w:t xml:space="preserve">הבנק בפרס המגזין </w:t>
      </w:r>
      <w:r w:rsidR="0048330D" w:rsidRPr="006400FD">
        <w:rPr>
          <w:rFonts w:ascii="Calibri" w:eastAsia="Times New Roman" w:hAnsi="Calibri" w:cs="Calibri"/>
          <w:sz w:val="24"/>
          <w:szCs w:val="24"/>
          <w:shd w:val="clear" w:color="auto" w:fill="FFFFFF"/>
          <w:rtl/>
        </w:rPr>
        <w:t>לשנת</w:t>
      </w:r>
      <w:r w:rsidR="009748E7" w:rsidRPr="006400FD">
        <w:rPr>
          <w:rFonts w:ascii="Calibri" w:eastAsia="Times New Roman" w:hAnsi="Calibri" w:cs="Calibri"/>
          <w:sz w:val="24"/>
          <w:szCs w:val="24"/>
          <w:shd w:val="clear" w:color="auto" w:fill="FFFFFF"/>
          <w:rtl/>
        </w:rPr>
        <w:t xml:space="preserve"> 2025</w:t>
      </w:r>
      <w:r w:rsidR="00E95307" w:rsidRPr="006400FD">
        <w:rPr>
          <w:rFonts w:ascii="Calibri" w:eastAsia="Times New Roman" w:hAnsi="Calibri" w:cs="Calibri"/>
          <w:sz w:val="24"/>
          <w:szCs w:val="24"/>
          <w:shd w:val="clear" w:color="auto" w:fill="FFFFFF"/>
          <w:rtl/>
        </w:rPr>
        <w:t xml:space="preserve"> בקטגוריית </w:t>
      </w:r>
      <w:r w:rsidR="00E95307" w:rsidRPr="006400FD">
        <w:rPr>
          <w:rFonts w:ascii="Calibri" w:eastAsia="Times New Roman" w:hAnsi="Calibri" w:cs="Calibri"/>
          <w:sz w:val="24"/>
          <w:szCs w:val="24"/>
          <w:shd w:val="clear" w:color="auto" w:fill="FFFFFF"/>
        </w:rPr>
        <w:t>communication</w:t>
      </w:r>
      <w:r w:rsidR="00E95307" w:rsidRPr="006400FD">
        <w:rPr>
          <w:rFonts w:ascii="Calibri" w:eastAsia="Times New Roman" w:hAnsi="Calibri" w:cs="Calibri"/>
          <w:sz w:val="24"/>
          <w:szCs w:val="24"/>
          <w:shd w:val="clear" w:color="auto" w:fill="FFFFFF"/>
          <w:rtl/>
        </w:rPr>
        <w:t>.</w:t>
      </w:r>
    </w:p>
    <w:p w:rsidR="00927485" w:rsidRPr="006400FD" w:rsidRDefault="00927485" w:rsidP="00927485">
      <w:pPr>
        <w:spacing w:after="0" w:line="360" w:lineRule="auto"/>
        <w:jc w:val="both"/>
        <w:rPr>
          <w:rFonts w:ascii="Calibri" w:eastAsia="Times New Roman" w:hAnsi="Calibri" w:cs="Calibri"/>
          <w:sz w:val="24"/>
          <w:szCs w:val="24"/>
          <w:shd w:val="clear" w:color="auto" w:fill="FFFFFF"/>
          <w:rtl/>
        </w:rPr>
      </w:pPr>
    </w:p>
    <w:p w:rsidR="009748E7" w:rsidRPr="006400FD" w:rsidRDefault="0048330D" w:rsidP="00927485">
      <w:pPr>
        <w:spacing w:after="0" w:line="360" w:lineRule="auto"/>
        <w:jc w:val="both"/>
        <w:rPr>
          <w:rFonts w:ascii="Calibri" w:hAnsi="Calibri" w:cs="Calibri"/>
          <w:sz w:val="24"/>
          <w:szCs w:val="24"/>
          <w:rtl/>
        </w:rPr>
      </w:pPr>
      <w:r w:rsidRPr="006400FD">
        <w:rPr>
          <w:rFonts w:ascii="Calibri" w:eastAsia="Times New Roman" w:hAnsi="Calibri" w:cs="Calibri"/>
          <w:b/>
          <w:bCs/>
          <w:sz w:val="24"/>
          <w:szCs w:val="24"/>
          <w:shd w:val="clear" w:color="auto" w:fill="FFFFFF"/>
          <w:rtl/>
        </w:rPr>
        <w:t>נגיד בנק ישראל, פרופ' אמיר ירון</w:t>
      </w:r>
      <w:r w:rsidRPr="006400FD">
        <w:rPr>
          <w:rFonts w:ascii="Calibri" w:eastAsia="Times New Roman" w:hAnsi="Calibri" w:cs="Calibri"/>
          <w:sz w:val="24"/>
          <w:szCs w:val="24"/>
          <w:shd w:val="clear" w:color="auto" w:fill="FFFFFF"/>
          <w:rtl/>
        </w:rPr>
        <w:t>: "</w:t>
      </w:r>
      <w:r w:rsidR="009748E7" w:rsidRPr="006400FD">
        <w:rPr>
          <w:rFonts w:ascii="Calibri" w:eastAsia="Times New Roman" w:hAnsi="Calibri" w:cs="Calibri"/>
          <w:sz w:val="24"/>
          <w:szCs w:val="24"/>
          <w:shd w:val="clear" w:color="auto" w:fill="FFFFFF"/>
          <w:rtl/>
        </w:rPr>
        <w:t>הזכייה מהווה נדבך נוסף בהכרה הבינלאומית לה זוכה בנק ישראל ומשקפת את היוזמות החדשניות של הבנק, שמתבטא</w:t>
      </w:r>
      <w:r w:rsidR="00927485" w:rsidRPr="006400FD">
        <w:rPr>
          <w:rFonts w:ascii="Calibri" w:eastAsia="Times New Roman" w:hAnsi="Calibri" w:cs="Calibri"/>
          <w:sz w:val="24"/>
          <w:szCs w:val="24"/>
          <w:shd w:val="clear" w:color="auto" w:fill="FFFFFF"/>
          <w:rtl/>
        </w:rPr>
        <w:t>ות</w:t>
      </w:r>
      <w:r w:rsidR="009748E7" w:rsidRPr="006400FD">
        <w:rPr>
          <w:rFonts w:ascii="Calibri" w:eastAsia="Times New Roman" w:hAnsi="Calibri" w:cs="Calibri"/>
          <w:sz w:val="24"/>
          <w:szCs w:val="24"/>
          <w:shd w:val="clear" w:color="auto" w:fill="FFFFFF"/>
          <w:rtl/>
        </w:rPr>
        <w:t xml:space="preserve"> גם בפרסום מידע </w:t>
      </w:r>
      <w:r w:rsidR="00E95307" w:rsidRPr="006400FD">
        <w:rPr>
          <w:rFonts w:ascii="Calibri" w:eastAsia="Times New Roman" w:hAnsi="Calibri" w:cs="Calibri"/>
          <w:sz w:val="24"/>
          <w:szCs w:val="24"/>
          <w:shd w:val="clear" w:color="auto" w:fill="FFFFFF"/>
          <w:rtl/>
        </w:rPr>
        <w:t xml:space="preserve">בנקאי </w:t>
      </w:r>
      <w:r w:rsidR="009748E7" w:rsidRPr="006400FD">
        <w:rPr>
          <w:rFonts w:ascii="Calibri" w:eastAsia="Times New Roman" w:hAnsi="Calibri" w:cs="Calibri"/>
          <w:sz w:val="24"/>
          <w:szCs w:val="24"/>
          <w:shd w:val="clear" w:color="auto" w:fill="FFFFFF"/>
          <w:rtl/>
        </w:rPr>
        <w:t xml:space="preserve">עשיר ורלוונטי </w:t>
      </w:r>
      <w:r w:rsidR="00D54747" w:rsidRPr="006400FD">
        <w:rPr>
          <w:rFonts w:ascii="Calibri" w:hAnsi="Calibri" w:cs="Calibri"/>
          <w:sz w:val="24"/>
          <w:szCs w:val="24"/>
          <w:rtl/>
        </w:rPr>
        <w:t>ברמת הבנק הבודד</w:t>
      </w:r>
      <w:r w:rsidR="009748E7" w:rsidRPr="006400FD">
        <w:rPr>
          <w:rFonts w:ascii="Calibri" w:eastAsia="Times New Roman" w:hAnsi="Calibri" w:cs="Calibri"/>
          <w:sz w:val="24"/>
          <w:szCs w:val="24"/>
          <w:shd w:val="clear" w:color="auto" w:fill="FFFFFF"/>
          <w:rtl/>
        </w:rPr>
        <w:t xml:space="preserve">. פרסום המידע ההשוואתי </w:t>
      </w:r>
      <w:r w:rsidR="00E95307" w:rsidRPr="006400FD">
        <w:rPr>
          <w:rFonts w:ascii="Calibri" w:eastAsia="Times New Roman" w:hAnsi="Calibri" w:cs="Calibri"/>
          <w:sz w:val="24"/>
          <w:szCs w:val="24"/>
          <w:shd w:val="clear" w:color="auto" w:fill="FFFFFF"/>
          <w:rtl/>
        </w:rPr>
        <w:t xml:space="preserve">מסייע </w:t>
      </w:r>
      <w:r w:rsidR="009748E7" w:rsidRPr="006400FD">
        <w:rPr>
          <w:rFonts w:ascii="Calibri" w:hAnsi="Calibri" w:cs="Calibri"/>
          <w:sz w:val="24"/>
          <w:szCs w:val="24"/>
          <w:rtl/>
        </w:rPr>
        <w:t xml:space="preserve">לחיזוק כוחו של הלקוח וליכולת לקבל החלטה מושכלת, לאחר בחינת מכלול הנתונים באופן פשוט, נגיש ונוח ובכך </w:t>
      </w:r>
      <w:r w:rsidR="00927485" w:rsidRPr="006400FD">
        <w:rPr>
          <w:rFonts w:ascii="Calibri" w:hAnsi="Calibri" w:cs="Calibri"/>
          <w:sz w:val="24"/>
          <w:szCs w:val="24"/>
          <w:rtl/>
        </w:rPr>
        <w:t>מ</w:t>
      </w:r>
      <w:r w:rsidR="009748E7" w:rsidRPr="006400FD">
        <w:rPr>
          <w:rFonts w:ascii="Calibri" w:hAnsi="Calibri" w:cs="Calibri"/>
          <w:sz w:val="24"/>
          <w:szCs w:val="24"/>
          <w:rtl/>
        </w:rPr>
        <w:t xml:space="preserve">גביר את התחרות במערכת הבנקאית. אני מודה לצוותים המקצועיים </w:t>
      </w:r>
      <w:r w:rsidR="00D54747" w:rsidRPr="006400FD">
        <w:rPr>
          <w:rFonts w:ascii="Calibri" w:hAnsi="Calibri" w:cs="Calibri"/>
          <w:sz w:val="24"/>
          <w:szCs w:val="24"/>
          <w:rtl/>
        </w:rPr>
        <w:t>ב</w:t>
      </w:r>
      <w:r w:rsidR="009748E7" w:rsidRPr="006400FD">
        <w:rPr>
          <w:rFonts w:ascii="Calibri" w:hAnsi="Calibri" w:cs="Calibri"/>
          <w:sz w:val="24"/>
          <w:szCs w:val="24"/>
          <w:rtl/>
        </w:rPr>
        <w:t xml:space="preserve">בנק על העבודה החשובה </w:t>
      </w:r>
      <w:r w:rsidR="00D54747" w:rsidRPr="006400FD">
        <w:rPr>
          <w:rFonts w:ascii="Calibri" w:hAnsi="Calibri" w:cs="Calibri"/>
          <w:sz w:val="24"/>
          <w:szCs w:val="24"/>
          <w:rtl/>
        </w:rPr>
        <w:t>בנושא זה</w:t>
      </w:r>
      <w:r w:rsidR="009748E7" w:rsidRPr="006400FD">
        <w:rPr>
          <w:rFonts w:ascii="Calibri" w:hAnsi="Calibri" w:cs="Calibri"/>
          <w:sz w:val="24"/>
          <w:szCs w:val="24"/>
          <w:rtl/>
        </w:rPr>
        <w:t xml:space="preserve">". </w:t>
      </w:r>
    </w:p>
    <w:p w:rsidR="0048330D" w:rsidRPr="006400FD" w:rsidRDefault="0048330D" w:rsidP="00927485">
      <w:pPr>
        <w:spacing w:after="0" w:line="360" w:lineRule="auto"/>
        <w:jc w:val="both"/>
        <w:rPr>
          <w:rFonts w:ascii="Calibri" w:eastAsia="Times New Roman" w:hAnsi="Calibri" w:cs="Calibri"/>
          <w:sz w:val="24"/>
          <w:szCs w:val="24"/>
          <w:shd w:val="clear" w:color="auto" w:fill="FFFFFF"/>
          <w:rtl/>
        </w:rPr>
      </w:pPr>
    </w:p>
    <w:p w:rsidR="00927485" w:rsidRPr="006400FD" w:rsidRDefault="00D54747" w:rsidP="00927485">
      <w:pPr>
        <w:spacing w:line="360" w:lineRule="auto"/>
        <w:jc w:val="both"/>
        <w:rPr>
          <w:rFonts w:ascii="Calibri" w:hAnsi="Calibri" w:cs="Calibri"/>
          <w:sz w:val="24"/>
          <w:szCs w:val="24"/>
          <w:rtl/>
        </w:rPr>
      </w:pPr>
      <w:r w:rsidRPr="006400FD">
        <w:rPr>
          <w:rFonts w:ascii="Calibri" w:hAnsi="Calibri" w:cs="Calibri"/>
          <w:sz w:val="24"/>
          <w:szCs w:val="24"/>
          <w:rtl/>
        </w:rPr>
        <w:t>התהליכים שהוביל הבנק בשנים האחרונות כרקע לזכייה:</w:t>
      </w:r>
    </w:p>
    <w:p w:rsidR="00C562BF" w:rsidRPr="006400FD" w:rsidRDefault="007158FC" w:rsidP="006400FD">
      <w:pPr>
        <w:spacing w:line="360" w:lineRule="auto"/>
        <w:jc w:val="both"/>
        <w:rPr>
          <w:rFonts w:ascii="Calibri" w:hAnsi="Calibri" w:cs="Calibri"/>
          <w:sz w:val="24"/>
          <w:szCs w:val="24"/>
          <w:rtl/>
        </w:rPr>
      </w:pPr>
      <w:r w:rsidRPr="006400FD">
        <w:rPr>
          <w:rFonts w:ascii="Calibri" w:hAnsi="Calibri" w:cs="Calibri"/>
          <w:sz w:val="24"/>
          <w:szCs w:val="24"/>
          <w:rtl/>
        </w:rPr>
        <w:t xml:space="preserve">כחלק מהרפורמות הצרכניות הרבות שקידם </w:t>
      </w:r>
      <w:r w:rsidR="009748E7" w:rsidRPr="006400FD">
        <w:rPr>
          <w:rFonts w:ascii="Calibri" w:hAnsi="Calibri" w:cs="Calibri"/>
          <w:sz w:val="24"/>
          <w:szCs w:val="24"/>
          <w:rtl/>
        </w:rPr>
        <w:t xml:space="preserve">בנק ישראל </w:t>
      </w:r>
      <w:r w:rsidRPr="006400FD">
        <w:rPr>
          <w:rFonts w:ascii="Calibri" w:hAnsi="Calibri" w:cs="Calibri"/>
          <w:sz w:val="24"/>
          <w:szCs w:val="24"/>
          <w:rtl/>
        </w:rPr>
        <w:t xml:space="preserve">בשנים האחרונות, </w:t>
      </w:r>
      <w:r w:rsidR="00BC77BF" w:rsidRPr="006400FD">
        <w:rPr>
          <w:rFonts w:ascii="Calibri" w:hAnsi="Calibri" w:cs="Calibri"/>
          <w:sz w:val="24"/>
          <w:szCs w:val="24"/>
          <w:rtl/>
        </w:rPr>
        <w:t>קודמ</w:t>
      </w:r>
      <w:r w:rsidR="00D54747" w:rsidRPr="006400FD">
        <w:rPr>
          <w:rFonts w:ascii="Calibri" w:hAnsi="Calibri" w:cs="Calibri"/>
          <w:sz w:val="24"/>
          <w:szCs w:val="24"/>
          <w:rtl/>
        </w:rPr>
        <w:t xml:space="preserve">ו כלים שונים להגברת </w:t>
      </w:r>
      <w:r w:rsidRPr="006400FD">
        <w:rPr>
          <w:rFonts w:ascii="Calibri" w:hAnsi="Calibri" w:cs="Calibri"/>
          <w:sz w:val="24"/>
          <w:szCs w:val="24"/>
          <w:rtl/>
        </w:rPr>
        <w:t xml:space="preserve">השקיפות והנגשה של </w:t>
      </w:r>
      <w:r w:rsidR="00BC77BF" w:rsidRPr="006400FD">
        <w:rPr>
          <w:rFonts w:ascii="Calibri" w:hAnsi="Calibri" w:cs="Calibri"/>
          <w:sz w:val="24"/>
          <w:szCs w:val="24"/>
          <w:rtl/>
        </w:rPr>
        <w:t xml:space="preserve">מידע בנקאי, </w:t>
      </w:r>
      <w:r w:rsidR="00D54747" w:rsidRPr="006400FD">
        <w:rPr>
          <w:rFonts w:ascii="Calibri" w:hAnsi="Calibri" w:cs="Calibri"/>
          <w:sz w:val="24"/>
          <w:szCs w:val="24"/>
          <w:rtl/>
        </w:rPr>
        <w:t>גם ברמת הבנק הבודד</w:t>
      </w:r>
      <w:r w:rsidR="00BC77BF" w:rsidRPr="006400FD">
        <w:rPr>
          <w:rFonts w:ascii="Calibri" w:hAnsi="Calibri" w:cs="Calibri"/>
          <w:sz w:val="24"/>
          <w:szCs w:val="24"/>
          <w:rtl/>
        </w:rPr>
        <w:t xml:space="preserve">, </w:t>
      </w:r>
      <w:r w:rsidR="00D54747" w:rsidRPr="006400FD">
        <w:rPr>
          <w:rFonts w:ascii="Calibri" w:hAnsi="Calibri" w:cs="Calibri"/>
          <w:sz w:val="24"/>
          <w:szCs w:val="24"/>
          <w:rtl/>
        </w:rPr>
        <w:t xml:space="preserve">באמצעות "דשבורד אינטרנטי" </w:t>
      </w:r>
      <w:r w:rsidRPr="006400FD">
        <w:rPr>
          <w:rFonts w:ascii="Calibri" w:hAnsi="Calibri" w:cs="Calibri"/>
          <w:sz w:val="24"/>
          <w:szCs w:val="24"/>
          <w:rtl/>
        </w:rPr>
        <w:t xml:space="preserve">לציבור הרחב. </w:t>
      </w:r>
      <w:r w:rsidR="00D54747" w:rsidRPr="006400FD">
        <w:rPr>
          <w:rFonts w:ascii="Calibri" w:hAnsi="Calibri" w:cs="Calibri"/>
          <w:sz w:val="24"/>
          <w:szCs w:val="24"/>
          <w:rtl/>
        </w:rPr>
        <w:t>המידע הבנקאי מופיע בשפה נגישה ופשוטה להבנה ובתצורה ידידותית ככל הניתן. פרסומי ה"דשבורדים"</w:t>
      </w:r>
      <w:r w:rsidR="009748E7" w:rsidRPr="006400FD">
        <w:rPr>
          <w:rFonts w:ascii="Calibri" w:hAnsi="Calibri" w:cs="Calibri"/>
          <w:sz w:val="24"/>
          <w:szCs w:val="24"/>
          <w:rtl/>
        </w:rPr>
        <w:t xml:space="preserve"> החל</w:t>
      </w:r>
      <w:r w:rsidR="00D54747" w:rsidRPr="006400FD">
        <w:rPr>
          <w:rFonts w:ascii="Calibri" w:hAnsi="Calibri" w:cs="Calibri"/>
          <w:sz w:val="24"/>
          <w:szCs w:val="24"/>
          <w:rtl/>
        </w:rPr>
        <w:t>ו כבר ב-2022</w:t>
      </w:r>
      <w:r w:rsidR="009748E7" w:rsidRPr="006400FD">
        <w:rPr>
          <w:rFonts w:ascii="Calibri" w:hAnsi="Calibri" w:cs="Calibri"/>
          <w:sz w:val="24"/>
          <w:szCs w:val="24"/>
          <w:rtl/>
        </w:rPr>
        <w:t xml:space="preserve"> </w:t>
      </w:r>
      <w:r w:rsidRPr="006400FD">
        <w:rPr>
          <w:rFonts w:ascii="Calibri" w:hAnsi="Calibri" w:cs="Calibri"/>
          <w:sz w:val="24"/>
          <w:szCs w:val="24"/>
          <w:rtl/>
        </w:rPr>
        <w:t>במקביל לתהליך עליית הריבית</w:t>
      </w:r>
      <w:r w:rsidR="0048330D" w:rsidRPr="006400FD">
        <w:rPr>
          <w:rFonts w:ascii="Calibri" w:hAnsi="Calibri" w:cs="Calibri"/>
          <w:sz w:val="24"/>
          <w:szCs w:val="24"/>
          <w:rtl/>
        </w:rPr>
        <w:t xml:space="preserve">, </w:t>
      </w:r>
      <w:r w:rsidR="009748E7" w:rsidRPr="006400FD">
        <w:rPr>
          <w:rFonts w:ascii="Calibri" w:hAnsi="Calibri" w:cs="Calibri"/>
          <w:sz w:val="24"/>
          <w:szCs w:val="24"/>
          <w:rtl/>
        </w:rPr>
        <w:t xml:space="preserve">כך שכבר </w:t>
      </w:r>
      <w:r w:rsidR="0048330D" w:rsidRPr="006400FD">
        <w:rPr>
          <w:rFonts w:ascii="Calibri" w:hAnsi="Calibri" w:cs="Calibri"/>
          <w:sz w:val="24"/>
          <w:szCs w:val="24"/>
          <w:rtl/>
        </w:rPr>
        <w:t xml:space="preserve">בחודש אוקטובר 2022 החל הפיקוח על הבנקים להנגיש לראשונה מידע השוואתי על </w:t>
      </w:r>
      <w:r w:rsidR="00BC77BF" w:rsidRPr="006400FD">
        <w:rPr>
          <w:rFonts w:ascii="Calibri" w:hAnsi="Calibri" w:cs="Calibri"/>
          <w:sz w:val="24"/>
          <w:szCs w:val="24"/>
          <w:rtl/>
        </w:rPr>
        <w:t>שיעורי ה</w:t>
      </w:r>
      <w:r w:rsidR="0048330D" w:rsidRPr="006400FD">
        <w:rPr>
          <w:rFonts w:ascii="Calibri" w:hAnsi="Calibri" w:cs="Calibri"/>
          <w:sz w:val="24"/>
          <w:szCs w:val="24"/>
          <w:rtl/>
        </w:rPr>
        <w:t>ריביות</w:t>
      </w:r>
      <w:r w:rsidR="009A5B83" w:rsidRPr="006400FD">
        <w:rPr>
          <w:rFonts w:ascii="Calibri" w:hAnsi="Calibri" w:cs="Calibri"/>
          <w:sz w:val="24"/>
          <w:szCs w:val="24"/>
          <w:rtl/>
        </w:rPr>
        <w:t>,</w:t>
      </w:r>
      <w:r w:rsidR="0048330D" w:rsidRPr="006400FD">
        <w:rPr>
          <w:rFonts w:ascii="Calibri" w:hAnsi="Calibri" w:cs="Calibri"/>
          <w:sz w:val="24"/>
          <w:szCs w:val="24"/>
          <w:rtl/>
        </w:rPr>
        <w:t xml:space="preserve"> במטרה לשפר את היכולת של הציבור הרחב להשוות בין מוצרי הפיקדונות והאשראי של הבנקים השונים. </w:t>
      </w:r>
      <w:r w:rsidR="00BC77BF" w:rsidRPr="006400FD">
        <w:rPr>
          <w:rFonts w:ascii="Calibri" w:hAnsi="Calibri" w:cs="Calibri"/>
          <w:sz w:val="24"/>
          <w:szCs w:val="24"/>
          <w:rtl/>
        </w:rPr>
        <w:t>בשנת 2023</w:t>
      </w:r>
      <w:r w:rsidR="0048330D" w:rsidRPr="006400FD">
        <w:rPr>
          <w:rFonts w:ascii="Calibri" w:hAnsi="Calibri" w:cs="Calibri"/>
          <w:sz w:val="24"/>
          <w:szCs w:val="24"/>
          <w:rtl/>
        </w:rPr>
        <w:t xml:space="preserve">, הורחב </w:t>
      </w:r>
      <w:r w:rsidRPr="006400FD">
        <w:rPr>
          <w:rFonts w:ascii="Calibri" w:hAnsi="Calibri" w:cs="Calibri"/>
          <w:sz w:val="24"/>
          <w:szCs w:val="24"/>
          <w:rtl/>
        </w:rPr>
        <w:t xml:space="preserve">פרסום נתוני </w:t>
      </w:r>
      <w:r w:rsidR="00BC77BF" w:rsidRPr="006400FD">
        <w:rPr>
          <w:rFonts w:ascii="Calibri" w:hAnsi="Calibri" w:cs="Calibri"/>
          <w:sz w:val="24"/>
          <w:szCs w:val="24"/>
          <w:rtl/>
        </w:rPr>
        <w:t xml:space="preserve">שיעורי </w:t>
      </w:r>
      <w:r w:rsidRPr="006400FD">
        <w:rPr>
          <w:rFonts w:ascii="Calibri" w:hAnsi="Calibri" w:cs="Calibri"/>
          <w:sz w:val="24"/>
          <w:szCs w:val="24"/>
          <w:rtl/>
        </w:rPr>
        <w:t xml:space="preserve">הריביות גם לנתוני עו"ש ונתונים על הפעילות בכרטיסי אשראי. </w:t>
      </w:r>
      <w:r w:rsidR="0045538E" w:rsidRPr="006400FD">
        <w:rPr>
          <w:rFonts w:ascii="Calibri" w:hAnsi="Calibri" w:cs="Calibri"/>
          <w:sz w:val="24"/>
          <w:szCs w:val="24"/>
          <w:rtl/>
        </w:rPr>
        <w:t xml:space="preserve">במהלך שנה זו הושקו גם דשבורד דוחות כספיים ודשבורד השוואת ריביות על משכנתאות. </w:t>
      </w:r>
      <w:r w:rsidR="00BC77BF" w:rsidRPr="006400FD">
        <w:rPr>
          <w:rFonts w:ascii="Calibri" w:hAnsi="Calibri" w:cs="Calibri"/>
          <w:sz w:val="24"/>
          <w:szCs w:val="24"/>
          <w:rtl/>
        </w:rPr>
        <w:t xml:space="preserve">לקראת סוף </w:t>
      </w:r>
      <w:r w:rsidRPr="006400FD">
        <w:rPr>
          <w:rFonts w:ascii="Calibri" w:hAnsi="Calibri" w:cs="Calibri"/>
          <w:sz w:val="24"/>
          <w:szCs w:val="24"/>
          <w:rtl/>
        </w:rPr>
        <w:t xml:space="preserve">שנת 2023, הושק </w:t>
      </w:r>
      <w:r w:rsidR="0048330D" w:rsidRPr="006400FD">
        <w:rPr>
          <w:rFonts w:ascii="Calibri" w:hAnsi="Calibri" w:cs="Calibri"/>
          <w:sz w:val="24"/>
          <w:szCs w:val="24"/>
          <w:rtl/>
        </w:rPr>
        <w:t>באתר בנק ישראל מיזם</w:t>
      </w:r>
      <w:r w:rsidRPr="006400FD">
        <w:rPr>
          <w:rFonts w:ascii="Calibri" w:hAnsi="Calibri" w:cs="Calibri"/>
          <w:sz w:val="24"/>
          <w:szCs w:val="24"/>
          <w:rtl/>
        </w:rPr>
        <w:t xml:space="preserve"> "</w:t>
      </w:r>
      <w:hyperlink r:id="rId10" w:history="1">
        <w:r w:rsidRPr="006400FD">
          <w:rPr>
            <w:rStyle w:val="Hyperlink"/>
            <w:rFonts w:ascii="Calibri" w:hAnsi="Calibri" w:cs="Calibri"/>
            <w:sz w:val="24"/>
            <w:szCs w:val="24"/>
            <w:rtl/>
          </w:rPr>
          <w:t>קו המשווה</w:t>
        </w:r>
      </w:hyperlink>
      <w:r w:rsidRPr="006400FD">
        <w:rPr>
          <w:rFonts w:ascii="Calibri" w:hAnsi="Calibri" w:cs="Calibri"/>
          <w:sz w:val="24"/>
          <w:szCs w:val="24"/>
          <w:rtl/>
        </w:rPr>
        <w:t xml:space="preserve">" </w:t>
      </w:r>
      <w:r w:rsidR="00D54747" w:rsidRPr="006400FD">
        <w:rPr>
          <w:rFonts w:ascii="Calibri" w:hAnsi="Calibri" w:cs="Calibri"/>
          <w:sz w:val="24"/>
          <w:szCs w:val="24"/>
          <w:rtl/>
        </w:rPr>
        <w:t>המאגד את ה</w:t>
      </w:r>
      <w:r w:rsidRPr="006400FD">
        <w:rPr>
          <w:rFonts w:ascii="Calibri" w:hAnsi="Calibri" w:cs="Calibri"/>
          <w:sz w:val="24"/>
          <w:szCs w:val="24"/>
          <w:rtl/>
        </w:rPr>
        <w:t xml:space="preserve">כלים המספקים מידע השוואתי </w:t>
      </w:r>
      <w:r w:rsidR="0045538E" w:rsidRPr="006400FD">
        <w:rPr>
          <w:rFonts w:ascii="Calibri" w:hAnsi="Calibri" w:cs="Calibri"/>
          <w:sz w:val="24"/>
          <w:szCs w:val="24"/>
          <w:rtl/>
        </w:rPr>
        <w:t>וכן מדריכים וכלים שונים לשימוש הציבור</w:t>
      </w:r>
      <w:r w:rsidRPr="006400FD">
        <w:rPr>
          <w:rFonts w:ascii="Calibri" w:hAnsi="Calibri" w:cs="Calibri"/>
          <w:sz w:val="24"/>
          <w:szCs w:val="24"/>
          <w:rtl/>
        </w:rPr>
        <w:t>. בסוף שנת 2024 ה</w:t>
      </w:r>
      <w:r w:rsidR="009A5B83" w:rsidRPr="006400FD">
        <w:rPr>
          <w:rFonts w:ascii="Calibri" w:hAnsi="Calibri" w:cs="Calibri"/>
          <w:sz w:val="24"/>
          <w:szCs w:val="24"/>
          <w:rtl/>
        </w:rPr>
        <w:t>ושק</w:t>
      </w:r>
      <w:r w:rsidRPr="006400FD">
        <w:rPr>
          <w:rFonts w:ascii="Calibri" w:hAnsi="Calibri" w:cs="Calibri"/>
          <w:sz w:val="24"/>
          <w:szCs w:val="24"/>
          <w:rtl/>
        </w:rPr>
        <w:t xml:space="preserve"> כלי השוואה חדש המאפשר גם צפי</w:t>
      </w:r>
      <w:r w:rsidR="0048330D" w:rsidRPr="006400FD">
        <w:rPr>
          <w:rFonts w:ascii="Calibri" w:hAnsi="Calibri" w:cs="Calibri"/>
          <w:sz w:val="24"/>
          <w:szCs w:val="24"/>
          <w:rtl/>
        </w:rPr>
        <w:t>י</w:t>
      </w:r>
      <w:r w:rsidRPr="006400FD">
        <w:rPr>
          <w:rFonts w:ascii="Calibri" w:hAnsi="Calibri" w:cs="Calibri"/>
          <w:sz w:val="24"/>
          <w:szCs w:val="24"/>
          <w:rtl/>
        </w:rPr>
        <w:t>ה בתוצאות סקרי שביעות הרצון של הבנקים, איתור מיקו</w:t>
      </w:r>
      <w:r w:rsidR="00BC77BF" w:rsidRPr="006400FD">
        <w:rPr>
          <w:rFonts w:ascii="Calibri" w:hAnsi="Calibri" w:cs="Calibri"/>
          <w:sz w:val="24"/>
          <w:szCs w:val="24"/>
          <w:rtl/>
        </w:rPr>
        <w:t>מ</w:t>
      </w:r>
      <w:r w:rsidRPr="006400FD">
        <w:rPr>
          <w:rFonts w:ascii="Calibri" w:hAnsi="Calibri" w:cs="Calibri"/>
          <w:sz w:val="24"/>
          <w:szCs w:val="24"/>
          <w:rtl/>
        </w:rPr>
        <w:t xml:space="preserve">ם של סניפים ומכשירי </w:t>
      </w:r>
      <w:r w:rsidRPr="006400FD">
        <w:rPr>
          <w:rFonts w:ascii="Calibri" w:hAnsi="Calibri" w:cs="Calibri"/>
          <w:sz w:val="24"/>
          <w:szCs w:val="24"/>
        </w:rPr>
        <w:t>ATM</w:t>
      </w:r>
      <w:r w:rsidRPr="006400FD">
        <w:rPr>
          <w:rFonts w:ascii="Calibri" w:hAnsi="Calibri" w:cs="Calibri"/>
          <w:sz w:val="24"/>
          <w:szCs w:val="24"/>
          <w:rtl/>
        </w:rPr>
        <w:t xml:space="preserve"> וכן מידע </w:t>
      </w:r>
      <w:r w:rsidR="00BC77BF" w:rsidRPr="006400FD">
        <w:rPr>
          <w:rFonts w:ascii="Calibri" w:hAnsi="Calibri" w:cs="Calibri"/>
          <w:sz w:val="24"/>
          <w:szCs w:val="24"/>
          <w:rtl/>
        </w:rPr>
        <w:t xml:space="preserve">בנקאי </w:t>
      </w:r>
      <w:r w:rsidRPr="006400FD">
        <w:rPr>
          <w:rFonts w:ascii="Calibri" w:hAnsi="Calibri" w:cs="Calibri"/>
          <w:sz w:val="24"/>
          <w:szCs w:val="24"/>
          <w:rtl/>
        </w:rPr>
        <w:t>השוואתי</w:t>
      </w:r>
      <w:r w:rsidR="00BC77BF" w:rsidRPr="006400FD">
        <w:rPr>
          <w:rFonts w:ascii="Calibri" w:hAnsi="Calibri" w:cs="Calibri"/>
          <w:sz w:val="24"/>
          <w:szCs w:val="24"/>
          <w:rtl/>
        </w:rPr>
        <w:t xml:space="preserve"> נוסף העוסק בגובה ה</w:t>
      </w:r>
      <w:r w:rsidRPr="006400FD">
        <w:rPr>
          <w:rFonts w:ascii="Calibri" w:hAnsi="Calibri" w:cs="Calibri"/>
          <w:sz w:val="24"/>
          <w:szCs w:val="24"/>
          <w:rtl/>
        </w:rPr>
        <w:t>עמלות ו</w:t>
      </w:r>
      <w:r w:rsidR="00BC77BF" w:rsidRPr="006400FD">
        <w:rPr>
          <w:rFonts w:ascii="Calibri" w:hAnsi="Calibri" w:cs="Calibri"/>
          <w:sz w:val="24"/>
          <w:szCs w:val="24"/>
          <w:rtl/>
        </w:rPr>
        <w:t>שיעורי ה</w:t>
      </w:r>
      <w:r w:rsidRPr="006400FD">
        <w:rPr>
          <w:rFonts w:ascii="Calibri" w:hAnsi="Calibri" w:cs="Calibri"/>
          <w:sz w:val="24"/>
          <w:szCs w:val="24"/>
          <w:rtl/>
        </w:rPr>
        <w:t xml:space="preserve">ריביות. </w:t>
      </w:r>
    </w:p>
    <w:p w:rsidR="007158FC" w:rsidRPr="006400FD" w:rsidRDefault="009A5B83" w:rsidP="00927485">
      <w:pPr>
        <w:spacing w:line="360" w:lineRule="auto"/>
        <w:jc w:val="both"/>
        <w:rPr>
          <w:rFonts w:ascii="Calibri" w:hAnsi="Calibri" w:cs="Calibri" w:hint="cs"/>
          <w:sz w:val="24"/>
          <w:szCs w:val="24"/>
          <w:rtl/>
        </w:rPr>
      </w:pPr>
      <w:r w:rsidRPr="006400FD">
        <w:rPr>
          <w:rFonts w:ascii="Calibri" w:hAnsi="Calibri" w:cs="Calibri"/>
          <w:sz w:val="24"/>
          <w:szCs w:val="24"/>
          <w:rtl/>
        </w:rPr>
        <w:t xml:space="preserve">יצוין כי הרחבת המיזם ושקיפות הנתונים נעשית </w:t>
      </w:r>
      <w:r w:rsidR="007158FC" w:rsidRPr="006400FD">
        <w:rPr>
          <w:rFonts w:ascii="Calibri" w:hAnsi="Calibri" w:cs="Calibri"/>
          <w:sz w:val="24"/>
          <w:szCs w:val="24"/>
          <w:rtl/>
        </w:rPr>
        <w:t xml:space="preserve">תוך שימת לב לתגובות הציבור, לצרכים העולים מן השטח ולסביבה המשתנה. </w:t>
      </w:r>
      <w:r w:rsidRPr="006400FD">
        <w:rPr>
          <w:rFonts w:ascii="Calibri" w:hAnsi="Calibri" w:cs="Calibri"/>
          <w:sz w:val="24"/>
          <w:szCs w:val="24"/>
          <w:rtl/>
        </w:rPr>
        <w:t xml:space="preserve">בנימוקי הפרס, </w:t>
      </w:r>
      <w:r w:rsidR="007158FC" w:rsidRPr="006400FD">
        <w:rPr>
          <w:rFonts w:ascii="Calibri" w:hAnsi="Calibri" w:cs="Calibri"/>
          <w:sz w:val="24"/>
          <w:szCs w:val="24"/>
          <w:rtl/>
        </w:rPr>
        <w:t xml:space="preserve">השופטים ציינו לטובה גם את כוונת בנק ישראל להמשיך ולפתח </w:t>
      </w:r>
      <w:r w:rsidR="00D54747" w:rsidRPr="006400FD">
        <w:rPr>
          <w:rFonts w:ascii="Calibri" w:hAnsi="Calibri" w:cs="Calibri"/>
          <w:sz w:val="24"/>
          <w:szCs w:val="24"/>
          <w:rtl/>
        </w:rPr>
        <w:t>נושאים אלו גם</w:t>
      </w:r>
      <w:r w:rsidR="006400FD">
        <w:rPr>
          <w:rFonts w:ascii="Calibri" w:hAnsi="Calibri" w:cs="Calibri"/>
          <w:sz w:val="24"/>
          <w:szCs w:val="24"/>
          <w:rtl/>
        </w:rPr>
        <w:t xml:space="preserve"> בעתיד</w:t>
      </w:r>
      <w:r w:rsidR="006400FD">
        <w:rPr>
          <w:rFonts w:ascii="Calibri" w:hAnsi="Calibri" w:cs="Calibri" w:hint="cs"/>
          <w:sz w:val="24"/>
          <w:szCs w:val="24"/>
          <w:rtl/>
        </w:rPr>
        <w:t>.</w:t>
      </w:r>
    </w:p>
    <w:sectPr w:rsidR="007158FC" w:rsidRPr="006400FD" w:rsidSect="001D340E">
      <w:footerReference w:type="first" r:id="rId11"/>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7A5" w:rsidRDefault="00A017A5" w:rsidP="008755E3">
      <w:pPr>
        <w:spacing w:after="0" w:line="240" w:lineRule="auto"/>
      </w:pPr>
      <w:r>
        <w:separator/>
      </w:r>
    </w:p>
  </w:endnote>
  <w:endnote w:type="continuationSeparator" w:id="0">
    <w:p w:rsidR="00A017A5" w:rsidRDefault="00A017A5"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1AF0E10C" wp14:editId="25F6561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765163D4" wp14:editId="2B6FB40D">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75B3042" wp14:editId="00575682">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319E5686" wp14:editId="226A2D59">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5E5A68F3" wp14:editId="4D792644">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Times New Roman"/>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A68F3"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Times New Roman"/>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3BBDDF70" wp14:editId="7E319244">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 xml:space="preserve">- </w:t>
                          </w:r>
                          <w:r w:rsidRPr="00031A9D">
                            <w:rPr>
                              <w:rFonts w:ascii="Calibri" w:hAnsi="Calibri" w:cs="Times New Roman"/>
                              <w:noProof/>
                              <w:sz w:val="16"/>
                              <w:szCs w:val="16"/>
                              <w:rtl/>
                            </w:rPr>
                            <w:t>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DDF70"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 xml:space="preserve">- </w:t>
                    </w:r>
                    <w:r w:rsidRPr="00031A9D">
                      <w:rPr>
                        <w:rFonts w:ascii="Calibri" w:hAnsi="Calibri" w:cs="Times New Roman"/>
                        <w:noProof/>
                        <w:sz w:val="16"/>
                        <w:szCs w:val="16"/>
                        <w:rtl/>
                      </w:rPr>
                      <w:t>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4EC53EF3" wp14:editId="000CE10C">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C53EF3"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9224B00" wp14:editId="03A3F6FA">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224B00"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44689E3" wp14:editId="6124B288">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C3AAEC"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7A5" w:rsidRDefault="00A017A5" w:rsidP="008755E3">
      <w:pPr>
        <w:spacing w:after="0" w:line="240" w:lineRule="auto"/>
      </w:pPr>
      <w:r>
        <w:separator/>
      </w:r>
    </w:p>
  </w:footnote>
  <w:footnote w:type="continuationSeparator" w:id="0">
    <w:p w:rsidR="00A017A5" w:rsidRDefault="00A017A5"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2"/>
  </w:num>
  <w:num w:numId="8">
    <w:abstractNumId w:val="16"/>
  </w:num>
  <w:num w:numId="9">
    <w:abstractNumId w:val="19"/>
  </w:num>
  <w:num w:numId="10">
    <w:abstractNumId w:val="13"/>
  </w:num>
  <w:num w:numId="11">
    <w:abstractNumId w:val="11"/>
  </w:num>
  <w:num w:numId="12">
    <w:abstractNumId w:val="14"/>
  </w:num>
  <w:num w:numId="13">
    <w:abstractNumId w:val="10"/>
  </w:num>
  <w:num w:numId="14">
    <w:abstractNumId w:val="3"/>
  </w:num>
  <w:num w:numId="15">
    <w:abstractNumId w:val="15"/>
  </w:num>
  <w:num w:numId="16">
    <w:abstractNumId w:val="1"/>
  </w:num>
  <w:num w:numId="17">
    <w:abstractNumId w:val="22"/>
  </w:num>
  <w:num w:numId="18">
    <w:abstractNumId w:val="20"/>
  </w:num>
  <w:num w:numId="19">
    <w:abstractNumId w:val="18"/>
  </w:num>
  <w:num w:numId="20">
    <w:abstractNumId w:val="17"/>
  </w:num>
  <w:num w:numId="21">
    <w:abstractNumId w:val="0"/>
  </w:num>
  <w:num w:numId="22">
    <w:abstractNumId w:val="8"/>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8685B"/>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0504"/>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538E"/>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330D"/>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4C0A"/>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00FD"/>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185F"/>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8FC"/>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645E"/>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27A5E"/>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485"/>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48E7"/>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5B83"/>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17A5"/>
    <w:rsid w:val="00A029B5"/>
    <w:rsid w:val="00A05F0C"/>
    <w:rsid w:val="00A06013"/>
    <w:rsid w:val="00A115CD"/>
    <w:rsid w:val="00A11890"/>
    <w:rsid w:val="00A11E73"/>
    <w:rsid w:val="00A1456A"/>
    <w:rsid w:val="00A146F7"/>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002E"/>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3D8F"/>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3026"/>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374"/>
    <w:rsid w:val="00BC542A"/>
    <w:rsid w:val="00BC6700"/>
    <w:rsid w:val="00BC77BF"/>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562BF"/>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4747"/>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23C7"/>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307"/>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E6A90"/>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55F1D"/>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00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754589318">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oi.org.il/information/bank-paymnts/financial-education/campaigns/boi-equator/" TargetMode="External"/><Relationship Id="rId4" Type="http://schemas.openxmlformats.org/officeDocument/2006/relationships/settings" Target="settings.xml"/><Relationship Id="rId9" Type="http://schemas.openxmlformats.org/officeDocument/2006/relationships/hyperlink" Target="https://www.centralbanking.com/awards/7972276/communications-initiative-bank-of-israels-equalizer"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AA422-1674-4216-9D8B-32EB1249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1873</Characters>
  <Application>Microsoft Office Word</Application>
  <DocSecurity>4</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2025-03-18T11:04:00Z</dcterms:created>
  <dcterms:modified xsi:type="dcterms:W3CDTF">2025-03-18T11:04:00Z</dcterms:modified>
</cp:coreProperties>
</file>