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DF1325" w:rsidRPr="00455297" w:rsidTr="00D461EB">
        <w:tc>
          <w:tcPr>
            <w:tcW w:w="2840" w:type="dxa"/>
            <w:tcBorders>
              <w:top w:val="nil"/>
              <w:left w:val="nil"/>
              <w:bottom w:val="nil"/>
              <w:right w:val="nil"/>
            </w:tcBorders>
            <w:vAlign w:val="center"/>
          </w:tcPr>
          <w:p w:rsidR="00DF1325" w:rsidRPr="00520BB4" w:rsidRDefault="00DF1325" w:rsidP="00097DAF">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F1325" w:rsidRDefault="00DF1325" w:rsidP="00097DAF">
            <w:pPr>
              <w:bidi/>
              <w:spacing w:line="360" w:lineRule="auto"/>
              <w:ind w:right="-101"/>
              <w:jc w:val="center"/>
            </w:pPr>
            <w:r w:rsidRPr="00520BB4">
              <w:rPr>
                <w:rFonts w:cs="David"/>
                <w:rtl/>
              </w:rPr>
              <w:t>דו</w:t>
            </w:r>
            <w:r w:rsidRPr="00520BB4">
              <w:rPr>
                <w:rFonts w:cs="David" w:hint="cs"/>
                <w:rtl/>
              </w:rPr>
              <w:t>בר</w:t>
            </w:r>
            <w:r w:rsidRPr="00520BB4">
              <w:rPr>
                <w:rFonts w:cs="David"/>
                <w:rtl/>
              </w:rPr>
              <w:t>ות</w:t>
            </w:r>
            <w:r w:rsidRPr="00520BB4">
              <w:rPr>
                <w:rFonts w:cs="David" w:hint="cs"/>
                <w:rtl/>
              </w:rPr>
              <w:t xml:space="preserve"> והסברה כלכלית</w:t>
            </w:r>
          </w:p>
        </w:tc>
        <w:tc>
          <w:tcPr>
            <w:tcW w:w="2596" w:type="dxa"/>
            <w:tcBorders>
              <w:top w:val="nil"/>
              <w:left w:val="nil"/>
              <w:bottom w:val="nil"/>
              <w:right w:val="nil"/>
            </w:tcBorders>
          </w:tcPr>
          <w:p w:rsidR="00DF1325" w:rsidRDefault="00DF1325" w:rsidP="00097DAF">
            <w:pPr>
              <w:bidi/>
              <w:jc w:val="center"/>
            </w:pPr>
          </w:p>
        </w:tc>
        <w:tc>
          <w:tcPr>
            <w:tcW w:w="3084" w:type="dxa"/>
            <w:tcBorders>
              <w:top w:val="nil"/>
              <w:left w:val="nil"/>
              <w:bottom w:val="nil"/>
              <w:right w:val="nil"/>
            </w:tcBorders>
            <w:vAlign w:val="center"/>
          </w:tcPr>
          <w:p w:rsidR="00DF1325" w:rsidRPr="00370BFA" w:rsidRDefault="00DF1325" w:rsidP="004924B2">
            <w:pPr>
              <w:bidi/>
              <w:spacing w:line="480" w:lineRule="auto"/>
              <w:jc w:val="right"/>
              <w:rPr>
                <w:rFonts w:cs="David"/>
              </w:rPr>
            </w:pPr>
            <w:r w:rsidRPr="00370BFA">
              <w:rPr>
                <w:rFonts w:cs="David" w:hint="eastAsia"/>
                <w:rtl/>
              </w:rPr>
              <w:t>‏</w:t>
            </w:r>
            <w:r w:rsidRPr="00370BFA">
              <w:rPr>
                <w:rFonts w:cs="David" w:hint="cs"/>
                <w:rtl/>
              </w:rPr>
              <w:t xml:space="preserve">ירושלים, </w:t>
            </w:r>
            <w:r w:rsidR="00E73C52" w:rsidRPr="00370BFA">
              <w:rPr>
                <w:rFonts w:cs="David" w:hint="cs"/>
                <w:rtl/>
              </w:rPr>
              <w:t>ט</w:t>
            </w:r>
            <w:r w:rsidR="004924B2" w:rsidRPr="00370BFA">
              <w:rPr>
                <w:rFonts w:cs="David" w:hint="cs"/>
                <w:rtl/>
              </w:rPr>
              <w:t>"</w:t>
            </w:r>
            <w:r w:rsidR="00E73C52" w:rsidRPr="00370BFA">
              <w:rPr>
                <w:rFonts w:cs="David" w:hint="cs"/>
                <w:rtl/>
              </w:rPr>
              <w:t>ז</w:t>
            </w:r>
            <w:r w:rsidR="002C37FD" w:rsidRPr="00370BFA">
              <w:rPr>
                <w:rFonts w:cs="David" w:hint="cs"/>
                <w:rtl/>
              </w:rPr>
              <w:t xml:space="preserve"> ב</w:t>
            </w:r>
            <w:r w:rsidR="00E73C52" w:rsidRPr="00370BFA">
              <w:rPr>
                <w:rFonts w:cs="David" w:hint="cs"/>
                <w:rtl/>
              </w:rPr>
              <w:t>טבת</w:t>
            </w:r>
            <w:r w:rsidR="002C37FD" w:rsidRPr="00370BFA">
              <w:rPr>
                <w:rFonts w:cs="David" w:hint="cs"/>
                <w:rtl/>
              </w:rPr>
              <w:t>, התשע"</w:t>
            </w:r>
            <w:r w:rsidR="00E73C52" w:rsidRPr="00370BFA">
              <w:rPr>
                <w:rFonts w:cs="David" w:hint="cs"/>
                <w:rtl/>
              </w:rPr>
              <w:t>ט</w:t>
            </w:r>
          </w:p>
          <w:p w:rsidR="00DF1325" w:rsidRPr="00370BFA" w:rsidRDefault="00DF1325" w:rsidP="00E73C52">
            <w:pPr>
              <w:bidi/>
              <w:spacing w:line="480" w:lineRule="auto"/>
              <w:jc w:val="right"/>
              <w:rPr>
                <w:rFonts w:cs="David"/>
              </w:rPr>
            </w:pPr>
            <w:r w:rsidRPr="00370BFA">
              <w:rPr>
                <w:rFonts w:cs="David" w:hint="eastAsia"/>
                <w:rtl/>
              </w:rPr>
              <w:t>‏‏</w:t>
            </w:r>
            <w:r w:rsidR="00E73C52" w:rsidRPr="00370BFA">
              <w:rPr>
                <w:rFonts w:cs="David" w:hint="cs"/>
                <w:rtl/>
              </w:rPr>
              <w:t>23</w:t>
            </w:r>
            <w:r w:rsidRPr="00370BFA">
              <w:rPr>
                <w:rFonts w:cs="David" w:hint="cs"/>
                <w:rtl/>
              </w:rPr>
              <w:t xml:space="preserve"> </w:t>
            </w:r>
            <w:r w:rsidR="00E73C52" w:rsidRPr="00370BFA">
              <w:rPr>
                <w:rFonts w:cs="David" w:hint="cs"/>
                <w:rtl/>
              </w:rPr>
              <w:t>דצמבר</w:t>
            </w:r>
            <w:r w:rsidRPr="00370BFA">
              <w:rPr>
                <w:rFonts w:cs="David" w:hint="cs"/>
                <w:rtl/>
              </w:rPr>
              <w:t xml:space="preserve"> 2018</w:t>
            </w:r>
          </w:p>
        </w:tc>
      </w:tr>
    </w:tbl>
    <w:p w:rsidR="00E032A2" w:rsidRDefault="00E73C52" w:rsidP="00E032A2">
      <w:pPr>
        <w:spacing w:line="360" w:lineRule="auto"/>
        <w:ind w:right="-101"/>
        <w:jc w:val="right"/>
        <w:rPr>
          <w:rFonts w:cs="David"/>
          <w:rtl/>
        </w:rPr>
      </w:pPr>
      <w:r>
        <w:rPr>
          <w:noProof/>
        </w:rPr>
        <w:drawing>
          <wp:anchor distT="0" distB="0" distL="114300" distR="114300" simplePos="0" relativeHeight="251659264" behindDoc="0" locked="0" layoutInCell="1" allowOverlap="1" wp14:anchorId="335BE675" wp14:editId="67A4F570">
            <wp:simplePos x="0" y="0"/>
            <wp:positionH relativeFrom="column">
              <wp:posOffset>2031520</wp:posOffset>
            </wp:positionH>
            <wp:positionV relativeFrom="paragraph">
              <wp:posOffset>-534839</wp:posOffset>
            </wp:positionV>
            <wp:extent cx="1052423" cy="1052423"/>
            <wp:effectExtent l="0" t="0" r="0" b="0"/>
            <wp:wrapNone/>
            <wp:docPr id="10" name="תמונה 10" descr="http://portals/sites/boi/about/Mitug/DocList/%D7%AA%D7%9E%D7%95%D7%A0%D7%AA%20%D7%9C%D7%95%D7%92%D7%95%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sites/boi/about/Mitug/DocList/%D7%AA%D7%9E%D7%95%D7%A0%D7%AA%20%D7%9C%D7%95%D7%92%D7%95%20(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2423" cy="1052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2A2" w:rsidRDefault="00E032A2" w:rsidP="00E032A2">
      <w:pPr>
        <w:spacing w:line="360" w:lineRule="auto"/>
        <w:ind w:right="-101"/>
        <w:jc w:val="right"/>
        <w:rPr>
          <w:rFonts w:cs="David"/>
          <w:rtl/>
        </w:rPr>
      </w:pPr>
      <w:r w:rsidRPr="007E18EE">
        <w:rPr>
          <w:rFonts w:cs="David" w:hint="cs"/>
          <w:rtl/>
        </w:rPr>
        <w:t>הודעה לעיתונות:</w:t>
      </w:r>
    </w:p>
    <w:p w:rsidR="00DF1325" w:rsidRDefault="00DF1325" w:rsidP="00E032A2">
      <w:pPr>
        <w:spacing w:line="360" w:lineRule="auto"/>
        <w:ind w:right="-101"/>
        <w:jc w:val="right"/>
        <w:rPr>
          <w:rFonts w:cs="David"/>
        </w:rPr>
      </w:pPr>
    </w:p>
    <w:p w:rsidR="007A5EA7" w:rsidRDefault="00CB0A5B" w:rsidP="00370BFA">
      <w:pPr>
        <w:bidi/>
        <w:spacing w:after="120" w:line="360" w:lineRule="auto"/>
        <w:jc w:val="center"/>
        <w:rPr>
          <w:rStyle w:val="af1"/>
          <w:rFonts w:ascii="SAPIcons" w:hAnsi="SAPIcons" w:cs="David" w:hint="cs"/>
          <w:sz w:val="28"/>
          <w:szCs w:val="28"/>
          <w:rtl/>
        </w:rPr>
      </w:pPr>
      <w:bookmarkStart w:id="0" w:name="_GoBack"/>
      <w:r w:rsidRPr="00644D5B">
        <w:rPr>
          <w:rStyle w:val="af1"/>
          <w:rFonts w:ascii="SAPIcons" w:hAnsi="SAPIcons" w:cs="David"/>
          <w:sz w:val="28"/>
          <w:szCs w:val="28"/>
          <w:rtl/>
        </w:rPr>
        <w:t xml:space="preserve">בנק ישראל מפרסם היום את דוח היציבות הפיננסית </w:t>
      </w:r>
      <w:r w:rsidR="00982B91">
        <w:rPr>
          <w:rStyle w:val="af1"/>
          <w:rFonts w:ascii="SAPIcons" w:hAnsi="SAPIcons" w:cs="David" w:hint="cs"/>
          <w:sz w:val="28"/>
          <w:szCs w:val="28"/>
          <w:rtl/>
        </w:rPr>
        <w:t xml:space="preserve">למחצית </w:t>
      </w:r>
      <w:r w:rsidR="00455297">
        <w:rPr>
          <w:rStyle w:val="af1"/>
          <w:rFonts w:ascii="SAPIcons" w:hAnsi="SAPIcons" w:cs="David" w:hint="cs"/>
          <w:sz w:val="28"/>
          <w:szCs w:val="28"/>
          <w:rtl/>
        </w:rPr>
        <w:t>השנייה</w:t>
      </w:r>
      <w:r w:rsidR="000019BB">
        <w:rPr>
          <w:rStyle w:val="af1"/>
          <w:rFonts w:ascii="SAPIcons" w:hAnsi="SAPIcons" w:cs="David" w:hint="cs"/>
          <w:sz w:val="28"/>
          <w:szCs w:val="28"/>
          <w:rtl/>
        </w:rPr>
        <w:t xml:space="preserve"> של 2018</w:t>
      </w:r>
    </w:p>
    <w:bookmarkEnd w:id="0"/>
    <w:p w:rsidR="00BD0268" w:rsidRPr="00644D5B" w:rsidRDefault="00BD0268" w:rsidP="00BD0268">
      <w:pPr>
        <w:bidi/>
        <w:spacing w:after="120" w:line="360" w:lineRule="auto"/>
        <w:jc w:val="center"/>
        <w:rPr>
          <w:rStyle w:val="af1"/>
          <w:rFonts w:ascii="SAPIcons" w:hAnsi="SAPIcons" w:cs="David"/>
          <w:sz w:val="28"/>
          <w:szCs w:val="28"/>
          <w:rtl/>
        </w:rPr>
      </w:pPr>
    </w:p>
    <w:p w:rsidR="00370BFA" w:rsidRPr="00370BFA" w:rsidRDefault="00370BFA" w:rsidP="004C60EF">
      <w:pPr>
        <w:bidi/>
        <w:spacing w:after="120" w:line="360" w:lineRule="auto"/>
        <w:ind w:left="-341" w:right="-426"/>
        <w:jc w:val="both"/>
        <w:rPr>
          <w:rFonts w:cs="David"/>
          <w:rtl/>
        </w:rPr>
      </w:pPr>
      <w:r w:rsidRPr="00370BFA">
        <w:rPr>
          <w:rFonts w:cs="David" w:hint="cs"/>
          <w:rtl/>
        </w:rPr>
        <w:t xml:space="preserve">דוח היציבות הפיננסית למחצית השנייה של השנה מעריך את יציבותה של המערכת הפיננסית המקומית על יסוד ניתוח הסביבה שהמערכת פועלת בה – הסביבה המקרו-כלכלית, שוקי הנכסים, האשראי והנזילות בשווקים. הערכה זו מספקת אינדיקציה לסיכונים השונים הנשקפים למשק כתוצאה מזעזועים בארץ ובחו"ל. אלה עיקרי </w:t>
      </w:r>
      <w:r w:rsidR="004C60EF">
        <w:rPr>
          <w:rFonts w:cs="David" w:hint="cs"/>
          <w:rtl/>
        </w:rPr>
        <w:t>ההתפתחויות שחלו בתקופה הנסקרת ב</w:t>
      </w:r>
      <w:r w:rsidRPr="00370BFA">
        <w:rPr>
          <w:rFonts w:cs="David" w:hint="cs"/>
          <w:rtl/>
        </w:rPr>
        <w:t>סיכונים בסביבה שהמערכת הפיננסית פועלת בה:</w:t>
      </w:r>
    </w:p>
    <w:p w:rsidR="00370BFA" w:rsidRPr="00370BFA" w:rsidRDefault="00370BFA" w:rsidP="006164AE">
      <w:pPr>
        <w:pStyle w:val="a5"/>
        <w:numPr>
          <w:ilvl w:val="0"/>
          <w:numId w:val="4"/>
        </w:numPr>
        <w:bidi/>
        <w:spacing w:after="120" w:line="360" w:lineRule="auto"/>
        <w:ind w:left="-58"/>
        <w:jc w:val="both"/>
        <w:rPr>
          <w:rFonts w:cs="David"/>
          <w:rtl/>
        </w:rPr>
      </w:pPr>
      <w:r w:rsidRPr="00370BFA">
        <w:rPr>
          <w:rFonts w:cs="David" w:hint="cs"/>
          <w:rtl/>
        </w:rPr>
        <w:t xml:space="preserve">סיכוני האשראי של המדינה ירדו על רקע המשך העלייה בפעילות הכלכלית  והירידה המתמשכת ביחס בין החוב הממשלתי לתוצר. אולם קיומו של גירעון מבני מצמצם את האפשרות לנהל מדיניות פיסקלית אנטי-מחזורית, והוא עלול </w:t>
      </w:r>
      <w:r w:rsidR="004C60EF">
        <w:rPr>
          <w:rFonts w:cs="David" w:hint="cs"/>
          <w:rtl/>
        </w:rPr>
        <w:t>לפגוע</w:t>
      </w:r>
      <w:r w:rsidR="00F06CAD">
        <w:rPr>
          <w:rFonts w:cs="David" w:hint="cs"/>
          <w:rtl/>
        </w:rPr>
        <w:t xml:space="preserve"> </w:t>
      </w:r>
      <w:r w:rsidRPr="00370BFA">
        <w:rPr>
          <w:rFonts w:cs="David" w:hint="cs"/>
          <w:rtl/>
        </w:rPr>
        <w:t xml:space="preserve">בגורמים העיקריים </w:t>
      </w:r>
      <w:r w:rsidR="00F06CAD">
        <w:rPr>
          <w:rFonts w:cs="David" w:hint="cs"/>
          <w:rtl/>
        </w:rPr>
        <w:t xml:space="preserve">שפעלו </w:t>
      </w:r>
      <w:r w:rsidRPr="00370BFA">
        <w:rPr>
          <w:rFonts w:cs="David" w:hint="cs"/>
          <w:rtl/>
        </w:rPr>
        <w:t>לירידה בסיכוני האשראי.</w:t>
      </w:r>
    </w:p>
    <w:p w:rsidR="00370BFA" w:rsidRPr="00370BFA" w:rsidRDefault="00370BFA" w:rsidP="00BF7C33">
      <w:pPr>
        <w:pStyle w:val="a5"/>
        <w:numPr>
          <w:ilvl w:val="0"/>
          <w:numId w:val="4"/>
        </w:numPr>
        <w:bidi/>
        <w:spacing w:after="120" w:line="360" w:lineRule="auto"/>
        <w:ind w:left="-58"/>
        <w:jc w:val="both"/>
        <w:rPr>
          <w:rFonts w:cs="David"/>
        </w:rPr>
      </w:pPr>
      <w:r w:rsidRPr="00370BFA">
        <w:rPr>
          <w:rFonts w:cs="David" w:hint="cs"/>
          <w:rtl/>
        </w:rPr>
        <w:t xml:space="preserve">ההתפתחויות בסביבה העולמית מעידות על עלייה בסיכונים לכלכלה העולמית, </w:t>
      </w:r>
      <w:r w:rsidR="00F06CAD">
        <w:rPr>
          <w:rFonts w:cs="David" w:hint="cs"/>
          <w:rtl/>
        </w:rPr>
        <w:t xml:space="preserve">ובעקיפין גם </w:t>
      </w:r>
      <w:r w:rsidRPr="00370BFA">
        <w:rPr>
          <w:rFonts w:cs="David" w:hint="cs"/>
          <w:rtl/>
        </w:rPr>
        <w:t xml:space="preserve"> לכלכלת ישראל</w:t>
      </w:r>
      <w:r w:rsidR="00BF7C33">
        <w:rPr>
          <w:rFonts w:cs="David" w:hint="cs"/>
          <w:rtl/>
        </w:rPr>
        <w:t>.</w:t>
      </w:r>
      <w:r w:rsidRPr="00370BFA">
        <w:rPr>
          <w:rFonts w:cs="David" w:hint="cs"/>
          <w:rtl/>
        </w:rPr>
        <w:t xml:space="preserve"> </w:t>
      </w:r>
      <w:r w:rsidR="00BF7C33">
        <w:rPr>
          <w:rFonts w:cs="David" w:hint="cs"/>
          <w:rtl/>
        </w:rPr>
        <w:t>הסיכונים העיקריים הם החולשה בשוק החוב העולמי, מלחמת הסחר בין ארה"ב לסין, וההידוק המוניטרי (</w:t>
      </w:r>
      <w:r w:rsidRPr="00370BFA">
        <w:rPr>
          <w:rFonts w:cs="David" w:hint="cs"/>
          <w:rtl/>
        </w:rPr>
        <w:t xml:space="preserve">בעיקר </w:t>
      </w:r>
      <w:r w:rsidR="00BF7C33">
        <w:rPr>
          <w:rFonts w:cs="David" w:hint="cs"/>
          <w:rtl/>
        </w:rPr>
        <w:t>זה שנערך בארה"ב) עלול להחריף אותם.</w:t>
      </w:r>
    </w:p>
    <w:p w:rsidR="00370BFA" w:rsidRPr="00370BFA" w:rsidRDefault="00370BFA" w:rsidP="00370BFA">
      <w:pPr>
        <w:pStyle w:val="a5"/>
        <w:numPr>
          <w:ilvl w:val="0"/>
          <w:numId w:val="4"/>
        </w:numPr>
        <w:bidi/>
        <w:spacing w:after="120" w:line="360" w:lineRule="auto"/>
        <w:ind w:left="-58"/>
        <w:jc w:val="both"/>
        <w:rPr>
          <w:rFonts w:cs="David"/>
        </w:rPr>
      </w:pPr>
      <w:r w:rsidRPr="00370BFA">
        <w:rPr>
          <w:rFonts w:cs="David" w:hint="cs"/>
          <w:caps/>
          <w:rtl/>
        </w:rPr>
        <w:t>מחירי הנדל"ן בישראל ירדו קלות והדבר מחזק את ההערכה שמגמת העליות נבלמה. קצב התחלות הבנייה הגיב לכך מהר וירד בתקופה הנסקרת, ונראה כי הוא אינו גבוה מקצב עליית הביקוש שהדמוגרפיה מכתיבה.</w:t>
      </w:r>
    </w:p>
    <w:p w:rsidR="00370BFA" w:rsidRPr="00370BFA" w:rsidRDefault="00370BFA" w:rsidP="00743C03">
      <w:pPr>
        <w:pStyle w:val="a5"/>
        <w:numPr>
          <w:ilvl w:val="0"/>
          <w:numId w:val="4"/>
        </w:numPr>
        <w:bidi/>
        <w:spacing w:after="120" w:line="360" w:lineRule="auto"/>
        <w:ind w:left="-58"/>
        <w:jc w:val="both"/>
        <w:rPr>
          <w:rFonts w:cs="David"/>
        </w:rPr>
      </w:pPr>
      <w:r w:rsidRPr="00370BFA">
        <w:rPr>
          <w:rFonts w:cs="David" w:hint="cs"/>
          <w:rtl/>
        </w:rPr>
        <w:t>קצב התרחבותו של האשראי במשק עלה בתקופה הנסקרת, בעיקר בהובלת המגזר העסקי, וכך הצטרף למגמת העלייה המתמשכת בקצב התרחבותו של האשראי למשקי הבית</w:t>
      </w:r>
      <w:r w:rsidR="004C60EF">
        <w:rPr>
          <w:rFonts w:cs="David" w:hint="cs"/>
          <w:rtl/>
        </w:rPr>
        <w:t>;</w:t>
      </w:r>
      <w:r w:rsidR="00066106">
        <w:rPr>
          <w:rFonts w:cs="David" w:hint="cs"/>
          <w:rtl/>
        </w:rPr>
        <w:t xml:space="preserve"> </w:t>
      </w:r>
      <w:r w:rsidR="004C60EF">
        <w:rPr>
          <w:rFonts w:cs="David" w:hint="cs"/>
          <w:rtl/>
        </w:rPr>
        <w:t xml:space="preserve">מגמה זו קיימת אף כי </w:t>
      </w:r>
      <w:r w:rsidR="00066106">
        <w:rPr>
          <w:rFonts w:cs="David" w:hint="cs"/>
          <w:rtl/>
        </w:rPr>
        <w:t>קצב התרחבות</w:t>
      </w:r>
      <w:r w:rsidR="004C60EF">
        <w:rPr>
          <w:rFonts w:cs="David" w:hint="cs"/>
          <w:rtl/>
        </w:rPr>
        <w:t>ו</w:t>
      </w:r>
      <w:r w:rsidR="00066106">
        <w:rPr>
          <w:rFonts w:cs="David" w:hint="cs"/>
          <w:rtl/>
        </w:rPr>
        <w:t xml:space="preserve"> של האשראי למשקי </w:t>
      </w:r>
      <w:r w:rsidR="004C60EF">
        <w:rPr>
          <w:rFonts w:cs="David" w:hint="cs"/>
          <w:rtl/>
        </w:rPr>
        <w:t>ה</w:t>
      </w:r>
      <w:r w:rsidR="00066106">
        <w:rPr>
          <w:rFonts w:cs="David" w:hint="cs"/>
          <w:rtl/>
        </w:rPr>
        <w:t xml:space="preserve">בית </w:t>
      </w:r>
      <w:r w:rsidR="004C60EF">
        <w:rPr>
          <w:rFonts w:cs="David" w:hint="cs"/>
          <w:rtl/>
        </w:rPr>
        <w:t>שאינו</w:t>
      </w:r>
      <w:r w:rsidR="00066106">
        <w:rPr>
          <w:rFonts w:cs="David" w:hint="cs"/>
          <w:rtl/>
        </w:rPr>
        <w:t xml:space="preserve"> לדיור</w:t>
      </w:r>
      <w:r w:rsidR="004C60EF">
        <w:rPr>
          <w:rFonts w:cs="David" w:hint="cs"/>
          <w:rtl/>
        </w:rPr>
        <w:t xml:space="preserve"> ירד מהרמה הגבוהה</w:t>
      </w:r>
      <w:r w:rsidR="00066106">
        <w:rPr>
          <w:rFonts w:cs="David" w:hint="cs"/>
          <w:rtl/>
        </w:rPr>
        <w:t xml:space="preserve"> </w:t>
      </w:r>
      <w:r w:rsidR="004C60EF">
        <w:rPr>
          <w:rFonts w:cs="David" w:hint="cs"/>
          <w:rtl/>
        </w:rPr>
        <w:t xml:space="preserve">ששררה </w:t>
      </w:r>
      <w:r w:rsidR="00066106">
        <w:rPr>
          <w:rFonts w:cs="David" w:hint="cs"/>
          <w:rtl/>
        </w:rPr>
        <w:t>בשנים האחרונות</w:t>
      </w:r>
      <w:r w:rsidRPr="00370BFA">
        <w:rPr>
          <w:rFonts w:cs="David" w:hint="cs"/>
          <w:rtl/>
        </w:rPr>
        <w:t xml:space="preserve">. סיכוני האשראי עלולים לגדול בשנים הקרובות </w:t>
      </w:r>
      <w:r w:rsidR="004C60EF">
        <w:rPr>
          <w:rFonts w:cs="David" w:hint="cs"/>
          <w:rtl/>
        </w:rPr>
        <w:t>משום שנערכו</w:t>
      </w:r>
      <w:r w:rsidRPr="00370BFA">
        <w:rPr>
          <w:rFonts w:cs="David" w:hint="cs"/>
          <w:rtl/>
        </w:rPr>
        <w:t xml:space="preserve"> שינויים בסביבה המשפטית הנוגעת לספקי האשראי בישראל</w:t>
      </w:r>
      <w:r w:rsidR="00743C03">
        <w:rPr>
          <w:rFonts w:cs="David" w:hint="cs"/>
          <w:rtl/>
        </w:rPr>
        <w:t>,</w:t>
      </w:r>
      <w:r w:rsidRPr="00370BFA">
        <w:rPr>
          <w:rFonts w:cs="David" w:hint="cs"/>
          <w:rtl/>
        </w:rPr>
        <w:t xml:space="preserve"> </w:t>
      </w:r>
      <w:r w:rsidR="004C60EF">
        <w:rPr>
          <w:rFonts w:cs="David" w:hint="cs"/>
          <w:rtl/>
        </w:rPr>
        <w:t xml:space="preserve">ומשום שהיצע האשראי עשוי לגדול </w:t>
      </w:r>
      <w:r w:rsidRPr="00370BFA">
        <w:rPr>
          <w:rFonts w:cs="David" w:hint="cs"/>
          <w:rtl/>
        </w:rPr>
        <w:t xml:space="preserve">עקב הרפורמות הרבות לעידוד התחרות בשוק האשראי. </w:t>
      </w:r>
    </w:p>
    <w:p w:rsidR="00370BFA" w:rsidRPr="00370BFA" w:rsidRDefault="00370BFA" w:rsidP="00370BFA">
      <w:pPr>
        <w:pStyle w:val="a5"/>
        <w:numPr>
          <w:ilvl w:val="0"/>
          <w:numId w:val="4"/>
        </w:numPr>
        <w:bidi/>
        <w:spacing w:after="120" w:line="360" w:lineRule="auto"/>
        <w:ind w:left="-58"/>
        <w:jc w:val="both"/>
        <w:rPr>
          <w:rFonts w:cs="David"/>
        </w:rPr>
      </w:pPr>
      <w:r w:rsidRPr="00370BFA">
        <w:rPr>
          <w:rFonts w:cs="David" w:hint="eastAsia"/>
          <w:rtl/>
        </w:rPr>
        <w:t>מחזורי</w:t>
      </w:r>
      <w:r w:rsidRPr="00370BFA">
        <w:rPr>
          <w:rFonts w:cs="David"/>
          <w:rtl/>
        </w:rPr>
        <w:t xml:space="preserve"> </w:t>
      </w:r>
      <w:r w:rsidRPr="00370BFA">
        <w:rPr>
          <w:rFonts w:cs="David" w:hint="eastAsia"/>
          <w:rtl/>
        </w:rPr>
        <w:t>המסחר</w:t>
      </w:r>
      <w:r w:rsidRPr="00370BFA">
        <w:rPr>
          <w:rFonts w:cs="David"/>
          <w:rtl/>
        </w:rPr>
        <w:t xml:space="preserve"> </w:t>
      </w:r>
      <w:r w:rsidRPr="00370BFA">
        <w:rPr>
          <w:rFonts w:cs="David" w:hint="eastAsia"/>
          <w:rtl/>
        </w:rPr>
        <w:t>בבורסה</w:t>
      </w:r>
      <w:r w:rsidRPr="00370BFA">
        <w:rPr>
          <w:rFonts w:cs="David"/>
          <w:rtl/>
        </w:rPr>
        <w:t xml:space="preserve"> בישראל </w:t>
      </w:r>
      <w:r w:rsidRPr="00370BFA">
        <w:rPr>
          <w:rFonts w:cs="David" w:hint="eastAsia"/>
          <w:rtl/>
        </w:rPr>
        <w:t>נמוכים</w:t>
      </w:r>
      <w:r w:rsidRPr="00370BFA">
        <w:rPr>
          <w:rFonts w:cs="David"/>
          <w:rtl/>
        </w:rPr>
        <w:t xml:space="preserve"> </w:t>
      </w:r>
      <w:r w:rsidRPr="00370BFA">
        <w:rPr>
          <w:rFonts w:cs="David" w:hint="eastAsia"/>
          <w:rtl/>
        </w:rPr>
        <w:t>בהשוואה</w:t>
      </w:r>
      <w:r w:rsidRPr="00370BFA">
        <w:rPr>
          <w:rFonts w:cs="David"/>
          <w:rtl/>
        </w:rPr>
        <w:t xml:space="preserve"> </w:t>
      </w:r>
      <w:r w:rsidRPr="00370BFA">
        <w:rPr>
          <w:rFonts w:cs="David" w:hint="eastAsia"/>
          <w:rtl/>
        </w:rPr>
        <w:t>בין</w:t>
      </w:r>
      <w:r w:rsidRPr="00370BFA">
        <w:rPr>
          <w:rFonts w:cs="David"/>
          <w:rtl/>
        </w:rPr>
        <w:t>-</w:t>
      </w:r>
      <w:r w:rsidRPr="00370BFA">
        <w:rPr>
          <w:rFonts w:cs="David" w:hint="eastAsia"/>
          <w:rtl/>
        </w:rPr>
        <w:t>לאומית</w:t>
      </w:r>
      <w:r w:rsidRPr="00370BFA">
        <w:rPr>
          <w:rFonts w:cs="David" w:hint="cs"/>
          <w:rtl/>
        </w:rPr>
        <w:t>, וסיכוני הנזילות נוטים לעלות עקב התגברות ההשקעות הפסיביות ופעילותם הענפה של מחוללי הציטוטים במסחר בבורסה.</w:t>
      </w:r>
    </w:p>
    <w:p w:rsidR="00370BFA" w:rsidRPr="00370BFA" w:rsidRDefault="00370BFA" w:rsidP="00743C03">
      <w:pPr>
        <w:bidi/>
        <w:spacing w:after="120" w:line="360" w:lineRule="auto"/>
        <w:ind w:left="-341" w:right="-426"/>
        <w:jc w:val="both"/>
        <w:rPr>
          <w:rFonts w:cs="David"/>
          <w:rtl/>
        </w:rPr>
      </w:pPr>
      <w:r w:rsidRPr="00370BFA">
        <w:rPr>
          <w:rFonts w:cs="David" w:hint="cs"/>
          <w:rtl/>
        </w:rPr>
        <w:t xml:space="preserve">בתחום החשיפות אנו מוצאים כי בתקופה הנסקרת הסיכונים מתמקדים במחירי הנכסים </w:t>
      </w:r>
      <w:r w:rsidRPr="00370BFA">
        <w:rPr>
          <w:rFonts w:cs="David"/>
          <w:rtl/>
        </w:rPr>
        <w:t>–</w:t>
      </w:r>
      <w:r w:rsidRPr="00370BFA">
        <w:rPr>
          <w:rFonts w:cs="David" w:hint="cs"/>
          <w:rtl/>
        </w:rPr>
        <w:t xml:space="preserve"> הן הנדל"ן והן הנכסים הפיננסיים, ובפרט האג"ח התאגידיות. היות שבעולם מצמצמים את ההרחבות המוניטריות, והיות שצפוי כי אירופה וישראל יצטרפו למגמה, התגבר הסיכון שתחול ירידה חדה במחירי הנכסים, בפרט הנכסים הפיננסיים הרגישים יותר לסביבת הריבית. חלק מסיכון זה התממש החל מאוקטובר 2018, </w:t>
      </w:r>
      <w:r w:rsidRPr="00370BFA">
        <w:rPr>
          <w:rFonts w:cs="David" w:hint="eastAsia"/>
          <w:rtl/>
        </w:rPr>
        <w:t>על</w:t>
      </w:r>
      <w:r w:rsidRPr="00370BFA">
        <w:rPr>
          <w:rFonts w:cs="David"/>
          <w:rtl/>
        </w:rPr>
        <w:t xml:space="preserve"> </w:t>
      </w:r>
      <w:r w:rsidRPr="00370BFA">
        <w:rPr>
          <w:rFonts w:cs="David" w:hint="eastAsia"/>
          <w:rtl/>
        </w:rPr>
        <w:t>רקע</w:t>
      </w:r>
      <w:r w:rsidRPr="00370BFA">
        <w:rPr>
          <w:rFonts w:cs="David"/>
          <w:rtl/>
        </w:rPr>
        <w:t xml:space="preserve"> </w:t>
      </w:r>
      <w:r w:rsidRPr="00370BFA">
        <w:rPr>
          <w:rFonts w:cs="David" w:hint="eastAsia"/>
          <w:rtl/>
        </w:rPr>
        <w:t>העלייה</w:t>
      </w:r>
      <w:r w:rsidRPr="00370BFA">
        <w:rPr>
          <w:rFonts w:cs="David"/>
          <w:rtl/>
        </w:rPr>
        <w:t xml:space="preserve"> </w:t>
      </w:r>
      <w:r w:rsidRPr="00370BFA">
        <w:rPr>
          <w:rFonts w:cs="David" w:hint="eastAsia"/>
          <w:rtl/>
        </w:rPr>
        <w:t>בתשואות</w:t>
      </w:r>
      <w:r w:rsidRPr="00370BFA">
        <w:rPr>
          <w:rFonts w:cs="David"/>
          <w:rtl/>
        </w:rPr>
        <w:t xml:space="preserve"> </w:t>
      </w:r>
      <w:r w:rsidRPr="00370BFA">
        <w:rPr>
          <w:rFonts w:cs="David" w:hint="eastAsia"/>
          <w:rtl/>
        </w:rPr>
        <w:t>האג</w:t>
      </w:r>
      <w:r w:rsidRPr="00370BFA">
        <w:rPr>
          <w:rFonts w:cs="David"/>
          <w:rtl/>
        </w:rPr>
        <w:t>"</w:t>
      </w:r>
      <w:r w:rsidRPr="00370BFA">
        <w:rPr>
          <w:rFonts w:cs="David" w:hint="eastAsia"/>
          <w:rtl/>
        </w:rPr>
        <w:t>ח</w:t>
      </w:r>
      <w:r w:rsidRPr="00370BFA">
        <w:rPr>
          <w:rFonts w:cs="David"/>
          <w:rtl/>
        </w:rPr>
        <w:t xml:space="preserve"> </w:t>
      </w:r>
      <w:r w:rsidRPr="00370BFA">
        <w:rPr>
          <w:rFonts w:cs="David" w:hint="eastAsia"/>
          <w:rtl/>
        </w:rPr>
        <w:t>הממשלתיות</w:t>
      </w:r>
      <w:r w:rsidRPr="00370BFA">
        <w:rPr>
          <w:rFonts w:cs="David"/>
          <w:rtl/>
        </w:rPr>
        <w:t xml:space="preserve"> </w:t>
      </w:r>
      <w:r w:rsidRPr="00370BFA">
        <w:rPr>
          <w:rFonts w:cs="David" w:hint="eastAsia"/>
          <w:rtl/>
        </w:rPr>
        <w:t>בארה</w:t>
      </w:r>
      <w:r w:rsidRPr="00370BFA">
        <w:rPr>
          <w:rFonts w:cs="David"/>
          <w:rtl/>
        </w:rPr>
        <w:t>"</w:t>
      </w:r>
      <w:r w:rsidRPr="00370BFA">
        <w:rPr>
          <w:rFonts w:cs="David" w:hint="eastAsia"/>
          <w:rtl/>
        </w:rPr>
        <w:t>ב</w:t>
      </w:r>
      <w:r w:rsidRPr="00370BFA">
        <w:rPr>
          <w:rFonts w:cs="David" w:hint="cs"/>
          <w:rtl/>
        </w:rPr>
        <w:t xml:space="preserve">, ובמרבית הבורסות בעולם נרשמו ירידות חדות במחירי המניות ותנודתיות גבוהה. עקב הגידול הניכר שחל בשנים האחרונות בחשיפות הציבור לאג"ח דרך קרנות הנאמנות </w:t>
      </w:r>
      <w:r w:rsidRPr="00370BFA">
        <w:rPr>
          <w:rFonts w:cs="David"/>
          <w:rtl/>
        </w:rPr>
        <w:t>–</w:t>
      </w:r>
      <w:r w:rsidRPr="00370BFA">
        <w:rPr>
          <w:rFonts w:cs="David" w:hint="cs"/>
          <w:rtl/>
        </w:rPr>
        <w:t xml:space="preserve"> על רקע היקפי השקעה פסיבית הולכים וגדלים והשפעת המסחר הרובוטי בבורסה, </w:t>
      </w:r>
      <w:r w:rsidRPr="00370BFA">
        <w:rPr>
          <w:rFonts w:cs="David" w:hint="cs"/>
          <w:rtl/>
        </w:rPr>
        <w:lastRenderedPageBreak/>
        <w:t xml:space="preserve">גורמים שפוגעים בנזילות כשאי-הוודאות עולה </w:t>
      </w:r>
      <w:r w:rsidRPr="00370BFA">
        <w:rPr>
          <w:rFonts w:cs="David"/>
          <w:rtl/>
        </w:rPr>
        <w:t>–</w:t>
      </w:r>
      <w:r w:rsidRPr="00370BFA">
        <w:rPr>
          <w:rFonts w:cs="David" w:hint="cs"/>
          <w:rtl/>
        </w:rPr>
        <w:t xml:space="preserve"> אנו מצביעים על עלייה בהסתברות </w:t>
      </w:r>
      <w:r w:rsidR="00567378">
        <w:rPr>
          <w:rFonts w:cs="David" w:hint="cs"/>
          <w:rtl/>
        </w:rPr>
        <w:t>לאי-סדירות</w:t>
      </w:r>
      <w:r w:rsidR="00DA3B3B" w:rsidRPr="00370BFA">
        <w:rPr>
          <w:rFonts w:cs="David" w:hint="cs"/>
          <w:rtl/>
        </w:rPr>
        <w:t xml:space="preserve"> </w:t>
      </w:r>
      <w:r w:rsidRPr="00370BFA">
        <w:rPr>
          <w:rFonts w:cs="David" w:hint="cs"/>
          <w:rtl/>
        </w:rPr>
        <w:t xml:space="preserve">כתוצאה מזעזוע במחירי הנכסים הפיננסיים. אשר לשוק הנדל"ן בישראל,  החשיפה למערכת הפיננסית </w:t>
      </w:r>
      <w:r w:rsidRPr="00370BFA">
        <w:rPr>
          <w:rFonts w:cs="David"/>
          <w:rtl/>
        </w:rPr>
        <w:t>–</w:t>
      </w:r>
      <w:r w:rsidRPr="00370BFA">
        <w:rPr>
          <w:rFonts w:cs="David" w:hint="cs"/>
          <w:rtl/>
        </w:rPr>
        <w:t xml:space="preserve"> הן לבנקים והן למוסדיים </w:t>
      </w:r>
      <w:r w:rsidRPr="00370BFA">
        <w:rPr>
          <w:rFonts w:cs="David"/>
          <w:rtl/>
        </w:rPr>
        <w:t>–</w:t>
      </w:r>
      <w:r w:rsidRPr="00370BFA">
        <w:rPr>
          <w:rFonts w:cs="David" w:hint="cs"/>
          <w:rtl/>
        </w:rPr>
        <w:t xml:space="preserve"> המשיכה לעלות</w:t>
      </w:r>
      <w:r w:rsidR="00F06CAD">
        <w:rPr>
          <w:rFonts w:cs="David" w:hint="cs"/>
          <w:rtl/>
        </w:rPr>
        <w:t xml:space="preserve">. מנגד, </w:t>
      </w:r>
      <w:r w:rsidRPr="00370BFA">
        <w:rPr>
          <w:rFonts w:cs="David" w:hint="cs"/>
          <w:rtl/>
        </w:rPr>
        <w:t xml:space="preserve">היקפי התחלות הבנייה </w:t>
      </w:r>
      <w:r w:rsidR="00F06CAD">
        <w:rPr>
          <w:rFonts w:cs="David" w:hint="cs"/>
          <w:rtl/>
        </w:rPr>
        <w:t xml:space="preserve">לא עלו בהתאם </w:t>
      </w:r>
      <w:r w:rsidRPr="00370BFA">
        <w:rPr>
          <w:rFonts w:cs="David" w:hint="cs"/>
          <w:rtl/>
        </w:rPr>
        <w:t>לצורכי האוכלוסייה, וההתפתחויות במחירי הדירות ובשכר הדירה כבר אינן מעידות על התנהגות נפיצה.</w:t>
      </w:r>
    </w:p>
    <w:p w:rsidR="00370BFA" w:rsidRPr="00370BFA" w:rsidRDefault="00370BFA" w:rsidP="00743C03">
      <w:pPr>
        <w:bidi/>
        <w:spacing w:after="120" w:line="360" w:lineRule="auto"/>
        <w:ind w:left="-341" w:right="-426"/>
        <w:jc w:val="both"/>
        <w:rPr>
          <w:rFonts w:cs="David"/>
          <w:rtl/>
        </w:rPr>
      </w:pPr>
      <w:r w:rsidRPr="00370BFA">
        <w:rPr>
          <w:rFonts w:cs="David" w:hint="cs"/>
          <w:rtl/>
        </w:rPr>
        <w:t xml:space="preserve">עוד חשיפה ממשיכה להתפתח במשק, והיא נוגעת לאשראי שאינו לדיור. השינויים בסביבה המשפטית שספקי האשראי פועלים בה, והעובדה שספקי האשראי החוץ-בנקאיים ממשיכים להגדיל את חלקם בסך האשראי למשקי הבית, עלולים להגדיל את </w:t>
      </w:r>
      <w:r w:rsidR="00DA3B3B">
        <w:rPr>
          <w:rFonts w:cs="David" w:hint="cs"/>
          <w:rtl/>
        </w:rPr>
        <w:t xml:space="preserve">סיכוני האשראי </w:t>
      </w:r>
      <w:r w:rsidR="00743C03">
        <w:rPr>
          <w:rFonts w:cs="David" w:hint="cs"/>
          <w:rtl/>
        </w:rPr>
        <w:t xml:space="preserve">מצד </w:t>
      </w:r>
      <w:r w:rsidR="00DA3B3B">
        <w:rPr>
          <w:rFonts w:cs="David" w:hint="cs"/>
          <w:rtl/>
        </w:rPr>
        <w:t>משקי הבית</w:t>
      </w:r>
      <w:r w:rsidRPr="00370BFA">
        <w:rPr>
          <w:rFonts w:cs="David" w:hint="cs"/>
          <w:rtl/>
        </w:rPr>
        <w:t xml:space="preserve"> כאשר תחול הרעה חמורה בתנאים הפיננסיים </w:t>
      </w:r>
      <w:r w:rsidRPr="00370BFA">
        <w:rPr>
          <w:rFonts w:cs="David"/>
          <w:rtl/>
        </w:rPr>
        <w:t>–</w:t>
      </w:r>
      <w:r w:rsidRPr="00370BFA">
        <w:rPr>
          <w:rFonts w:cs="David" w:hint="cs"/>
          <w:rtl/>
        </w:rPr>
        <w:t xml:space="preserve"> למשל עקב צמצום המדיניות המוניטרית המרחיבה. </w:t>
      </w:r>
    </w:p>
    <w:p w:rsidR="00370BFA" w:rsidRPr="00370BFA" w:rsidRDefault="00370BFA" w:rsidP="00370BFA">
      <w:pPr>
        <w:bidi/>
        <w:spacing w:after="120" w:line="360" w:lineRule="auto"/>
        <w:ind w:left="-341" w:right="-426"/>
        <w:jc w:val="both"/>
        <w:rPr>
          <w:rFonts w:cs="David"/>
          <w:rtl/>
        </w:rPr>
      </w:pPr>
      <w:r w:rsidRPr="00370BFA">
        <w:rPr>
          <w:rFonts w:cs="David" w:hint="cs"/>
          <w:rtl/>
        </w:rPr>
        <w:t>בתחום החשיפות לחו"ל אנו מוצאים כי הסיכונים עלו בתקופה הנסקרת כתוצאה מהסיכון שחברות רבות בעולם יפשטו רגל על רקע המשך תהליך הצמצום של המדיניות המוניטרית המרחיבה.</w:t>
      </w:r>
    </w:p>
    <w:p w:rsidR="00370BFA" w:rsidRDefault="00370BFA" w:rsidP="00370BFA">
      <w:pPr>
        <w:bidi/>
        <w:spacing w:after="120" w:line="360" w:lineRule="auto"/>
        <w:ind w:left="-341" w:right="-426"/>
        <w:jc w:val="both"/>
        <w:rPr>
          <w:rFonts w:cs="David"/>
          <w:rtl/>
        </w:rPr>
      </w:pPr>
    </w:p>
    <w:p w:rsidR="00370BFA" w:rsidRPr="00370BFA" w:rsidRDefault="00370BFA" w:rsidP="00370BFA">
      <w:pPr>
        <w:bidi/>
        <w:spacing w:after="120" w:line="360" w:lineRule="auto"/>
        <w:ind w:left="-341" w:right="-426"/>
        <w:jc w:val="both"/>
        <w:rPr>
          <w:rFonts w:cs="David"/>
          <w:rtl/>
        </w:rPr>
      </w:pPr>
      <w:r w:rsidRPr="00370BFA">
        <w:rPr>
          <w:rFonts w:cs="David" w:hint="cs"/>
          <w:rtl/>
        </w:rPr>
        <w:t>בדוח זה אנו מתמקדים בארבעה נושאים שונים ומתארים אותם בארבע תיבות נפרדות:</w:t>
      </w:r>
    </w:p>
    <w:p w:rsidR="00370BFA" w:rsidRPr="00370BFA" w:rsidRDefault="00370BFA" w:rsidP="00D4661E">
      <w:pPr>
        <w:bidi/>
        <w:spacing w:after="120" w:line="360" w:lineRule="auto"/>
        <w:ind w:left="-341" w:right="-426"/>
        <w:jc w:val="both"/>
        <w:rPr>
          <w:rFonts w:cs="David"/>
          <w:rtl/>
        </w:rPr>
      </w:pPr>
      <w:r w:rsidRPr="00370BFA">
        <w:rPr>
          <w:rFonts w:cs="David" w:hint="eastAsia"/>
          <w:b/>
          <w:bCs/>
          <w:rtl/>
        </w:rPr>
        <w:t>תיבה</w:t>
      </w:r>
      <w:r w:rsidRPr="00370BFA">
        <w:rPr>
          <w:rFonts w:cs="David"/>
          <w:b/>
          <w:bCs/>
          <w:rtl/>
        </w:rPr>
        <w:t xml:space="preserve"> 1:</w:t>
      </w:r>
      <w:r w:rsidRPr="00370BFA">
        <w:rPr>
          <w:rFonts w:cs="David"/>
          <w:rtl/>
        </w:rPr>
        <w:t xml:space="preserve"> </w:t>
      </w:r>
      <w:r w:rsidRPr="00370BFA">
        <w:rPr>
          <w:rFonts w:cs="David" w:hint="cs"/>
          <w:rtl/>
        </w:rPr>
        <w:t>העלאת</w:t>
      </w:r>
      <w:r w:rsidR="00743C03">
        <w:rPr>
          <w:rFonts w:cs="David" w:hint="cs"/>
          <w:rtl/>
        </w:rPr>
        <w:t>ו</w:t>
      </w:r>
      <w:r w:rsidRPr="00370BFA">
        <w:rPr>
          <w:rFonts w:cs="David" w:hint="cs"/>
          <w:rtl/>
        </w:rPr>
        <w:t xml:space="preserve"> </w:t>
      </w:r>
      <w:r w:rsidR="00743C03">
        <w:rPr>
          <w:rFonts w:cs="David" w:hint="cs"/>
          <w:rtl/>
        </w:rPr>
        <w:t xml:space="preserve">של </w:t>
      </w:r>
      <w:r w:rsidRPr="00370BFA">
        <w:rPr>
          <w:rFonts w:cs="David" w:hint="cs"/>
          <w:rtl/>
        </w:rPr>
        <w:t xml:space="preserve">דירוג האשראי והשפעתה על המשק </w:t>
      </w:r>
      <w:r w:rsidR="00743C03">
        <w:rPr>
          <w:rFonts w:cs="David" w:hint="cs"/>
          <w:rtl/>
        </w:rPr>
        <w:t xml:space="preserve">הישראלי </w:t>
      </w:r>
      <w:r w:rsidRPr="00370BFA">
        <w:rPr>
          <w:rFonts w:cs="David"/>
          <w:rtl/>
        </w:rPr>
        <w:t>–</w:t>
      </w:r>
      <w:r w:rsidRPr="00370BFA">
        <w:rPr>
          <w:rFonts w:cs="David" w:hint="cs"/>
          <w:rtl/>
        </w:rPr>
        <w:t xml:space="preserve"> תיבה זו מציגה ממצאים ראשוניים שמעידים כי בשוקי ההון בישראל חלו התפתחויות חיוביות סמוך להעלאת התחזית לגבי דירוג האשראי של המדינה ולהעלאתו בפועל, וממצאים אלה עולים בקנה אחד עם ספרות המחקר העולמית. היות שיש קשר חזק בין עיתוי ההודעה על העלאת הדירוג ועיתוי ההתפתחויות החיוביות, ובפרט עוצמתו של השקל, התיבה מראה כי להעלאת הדירוג יש פוטנציאל </w:t>
      </w:r>
      <w:r w:rsidR="00D4661E">
        <w:rPr>
          <w:rFonts w:cs="David" w:hint="cs"/>
          <w:rtl/>
        </w:rPr>
        <w:t>לתרום</w:t>
      </w:r>
      <w:r w:rsidRPr="00370BFA">
        <w:rPr>
          <w:rFonts w:cs="David" w:hint="cs"/>
          <w:rtl/>
        </w:rPr>
        <w:t xml:space="preserve"> לפעילות הכלכלית במשק.</w:t>
      </w:r>
    </w:p>
    <w:p w:rsidR="00370BFA" w:rsidRPr="00370BFA" w:rsidRDefault="00370BFA" w:rsidP="00D4661E">
      <w:pPr>
        <w:bidi/>
        <w:spacing w:after="120" w:line="360" w:lineRule="auto"/>
        <w:ind w:left="-341" w:right="-426"/>
        <w:jc w:val="both"/>
        <w:rPr>
          <w:rFonts w:cs="David"/>
          <w:rtl/>
        </w:rPr>
      </w:pPr>
      <w:r w:rsidRPr="00370BFA">
        <w:rPr>
          <w:rFonts w:cs="David" w:hint="eastAsia"/>
          <w:b/>
          <w:bCs/>
          <w:rtl/>
        </w:rPr>
        <w:t>תיבה</w:t>
      </w:r>
      <w:r w:rsidRPr="00370BFA">
        <w:rPr>
          <w:rFonts w:cs="David"/>
          <w:b/>
          <w:bCs/>
          <w:rtl/>
        </w:rPr>
        <w:t xml:space="preserve"> 2:</w:t>
      </w:r>
      <w:r w:rsidRPr="00370BFA">
        <w:rPr>
          <w:rFonts w:cs="David"/>
          <w:rtl/>
        </w:rPr>
        <w:t xml:space="preserve"> ניתוח היציבות הפיננסית של החברות הציבוריות בענף הנדל"ן המניב </w:t>
      </w:r>
      <w:r w:rsidR="00F52E51">
        <w:rPr>
          <w:rFonts w:cs="David" w:hint="cs"/>
          <w:rtl/>
        </w:rPr>
        <w:t xml:space="preserve"> (פורסם בנפרד)</w:t>
      </w:r>
      <w:r w:rsidRPr="00370BFA">
        <w:rPr>
          <w:rFonts w:cs="David"/>
          <w:rtl/>
        </w:rPr>
        <w:t xml:space="preserve">– בתיבה זו אנו מתמקדים בניתוח הסיכונים הטמונים בפעילותן של חברות </w:t>
      </w:r>
      <w:r w:rsidRPr="00370BFA">
        <w:rPr>
          <w:rFonts w:cs="David" w:hint="cs"/>
          <w:rtl/>
        </w:rPr>
        <w:t>ה</w:t>
      </w:r>
      <w:r w:rsidRPr="00370BFA">
        <w:rPr>
          <w:rFonts w:cs="David"/>
          <w:rtl/>
        </w:rPr>
        <w:t>נדל"ן המניב בישראל. הניסיון העולמי</w:t>
      </w:r>
      <w:r w:rsidRPr="00370BFA">
        <w:rPr>
          <w:rFonts w:cs="David" w:hint="cs"/>
          <w:rtl/>
        </w:rPr>
        <w:t xml:space="preserve"> מעיד כי</w:t>
      </w:r>
      <w:r w:rsidRPr="00370BFA">
        <w:rPr>
          <w:rFonts w:cs="David"/>
          <w:rtl/>
        </w:rPr>
        <w:t xml:space="preserve"> שוק זה רגיש למחזור העסקים </w:t>
      </w:r>
      <w:r w:rsidRPr="00370BFA">
        <w:rPr>
          <w:rFonts w:cs="David" w:hint="cs"/>
          <w:rtl/>
        </w:rPr>
        <w:t>יותר מ</w:t>
      </w:r>
      <w:r w:rsidRPr="00370BFA">
        <w:rPr>
          <w:rFonts w:cs="David"/>
          <w:rtl/>
        </w:rPr>
        <w:t xml:space="preserve">שוק הדירות למגורים. הפעילות </w:t>
      </w:r>
      <w:r w:rsidRPr="00370BFA">
        <w:rPr>
          <w:rFonts w:cs="David" w:hint="cs"/>
          <w:rtl/>
        </w:rPr>
        <w:t xml:space="preserve">בישראל </w:t>
      </w:r>
      <w:r w:rsidRPr="00370BFA">
        <w:rPr>
          <w:rFonts w:cs="David"/>
          <w:rtl/>
        </w:rPr>
        <w:t xml:space="preserve">אינה חריגה בהשוואה </w:t>
      </w:r>
      <w:r w:rsidRPr="00370BFA">
        <w:rPr>
          <w:rFonts w:cs="David" w:hint="cs"/>
          <w:rtl/>
        </w:rPr>
        <w:t>לפעילות ב</w:t>
      </w:r>
      <w:r w:rsidRPr="00370BFA">
        <w:rPr>
          <w:rFonts w:cs="David"/>
          <w:rtl/>
        </w:rPr>
        <w:t>אירופה, הפרופיל הפיננסי של החברות השתפר</w:t>
      </w:r>
      <w:r w:rsidRPr="00370BFA">
        <w:rPr>
          <w:rFonts w:cs="David" w:hint="cs"/>
          <w:rtl/>
        </w:rPr>
        <w:t>,</w:t>
      </w:r>
      <w:r w:rsidRPr="00370BFA">
        <w:rPr>
          <w:rFonts w:cs="David"/>
          <w:rtl/>
        </w:rPr>
        <w:t xml:space="preserve"> ומחירי הנכסים המניבים עלו בעשור האחרון פחות </w:t>
      </w:r>
      <w:r w:rsidRPr="00370BFA">
        <w:rPr>
          <w:rFonts w:cs="David" w:hint="cs"/>
          <w:rtl/>
        </w:rPr>
        <w:t xml:space="preserve">ממחירי </w:t>
      </w:r>
      <w:r w:rsidRPr="00370BFA">
        <w:rPr>
          <w:rFonts w:cs="David"/>
          <w:rtl/>
        </w:rPr>
        <w:t xml:space="preserve">הדירות למגורים. </w:t>
      </w:r>
      <w:r w:rsidRPr="00370BFA">
        <w:rPr>
          <w:rFonts w:cs="David" w:hint="cs"/>
          <w:rtl/>
        </w:rPr>
        <w:t>אולם החשיפה של המערכת הפיננסית ל</w:t>
      </w:r>
      <w:r w:rsidRPr="00370BFA">
        <w:rPr>
          <w:rFonts w:cs="David"/>
          <w:rtl/>
        </w:rPr>
        <w:t xml:space="preserve">ענף זה </w:t>
      </w:r>
      <w:r w:rsidRPr="00370BFA">
        <w:rPr>
          <w:rFonts w:cs="David" w:hint="cs"/>
          <w:rtl/>
        </w:rPr>
        <w:t xml:space="preserve">גבוהה מבין </w:t>
      </w:r>
      <w:r w:rsidRPr="00370BFA">
        <w:rPr>
          <w:rFonts w:cs="David"/>
          <w:rtl/>
        </w:rPr>
        <w:t>ענפי המשק.</w:t>
      </w:r>
      <w:r w:rsidRPr="00370BFA">
        <w:rPr>
          <w:rFonts w:cs="David" w:hint="cs"/>
          <w:rtl/>
        </w:rPr>
        <w:t xml:space="preserve"> </w:t>
      </w:r>
    </w:p>
    <w:p w:rsidR="00370BFA" w:rsidRPr="00370BFA" w:rsidRDefault="00370BFA" w:rsidP="00D4661E">
      <w:pPr>
        <w:bidi/>
        <w:spacing w:after="120" w:line="360" w:lineRule="auto"/>
        <w:ind w:left="-341" w:right="-426"/>
        <w:jc w:val="both"/>
        <w:rPr>
          <w:rFonts w:cs="David"/>
          <w:rtl/>
        </w:rPr>
      </w:pPr>
      <w:r w:rsidRPr="00370BFA">
        <w:rPr>
          <w:rFonts w:cs="David" w:hint="cs"/>
          <w:b/>
          <w:bCs/>
          <w:noProof/>
          <w:rtl/>
        </w:rPr>
        <w:t xml:space="preserve">תיבה 3: </w:t>
      </w:r>
      <w:r w:rsidRPr="00370BFA">
        <w:rPr>
          <w:rFonts w:cs="David" w:hint="cs"/>
          <w:noProof/>
          <w:rtl/>
        </w:rPr>
        <w:t xml:space="preserve">השפעת פעילותם של מחוללי הציטוטים על איכות המסחר </w:t>
      </w:r>
      <w:r w:rsidRPr="00370BFA">
        <w:rPr>
          <w:rFonts w:cs="David"/>
          <w:noProof/>
          <w:rtl/>
        </w:rPr>
        <w:t>–</w:t>
      </w:r>
      <w:r w:rsidRPr="00370BFA">
        <w:rPr>
          <w:rFonts w:cs="David" w:hint="cs"/>
          <w:noProof/>
          <w:rtl/>
        </w:rPr>
        <w:t xml:space="preserve"> בתיבה זו אנו מראים </w:t>
      </w:r>
      <w:r w:rsidR="00D4661E">
        <w:rPr>
          <w:rFonts w:cs="David" w:hint="cs"/>
          <w:noProof/>
          <w:rtl/>
        </w:rPr>
        <w:t xml:space="preserve">כי חלק מהאסטרטגיות שנוקטים </w:t>
      </w:r>
      <w:r w:rsidRPr="00370BFA">
        <w:rPr>
          <w:rFonts w:cs="David" w:hint="cs"/>
          <w:noProof/>
          <w:rtl/>
        </w:rPr>
        <w:t>מחוללי הציטוטים (רובוטי המסחר) משפיע</w:t>
      </w:r>
      <w:r w:rsidR="00D4661E">
        <w:rPr>
          <w:rFonts w:cs="David" w:hint="cs"/>
          <w:noProof/>
          <w:rtl/>
        </w:rPr>
        <w:t>ות</w:t>
      </w:r>
      <w:r w:rsidRPr="00370BFA">
        <w:rPr>
          <w:rFonts w:cs="David" w:hint="cs"/>
          <w:noProof/>
          <w:rtl/>
        </w:rPr>
        <w:t xml:space="preserve"> לרעה על איכות המסחר בבורסה. בהתאם לכך אנו ממליצים לנקוט צעדי אסדרה, בדומה לצעדים שננקטו בבורסות רבות בעולם, כדי לצמצם את הסיכונים לתנודות חדות ומהירות במחירי הנכסים, שכן אלה מגדילות את סיכון הנזילות ובסופו של דבר מפחיתות את עומק השוק.</w:t>
      </w:r>
    </w:p>
    <w:p w:rsidR="00370BFA" w:rsidRPr="00370BFA" w:rsidRDefault="00370BFA" w:rsidP="00D4661E">
      <w:pPr>
        <w:bidi/>
        <w:spacing w:after="120" w:line="360" w:lineRule="auto"/>
        <w:ind w:left="-341" w:right="-426"/>
        <w:jc w:val="both"/>
        <w:rPr>
          <w:rFonts w:cs="David"/>
          <w:rtl/>
        </w:rPr>
      </w:pPr>
      <w:r w:rsidRPr="00370BFA">
        <w:rPr>
          <w:rFonts w:cs="David" w:hint="cs"/>
          <w:b/>
          <w:bCs/>
          <w:noProof/>
          <w:rtl/>
        </w:rPr>
        <w:t xml:space="preserve">תיבה 4: </w:t>
      </w:r>
      <w:r w:rsidRPr="00370BFA">
        <w:rPr>
          <w:rFonts w:cs="David" w:hint="cs"/>
          <w:rtl/>
        </w:rPr>
        <w:t>הסיכונים הנובעים מהתרחבות ההשקעות הפסיביות במשק</w:t>
      </w:r>
      <w:r w:rsidR="008C247E">
        <w:rPr>
          <w:rFonts w:cs="David" w:hint="cs"/>
          <w:rtl/>
        </w:rPr>
        <w:t xml:space="preserve"> (תעודות סל וקרנות נאמנות </w:t>
      </w:r>
      <w:r w:rsidR="00D4661E">
        <w:rPr>
          <w:rFonts w:cs="David" w:hint="cs"/>
          <w:rtl/>
        </w:rPr>
        <w:t>ש</w:t>
      </w:r>
      <w:r w:rsidR="008C247E">
        <w:rPr>
          <w:rFonts w:cs="David" w:hint="cs"/>
          <w:rtl/>
        </w:rPr>
        <w:t>מתחקות אחר מדדי</w:t>
      </w:r>
      <w:r w:rsidR="00D4661E">
        <w:rPr>
          <w:rFonts w:cs="David" w:hint="cs"/>
          <w:rtl/>
        </w:rPr>
        <w:t>ם</w:t>
      </w:r>
      <w:r w:rsidR="008C247E">
        <w:rPr>
          <w:rFonts w:cs="David" w:hint="cs"/>
          <w:rtl/>
        </w:rPr>
        <w:t xml:space="preserve"> </w:t>
      </w:r>
      <w:r w:rsidR="00D4661E">
        <w:rPr>
          <w:rFonts w:cs="David" w:hint="cs"/>
          <w:rtl/>
        </w:rPr>
        <w:t>ל</w:t>
      </w:r>
      <w:r w:rsidR="008C247E">
        <w:rPr>
          <w:rFonts w:cs="David" w:hint="cs"/>
          <w:rtl/>
        </w:rPr>
        <w:t>מחירי נכסים)</w:t>
      </w:r>
      <w:r w:rsidRPr="00370BFA">
        <w:rPr>
          <w:rFonts w:cs="David" w:hint="cs"/>
          <w:noProof/>
          <w:rtl/>
        </w:rPr>
        <w:t xml:space="preserve"> </w:t>
      </w:r>
      <w:r w:rsidRPr="00370BFA">
        <w:rPr>
          <w:rFonts w:cs="David"/>
          <w:noProof/>
          <w:rtl/>
        </w:rPr>
        <w:t>–</w:t>
      </w:r>
      <w:r w:rsidRPr="00370BFA">
        <w:rPr>
          <w:rFonts w:cs="David" w:hint="cs"/>
          <w:noProof/>
          <w:rtl/>
        </w:rPr>
        <w:t xml:space="preserve"> היקפי ההשקעה הפסיבית בישראל, כמו בשאר העולם, גדלו מאוד בעשור האחרון. להשקעה זו יתרונות רבים עבור המשקיעים הקטנים, אולם גם חסרונותיה מתרבים ככל שהיא מתרחבת בקרבם. חסרונות אלו באים לידי ביטוי בעלייה בתנודתיות המחירים, בשבריריות השוק ובסיכון הנזילות. אנו ממליצים לבחון את ההשפעה הכוללת של הגידול בהיקפי המסחר הפסיבי בבורסה ולוודא כי הגידול במספר המדדים למחירי הנכסים הנסחרים </w:t>
      </w:r>
      <w:r w:rsidRPr="00370BFA">
        <w:rPr>
          <w:rFonts w:cs="David"/>
          <w:noProof/>
          <w:rtl/>
        </w:rPr>
        <w:t>–</w:t>
      </w:r>
      <w:r w:rsidRPr="00370BFA">
        <w:rPr>
          <w:rFonts w:cs="David" w:hint="cs"/>
          <w:noProof/>
          <w:rtl/>
        </w:rPr>
        <w:t xml:space="preserve"> דבר שמאפשר ליצור עוד מכשירים מתחקים </w:t>
      </w:r>
      <w:r w:rsidRPr="00370BFA">
        <w:rPr>
          <w:rFonts w:cs="David"/>
          <w:noProof/>
          <w:rtl/>
        </w:rPr>
        <w:t>–</w:t>
      </w:r>
      <w:r w:rsidRPr="00370BFA">
        <w:rPr>
          <w:rFonts w:cs="David" w:hint="cs"/>
          <w:noProof/>
          <w:rtl/>
        </w:rPr>
        <w:t xml:space="preserve"> אינו מגדיל את סיכון הנזילות בבורסה.</w:t>
      </w:r>
    </w:p>
    <w:p w:rsidR="00370BFA" w:rsidRPr="00370BFA" w:rsidRDefault="00370BFA" w:rsidP="00370BFA">
      <w:pPr>
        <w:bidi/>
        <w:spacing w:line="360" w:lineRule="auto"/>
        <w:jc w:val="center"/>
        <w:rPr>
          <w:rFonts w:cs="David"/>
          <w:rtl/>
        </w:rPr>
      </w:pPr>
    </w:p>
    <w:p w:rsidR="00370BFA" w:rsidRPr="00370BFA" w:rsidRDefault="00370BFA" w:rsidP="00370BFA">
      <w:pPr>
        <w:bidi/>
        <w:spacing w:line="360" w:lineRule="auto"/>
        <w:jc w:val="both"/>
        <w:rPr>
          <w:rFonts w:cs="David"/>
          <w:rtl/>
        </w:rPr>
      </w:pPr>
    </w:p>
    <w:tbl>
      <w:tblPr>
        <w:bidiVisual/>
        <w:tblW w:w="10314" w:type="dxa"/>
        <w:tblInd w:w="192" w:type="dxa"/>
        <w:tblLook w:val="04A0" w:firstRow="1" w:lastRow="0" w:firstColumn="1" w:lastColumn="0" w:noHBand="0" w:noVBand="1"/>
      </w:tblPr>
      <w:tblGrid>
        <w:gridCol w:w="377"/>
        <w:gridCol w:w="632"/>
        <w:gridCol w:w="334"/>
        <w:gridCol w:w="783"/>
        <w:gridCol w:w="503"/>
        <w:gridCol w:w="585"/>
        <w:gridCol w:w="362"/>
        <w:gridCol w:w="269"/>
        <w:gridCol w:w="929"/>
        <w:gridCol w:w="86"/>
        <w:gridCol w:w="261"/>
        <w:gridCol w:w="1031"/>
        <w:gridCol w:w="24"/>
        <w:gridCol w:w="279"/>
        <w:gridCol w:w="157"/>
        <w:gridCol w:w="1024"/>
        <w:gridCol w:w="178"/>
        <w:gridCol w:w="1223"/>
        <w:gridCol w:w="1277"/>
      </w:tblGrid>
      <w:tr w:rsidR="00370BFA" w:rsidRPr="00370BFA" w:rsidTr="009418A7">
        <w:trPr>
          <w:gridAfter w:val="2"/>
          <w:wAfter w:w="2500" w:type="dxa"/>
          <w:trHeight w:val="523"/>
        </w:trPr>
        <w:tc>
          <w:tcPr>
            <w:tcW w:w="7814" w:type="dxa"/>
            <w:gridSpan w:val="17"/>
          </w:tcPr>
          <w:p w:rsidR="00370BFA" w:rsidRPr="00370BFA" w:rsidRDefault="00370BFA" w:rsidP="00370BFA">
            <w:pPr>
              <w:pStyle w:val="6"/>
              <w:rPr>
                <w:rFonts w:ascii="Times New Roman" w:hAnsi="Times New Roman"/>
                <w:rtl/>
              </w:rPr>
            </w:pPr>
            <w:bookmarkStart w:id="1" w:name="_Ref516407730"/>
            <w:r w:rsidRPr="00370BFA">
              <w:rPr>
                <w:rFonts w:ascii="Times New Roman" w:hAnsi="Times New Roman" w:hint="cs"/>
                <w:rtl/>
              </w:rPr>
              <w:t xml:space="preserve">הסיכונים בסביבה שהמערכת הפיננסית פועלת בה </w:t>
            </w:r>
            <w:r w:rsidRPr="00370BFA">
              <w:rPr>
                <w:rFonts w:ascii="Times New Roman" w:hAnsi="Times New Roman"/>
                <w:rtl/>
              </w:rPr>
              <w:t>–</w:t>
            </w:r>
            <w:r w:rsidRPr="00370BFA">
              <w:rPr>
                <w:rFonts w:ascii="Times New Roman" w:hAnsi="Times New Roman" w:hint="cs"/>
                <w:rtl/>
              </w:rPr>
              <w:t xml:space="preserve"> </w:t>
            </w:r>
            <w:bookmarkEnd w:id="1"/>
            <w:r w:rsidRPr="00370BFA">
              <w:rPr>
                <w:rFonts w:ascii="Times New Roman" w:hAnsi="Times New Roman" w:hint="cs"/>
                <w:rtl/>
              </w:rPr>
              <w:t>מפת חום</w:t>
            </w:r>
          </w:p>
        </w:tc>
      </w:tr>
      <w:tr w:rsidR="00370BFA" w:rsidRPr="00370BFA" w:rsidTr="009418A7">
        <w:trPr>
          <w:gridAfter w:val="3"/>
          <w:wAfter w:w="2678" w:type="dxa"/>
          <w:cantSplit/>
          <w:trHeight w:hRule="exact" w:val="1007"/>
        </w:trPr>
        <w:tc>
          <w:tcPr>
            <w:tcW w:w="1009" w:type="dxa"/>
            <w:gridSpan w:val="2"/>
            <w:tcBorders>
              <w:bottom w:val="single" w:sz="12" w:space="0" w:color="000000" w:themeColor="text1"/>
            </w:tcBorders>
          </w:tcPr>
          <w:p w:rsidR="00370BFA" w:rsidRPr="00370BFA" w:rsidRDefault="00370BFA" w:rsidP="00370BFA">
            <w:pPr>
              <w:bidi/>
              <w:spacing w:line="360" w:lineRule="auto"/>
              <w:jc w:val="both"/>
              <w:rPr>
                <w:rFonts w:cs="David"/>
                <w:rtl/>
              </w:rPr>
            </w:pPr>
          </w:p>
        </w:tc>
        <w:tc>
          <w:tcPr>
            <w:tcW w:w="1117" w:type="dxa"/>
            <w:gridSpan w:val="2"/>
          </w:tcPr>
          <w:p w:rsidR="00370BFA" w:rsidRPr="00370BFA" w:rsidRDefault="00370BFA" w:rsidP="00370BFA">
            <w:pPr>
              <w:bidi/>
              <w:spacing w:line="360" w:lineRule="auto"/>
              <w:jc w:val="both"/>
              <w:rPr>
                <w:rFonts w:cs="David"/>
                <w:rtl/>
              </w:rPr>
            </w:pPr>
          </w:p>
        </w:tc>
        <w:tc>
          <w:tcPr>
            <w:tcW w:w="503" w:type="dxa"/>
          </w:tcPr>
          <w:p w:rsidR="00370BFA" w:rsidRPr="00370BFA" w:rsidRDefault="00370BFA" w:rsidP="00370BFA">
            <w:pPr>
              <w:bidi/>
              <w:spacing w:line="360" w:lineRule="auto"/>
              <w:jc w:val="both"/>
              <w:rPr>
                <w:rFonts w:cs="David"/>
                <w:rtl/>
              </w:rPr>
            </w:pPr>
          </w:p>
        </w:tc>
        <w:tc>
          <w:tcPr>
            <w:tcW w:w="947" w:type="dxa"/>
            <w:gridSpan w:val="2"/>
            <w:tcBorders>
              <w:bottom w:val="single" w:sz="12" w:space="0" w:color="auto"/>
            </w:tcBorders>
            <w:vAlign w:val="bottom"/>
          </w:tcPr>
          <w:p w:rsidR="00370BFA" w:rsidRPr="00370BFA" w:rsidRDefault="00370BFA" w:rsidP="00370BFA">
            <w:pPr>
              <w:bidi/>
              <w:spacing w:line="360" w:lineRule="auto"/>
              <w:jc w:val="both"/>
              <w:rPr>
                <w:rFonts w:cs="David"/>
                <w:b/>
                <w:bCs/>
                <w:sz w:val="22"/>
                <w:szCs w:val="22"/>
                <w:rtl/>
              </w:rPr>
            </w:pPr>
            <w:r w:rsidRPr="00370BFA">
              <w:rPr>
                <w:rFonts w:cs="David" w:hint="cs"/>
                <w:b/>
                <w:bCs/>
                <w:sz w:val="22"/>
                <w:szCs w:val="22"/>
                <w:rtl/>
              </w:rPr>
              <w:t>הפעילות הכלכלית בארץ ובעולם</w:t>
            </w:r>
          </w:p>
        </w:tc>
        <w:tc>
          <w:tcPr>
            <w:tcW w:w="269" w:type="dxa"/>
            <w:vAlign w:val="bottom"/>
          </w:tcPr>
          <w:p w:rsidR="00370BFA" w:rsidRPr="00370BFA" w:rsidRDefault="00370BFA" w:rsidP="00370BFA">
            <w:pPr>
              <w:bidi/>
              <w:spacing w:line="360" w:lineRule="auto"/>
              <w:jc w:val="both"/>
              <w:rPr>
                <w:rFonts w:cs="David"/>
                <w:b/>
                <w:bCs/>
                <w:rtl/>
              </w:rPr>
            </w:pPr>
          </w:p>
        </w:tc>
        <w:tc>
          <w:tcPr>
            <w:tcW w:w="1015" w:type="dxa"/>
            <w:gridSpan w:val="2"/>
            <w:tcBorders>
              <w:bottom w:val="single" w:sz="12" w:space="0" w:color="auto"/>
            </w:tcBorders>
            <w:vAlign w:val="bottom"/>
          </w:tcPr>
          <w:p w:rsidR="00370BFA" w:rsidRPr="00370BFA" w:rsidRDefault="00370BFA" w:rsidP="00370BFA">
            <w:pPr>
              <w:bidi/>
              <w:spacing w:line="360" w:lineRule="auto"/>
              <w:jc w:val="both"/>
              <w:rPr>
                <w:rFonts w:cs="David"/>
                <w:b/>
                <w:bCs/>
                <w:sz w:val="22"/>
                <w:szCs w:val="22"/>
                <w:rtl/>
              </w:rPr>
            </w:pPr>
            <w:r w:rsidRPr="00370BFA">
              <w:rPr>
                <w:rFonts w:cs="David" w:hint="cs"/>
                <w:b/>
                <w:bCs/>
                <w:sz w:val="22"/>
                <w:szCs w:val="22"/>
                <w:rtl/>
              </w:rPr>
              <w:t>שוק הנכסים</w:t>
            </w:r>
          </w:p>
        </w:tc>
        <w:tc>
          <w:tcPr>
            <w:tcW w:w="261" w:type="dxa"/>
            <w:vAlign w:val="bottom"/>
          </w:tcPr>
          <w:p w:rsidR="00370BFA" w:rsidRPr="00370BFA" w:rsidRDefault="00370BFA" w:rsidP="00370BFA">
            <w:pPr>
              <w:bidi/>
              <w:spacing w:line="360" w:lineRule="auto"/>
              <w:jc w:val="both"/>
              <w:rPr>
                <w:rFonts w:cs="David"/>
                <w:b/>
                <w:bCs/>
                <w:sz w:val="22"/>
                <w:szCs w:val="22"/>
                <w:rtl/>
              </w:rPr>
            </w:pPr>
          </w:p>
        </w:tc>
        <w:tc>
          <w:tcPr>
            <w:tcW w:w="1055" w:type="dxa"/>
            <w:gridSpan w:val="2"/>
            <w:vAlign w:val="bottom"/>
          </w:tcPr>
          <w:p w:rsidR="00370BFA" w:rsidRPr="00370BFA" w:rsidRDefault="00370BFA" w:rsidP="00370BFA">
            <w:pPr>
              <w:bidi/>
              <w:spacing w:line="360" w:lineRule="auto"/>
              <w:jc w:val="both"/>
              <w:rPr>
                <w:rFonts w:cs="David"/>
                <w:b/>
                <w:bCs/>
                <w:sz w:val="22"/>
                <w:szCs w:val="22"/>
                <w:rtl/>
              </w:rPr>
            </w:pPr>
            <w:r w:rsidRPr="00370BFA">
              <w:rPr>
                <w:rFonts w:cs="David" w:hint="cs"/>
                <w:b/>
                <w:bCs/>
                <w:sz w:val="22"/>
                <w:szCs w:val="22"/>
                <w:rtl/>
              </w:rPr>
              <w:t>האשראי</w:t>
            </w:r>
          </w:p>
        </w:tc>
        <w:tc>
          <w:tcPr>
            <w:tcW w:w="279" w:type="dxa"/>
            <w:vAlign w:val="bottom"/>
          </w:tcPr>
          <w:p w:rsidR="00370BFA" w:rsidRPr="00370BFA" w:rsidRDefault="00370BFA" w:rsidP="00370BFA">
            <w:pPr>
              <w:bidi/>
              <w:spacing w:line="360" w:lineRule="auto"/>
              <w:jc w:val="both"/>
              <w:rPr>
                <w:rFonts w:cs="David"/>
                <w:b/>
                <w:bCs/>
                <w:sz w:val="22"/>
                <w:szCs w:val="22"/>
                <w:rtl/>
              </w:rPr>
            </w:pPr>
          </w:p>
        </w:tc>
        <w:tc>
          <w:tcPr>
            <w:tcW w:w="1181" w:type="dxa"/>
            <w:gridSpan w:val="2"/>
            <w:vAlign w:val="bottom"/>
          </w:tcPr>
          <w:p w:rsidR="00370BFA" w:rsidRPr="00370BFA" w:rsidRDefault="00370BFA" w:rsidP="00370BFA">
            <w:pPr>
              <w:bidi/>
              <w:spacing w:line="360" w:lineRule="auto"/>
              <w:jc w:val="both"/>
              <w:rPr>
                <w:rFonts w:cs="David"/>
                <w:b/>
                <w:bCs/>
                <w:sz w:val="22"/>
                <w:szCs w:val="22"/>
                <w:rtl/>
              </w:rPr>
            </w:pPr>
            <w:r w:rsidRPr="00370BFA">
              <w:rPr>
                <w:rFonts w:cs="David" w:hint="cs"/>
                <w:b/>
                <w:bCs/>
                <w:sz w:val="22"/>
                <w:szCs w:val="22"/>
                <w:rtl/>
              </w:rPr>
              <w:t>הנזילות</w:t>
            </w:r>
          </w:p>
        </w:tc>
      </w:tr>
      <w:tr w:rsidR="00370BFA" w:rsidRPr="00370BFA" w:rsidTr="009418A7">
        <w:trPr>
          <w:gridAfter w:val="3"/>
          <w:wAfter w:w="2678" w:type="dxa"/>
          <w:trHeight w:val="744"/>
        </w:trPr>
        <w:tc>
          <w:tcPr>
            <w:tcW w:w="1009" w:type="dxa"/>
            <w:gridSpan w:val="2"/>
            <w:vMerge w:val="restart"/>
            <w:tcBorders>
              <w:top w:val="single" w:sz="12" w:space="0" w:color="000000" w:themeColor="text1"/>
              <w:left w:val="single" w:sz="12" w:space="0" w:color="000000" w:themeColor="text1"/>
              <w:right w:val="single" w:sz="12" w:space="0" w:color="000000" w:themeColor="text1"/>
            </w:tcBorders>
            <w:textDirection w:val="tbRl"/>
            <w:vAlign w:val="center"/>
          </w:tcPr>
          <w:p w:rsidR="00370BFA" w:rsidRPr="00370BFA" w:rsidRDefault="00370BFA" w:rsidP="00F313B2">
            <w:pPr>
              <w:bidi/>
              <w:spacing w:line="360" w:lineRule="auto"/>
              <w:ind w:left="113" w:right="113"/>
              <w:jc w:val="center"/>
              <w:rPr>
                <w:rFonts w:cs="David"/>
                <w:b/>
                <w:bCs/>
                <w:noProof/>
                <w:rtl/>
              </w:rPr>
            </w:pPr>
            <w:r w:rsidRPr="00370BFA">
              <w:rPr>
                <w:rFonts w:cs="David"/>
                <w:b/>
                <w:bCs/>
                <w:noProof/>
                <w:rtl/>
              </w:rPr>
              <mc:AlternateContent>
                <mc:Choice Requires="wps">
                  <w:drawing>
                    <wp:anchor distT="0" distB="0" distL="114300" distR="114300" simplePos="0" relativeHeight="251662336" behindDoc="0" locked="0" layoutInCell="0" allowOverlap="0" wp14:anchorId="230F21A5" wp14:editId="168A6E04">
                      <wp:simplePos x="0" y="0"/>
                      <wp:positionH relativeFrom="page">
                        <wp:posOffset>-3077845</wp:posOffset>
                      </wp:positionH>
                      <wp:positionV relativeFrom="page">
                        <wp:posOffset>-2174240</wp:posOffset>
                      </wp:positionV>
                      <wp:extent cx="939600" cy="687600"/>
                      <wp:effectExtent l="38100" t="38100" r="13335" b="17780"/>
                      <wp:wrapNone/>
                      <wp:docPr id="293" name="מחבר חץ ישר 293"/>
                      <wp:cNvGraphicFramePr/>
                      <a:graphic xmlns:a="http://schemas.openxmlformats.org/drawingml/2006/main">
                        <a:graphicData uri="http://schemas.microsoft.com/office/word/2010/wordprocessingShape">
                          <wps:wsp>
                            <wps:cNvCnPr/>
                            <wps:spPr>
                              <a:xfrm flipH="1" flipV="1">
                                <a:off x="0" y="0"/>
                                <a:ext cx="939600" cy="687600"/>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293" o:spid="_x0000_s1026" type="#_x0000_t32" style="position:absolute;left:0;text-align:left;margin-left:-242.35pt;margin-top:-171.2pt;width:74pt;height:54.15pt;flip:x 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" o:allowincell="f" o:allowoverlap="f" strokecolor="black [3213]" strokeweight="2.5pt">
                      <v:stroke endarrow="open"/>
                      <w10:wrap anchorx="page" anchory="page"/>
                    </v:shape>
                  </w:pict>
                </mc:Fallback>
              </mc:AlternateContent>
            </w:r>
            <w:r w:rsidRPr="00370BFA">
              <w:rPr>
                <w:rFonts w:cs="David"/>
                <w:b/>
                <w:bCs/>
                <w:noProof/>
                <w:rtl/>
              </w:rPr>
              <mc:AlternateContent>
                <mc:Choice Requires="wps">
                  <w:drawing>
                    <wp:anchor distT="0" distB="0" distL="114300" distR="114300" simplePos="0" relativeHeight="251661312" behindDoc="0" locked="0" layoutInCell="0" allowOverlap="0" wp14:anchorId="57AB5656" wp14:editId="631BF4A3">
                      <wp:simplePos x="0" y="0"/>
                      <wp:positionH relativeFrom="page">
                        <wp:posOffset>-1198245</wp:posOffset>
                      </wp:positionH>
                      <wp:positionV relativeFrom="paragraph">
                        <wp:posOffset>-1858010</wp:posOffset>
                      </wp:positionV>
                      <wp:extent cx="180975" cy="836295"/>
                      <wp:effectExtent l="0" t="0" r="85725" b="59055"/>
                      <wp:wrapNone/>
                      <wp:docPr id="46" name="מחבר חץ ישר 46"/>
                      <wp:cNvGraphicFramePr/>
                      <a:graphic xmlns:a="http://schemas.openxmlformats.org/drawingml/2006/main">
                        <a:graphicData uri="http://schemas.microsoft.com/office/word/2010/wordprocessingShape">
                          <wps:wsp>
                            <wps:cNvCnPr/>
                            <wps:spPr>
                              <a:xfrm>
                                <a:off x="0" y="0"/>
                                <a:ext cx="180975" cy="836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46" o:spid="_x0000_s1026" type="#_x0000_t32" style="position:absolute;left:0;text-align:left;margin-left:-94.35pt;margin-top:-146.3pt;width:14.25pt;height:6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" o:allowincell="f" o:allowoverlap="f" strokecolor="#4579b8 [3044]">
                      <v:stroke endarrow="open"/>
                      <w10:wrap anchorx="page"/>
                    </v:shape>
                  </w:pict>
                </mc:Fallback>
              </mc:AlternateContent>
            </w:r>
            <w:r w:rsidRPr="00370BFA">
              <w:rPr>
                <w:rFonts w:cs="David" w:hint="cs"/>
                <w:b/>
                <w:bCs/>
                <w:rtl/>
              </w:rPr>
              <w:t>הערכה של רמת  הסיכון</w:t>
            </w:r>
          </w:p>
        </w:tc>
        <w:tc>
          <w:tcPr>
            <w:tcW w:w="1117" w:type="dxa"/>
            <w:gridSpan w:val="2"/>
            <w:tcBorders>
              <w:left w:val="single" w:sz="12" w:space="0" w:color="000000" w:themeColor="text1"/>
            </w:tcBorders>
            <w:vAlign w:val="center"/>
          </w:tcPr>
          <w:p w:rsidR="00370BFA" w:rsidRPr="00370BFA" w:rsidRDefault="00370BFA" w:rsidP="00370BFA">
            <w:pPr>
              <w:bidi/>
              <w:spacing w:line="360" w:lineRule="auto"/>
              <w:jc w:val="both"/>
              <w:rPr>
                <w:rFonts w:cs="David"/>
                <w:rtl/>
              </w:rPr>
            </w:pPr>
            <w:r w:rsidRPr="00370BFA">
              <w:rPr>
                <w:rFonts w:cs="David" w:hint="cs"/>
                <w:rtl/>
              </w:rPr>
              <w:t>2017:1</w:t>
            </w:r>
          </w:p>
        </w:tc>
        <w:tc>
          <w:tcPr>
            <w:tcW w:w="503" w:type="dxa"/>
            <w:tcBorders>
              <w:right w:val="single" w:sz="12" w:space="0" w:color="auto"/>
            </w:tcBorders>
          </w:tcPr>
          <w:p w:rsidR="00370BFA" w:rsidRPr="00370BFA" w:rsidRDefault="00370BFA" w:rsidP="00370BFA">
            <w:pPr>
              <w:bidi/>
              <w:spacing w:line="360" w:lineRule="auto"/>
              <w:jc w:val="both"/>
              <w:rPr>
                <w:rFonts w:cs="David"/>
                <w:rtl/>
              </w:rPr>
            </w:pPr>
          </w:p>
        </w:tc>
        <w:tc>
          <w:tcPr>
            <w:tcW w:w="947" w:type="dxa"/>
            <w:gridSpan w:val="2"/>
            <w:tcBorders>
              <w:top w:val="single" w:sz="12" w:space="0" w:color="auto"/>
              <w:left w:val="single" w:sz="12" w:space="0" w:color="auto"/>
              <w:bottom w:val="single" w:sz="12" w:space="0" w:color="auto"/>
              <w:right w:val="single" w:sz="12" w:space="0" w:color="auto"/>
            </w:tcBorders>
            <w:shd w:val="clear" w:color="auto" w:fill="00B050"/>
          </w:tcPr>
          <w:p w:rsidR="00370BFA" w:rsidRPr="00370BFA" w:rsidRDefault="00370BFA" w:rsidP="00370BFA">
            <w:pPr>
              <w:bidi/>
              <w:spacing w:line="360" w:lineRule="auto"/>
              <w:jc w:val="both"/>
              <w:rPr>
                <w:rFonts w:cs="David"/>
                <w:rtl/>
              </w:rPr>
            </w:pPr>
          </w:p>
        </w:tc>
        <w:tc>
          <w:tcPr>
            <w:tcW w:w="269"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15" w:type="dxa"/>
            <w:gridSpan w:val="2"/>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261"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31" w:type="dxa"/>
            <w:tcBorders>
              <w:top w:val="single" w:sz="12" w:space="0" w:color="auto"/>
              <w:left w:val="single" w:sz="12" w:space="0" w:color="auto"/>
              <w:bottom w:val="single" w:sz="12" w:space="0" w:color="auto"/>
              <w:right w:val="single" w:sz="12" w:space="0" w:color="auto"/>
            </w:tcBorders>
            <w:shd w:val="clear" w:color="auto" w:fill="FFFF00"/>
          </w:tcPr>
          <w:p w:rsidR="00370BFA" w:rsidRPr="00370BFA" w:rsidRDefault="00370BFA" w:rsidP="00370BFA">
            <w:pPr>
              <w:bidi/>
              <w:spacing w:line="360" w:lineRule="auto"/>
              <w:jc w:val="both"/>
              <w:rPr>
                <w:rFonts w:cs="David"/>
                <w:rtl/>
              </w:rPr>
            </w:pPr>
          </w:p>
        </w:tc>
        <w:tc>
          <w:tcPr>
            <w:tcW w:w="460" w:type="dxa"/>
            <w:gridSpan w:val="3"/>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24" w:type="dxa"/>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r>
      <w:tr w:rsidR="00370BFA" w:rsidRPr="00370BFA" w:rsidTr="009418A7">
        <w:trPr>
          <w:gridAfter w:val="3"/>
          <w:wAfter w:w="2678" w:type="dxa"/>
          <w:trHeight w:val="744"/>
        </w:trPr>
        <w:tc>
          <w:tcPr>
            <w:tcW w:w="1009" w:type="dxa"/>
            <w:gridSpan w:val="2"/>
            <w:vMerge/>
            <w:tcBorders>
              <w:left w:val="single" w:sz="12" w:space="0" w:color="000000" w:themeColor="text1"/>
              <w:right w:val="single" w:sz="12" w:space="0" w:color="000000" w:themeColor="text1"/>
            </w:tcBorders>
            <w:textDirection w:val="tbRl"/>
            <w:vAlign w:val="center"/>
          </w:tcPr>
          <w:p w:rsidR="00370BFA" w:rsidRPr="00370BFA" w:rsidRDefault="00370BFA" w:rsidP="00370BFA">
            <w:pPr>
              <w:bidi/>
              <w:spacing w:line="360" w:lineRule="auto"/>
              <w:ind w:left="113" w:right="113"/>
              <w:jc w:val="both"/>
              <w:rPr>
                <w:rFonts w:cs="David"/>
                <w:b/>
                <w:bCs/>
                <w:rtl/>
              </w:rPr>
            </w:pPr>
          </w:p>
        </w:tc>
        <w:tc>
          <w:tcPr>
            <w:tcW w:w="1117" w:type="dxa"/>
            <w:gridSpan w:val="2"/>
            <w:tcBorders>
              <w:left w:val="single" w:sz="12" w:space="0" w:color="000000" w:themeColor="text1"/>
            </w:tcBorders>
            <w:vAlign w:val="center"/>
          </w:tcPr>
          <w:p w:rsidR="00370BFA" w:rsidRPr="00370BFA" w:rsidRDefault="00370BFA" w:rsidP="00370BFA">
            <w:pPr>
              <w:bidi/>
              <w:spacing w:line="360" w:lineRule="auto"/>
              <w:jc w:val="both"/>
              <w:rPr>
                <w:rFonts w:cs="David"/>
                <w:rtl/>
              </w:rPr>
            </w:pPr>
            <w:r w:rsidRPr="00370BFA">
              <w:rPr>
                <w:rFonts w:cs="David" w:hint="cs"/>
                <w:rtl/>
              </w:rPr>
              <w:t>2017:2</w:t>
            </w:r>
          </w:p>
        </w:tc>
        <w:tc>
          <w:tcPr>
            <w:tcW w:w="503" w:type="dxa"/>
            <w:tcBorders>
              <w:right w:val="single" w:sz="12" w:space="0" w:color="auto"/>
            </w:tcBorders>
          </w:tcPr>
          <w:p w:rsidR="00370BFA" w:rsidRPr="00370BFA" w:rsidRDefault="00370BFA" w:rsidP="00370BFA">
            <w:pPr>
              <w:bidi/>
              <w:spacing w:line="360" w:lineRule="auto"/>
              <w:jc w:val="both"/>
              <w:rPr>
                <w:rFonts w:cs="David"/>
                <w:rtl/>
              </w:rPr>
            </w:pPr>
          </w:p>
        </w:tc>
        <w:tc>
          <w:tcPr>
            <w:tcW w:w="947" w:type="dxa"/>
            <w:gridSpan w:val="2"/>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c>
          <w:tcPr>
            <w:tcW w:w="269"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15" w:type="dxa"/>
            <w:gridSpan w:val="2"/>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261"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31" w:type="dxa"/>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460" w:type="dxa"/>
            <w:gridSpan w:val="3"/>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24" w:type="dxa"/>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r>
      <w:tr w:rsidR="00370BFA" w:rsidRPr="00370BFA" w:rsidTr="009418A7">
        <w:trPr>
          <w:gridAfter w:val="3"/>
          <w:wAfter w:w="2678" w:type="dxa"/>
          <w:trHeight w:val="686"/>
        </w:trPr>
        <w:tc>
          <w:tcPr>
            <w:tcW w:w="1009" w:type="dxa"/>
            <w:gridSpan w:val="2"/>
            <w:vMerge/>
            <w:tcBorders>
              <w:left w:val="single" w:sz="12" w:space="0" w:color="000000" w:themeColor="text1"/>
              <w:right w:val="single" w:sz="12" w:space="0" w:color="000000" w:themeColor="text1"/>
            </w:tcBorders>
          </w:tcPr>
          <w:p w:rsidR="00370BFA" w:rsidRPr="00370BFA" w:rsidRDefault="00370BFA" w:rsidP="00370BFA">
            <w:pPr>
              <w:bidi/>
              <w:spacing w:line="360" w:lineRule="auto"/>
              <w:jc w:val="both"/>
              <w:rPr>
                <w:rFonts w:cs="David"/>
                <w:rtl/>
              </w:rPr>
            </w:pPr>
          </w:p>
        </w:tc>
        <w:tc>
          <w:tcPr>
            <w:tcW w:w="1117" w:type="dxa"/>
            <w:gridSpan w:val="2"/>
            <w:tcBorders>
              <w:left w:val="single" w:sz="12" w:space="0" w:color="000000" w:themeColor="text1"/>
            </w:tcBorders>
            <w:vAlign w:val="center"/>
          </w:tcPr>
          <w:p w:rsidR="00370BFA" w:rsidRPr="00370BFA" w:rsidRDefault="00370BFA" w:rsidP="00370BFA">
            <w:pPr>
              <w:bidi/>
              <w:spacing w:line="360" w:lineRule="auto"/>
              <w:jc w:val="both"/>
              <w:rPr>
                <w:rFonts w:cs="David"/>
                <w:rtl/>
              </w:rPr>
            </w:pPr>
            <w:r w:rsidRPr="00370BFA">
              <w:rPr>
                <w:rFonts w:cs="David" w:hint="cs"/>
                <w:rtl/>
              </w:rPr>
              <w:t>2018:1</w:t>
            </w:r>
          </w:p>
        </w:tc>
        <w:tc>
          <w:tcPr>
            <w:tcW w:w="503" w:type="dxa"/>
            <w:tcBorders>
              <w:right w:val="single" w:sz="12" w:space="0" w:color="auto"/>
            </w:tcBorders>
          </w:tcPr>
          <w:p w:rsidR="00370BFA" w:rsidRPr="00370BFA" w:rsidRDefault="00370BFA" w:rsidP="00370BFA">
            <w:pPr>
              <w:bidi/>
              <w:spacing w:line="360" w:lineRule="auto"/>
              <w:jc w:val="both"/>
              <w:rPr>
                <w:rFonts w:cs="David"/>
                <w:rtl/>
              </w:rPr>
            </w:pPr>
          </w:p>
        </w:tc>
        <w:tc>
          <w:tcPr>
            <w:tcW w:w="947" w:type="dxa"/>
            <w:gridSpan w:val="2"/>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c>
          <w:tcPr>
            <w:tcW w:w="269"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15" w:type="dxa"/>
            <w:gridSpan w:val="2"/>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261"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31" w:type="dxa"/>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460" w:type="dxa"/>
            <w:gridSpan w:val="3"/>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24" w:type="dxa"/>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r>
      <w:tr w:rsidR="00370BFA" w:rsidRPr="00370BFA" w:rsidTr="009418A7">
        <w:trPr>
          <w:gridAfter w:val="3"/>
          <w:wAfter w:w="2678" w:type="dxa"/>
          <w:trHeight w:val="686"/>
        </w:trPr>
        <w:tc>
          <w:tcPr>
            <w:tcW w:w="1009" w:type="dxa"/>
            <w:gridSpan w:val="2"/>
            <w:vMerge/>
            <w:tcBorders>
              <w:left w:val="single" w:sz="12" w:space="0" w:color="000000" w:themeColor="text1"/>
              <w:bottom w:val="single" w:sz="12" w:space="0" w:color="000000" w:themeColor="text1"/>
              <w:right w:val="single" w:sz="12" w:space="0" w:color="000000" w:themeColor="text1"/>
            </w:tcBorders>
          </w:tcPr>
          <w:p w:rsidR="00370BFA" w:rsidRPr="00370BFA" w:rsidRDefault="00370BFA" w:rsidP="00370BFA">
            <w:pPr>
              <w:bidi/>
              <w:spacing w:line="360" w:lineRule="auto"/>
              <w:jc w:val="both"/>
              <w:rPr>
                <w:rFonts w:cs="David"/>
                <w:rtl/>
              </w:rPr>
            </w:pPr>
          </w:p>
        </w:tc>
        <w:tc>
          <w:tcPr>
            <w:tcW w:w="1117" w:type="dxa"/>
            <w:gridSpan w:val="2"/>
            <w:tcBorders>
              <w:left w:val="single" w:sz="12" w:space="0" w:color="000000" w:themeColor="text1"/>
            </w:tcBorders>
            <w:vAlign w:val="center"/>
          </w:tcPr>
          <w:p w:rsidR="00370BFA" w:rsidRPr="00370BFA" w:rsidRDefault="00370BFA" w:rsidP="00370BFA">
            <w:pPr>
              <w:bidi/>
              <w:spacing w:line="360" w:lineRule="auto"/>
              <w:jc w:val="both"/>
              <w:rPr>
                <w:rFonts w:cs="David"/>
                <w:b/>
                <w:bCs/>
                <w:rtl/>
              </w:rPr>
            </w:pPr>
            <w:r w:rsidRPr="00370BFA">
              <w:rPr>
                <w:rFonts w:cs="David" w:hint="cs"/>
                <w:b/>
                <w:bCs/>
                <w:rtl/>
              </w:rPr>
              <w:t>2018:2</w:t>
            </w:r>
          </w:p>
        </w:tc>
        <w:tc>
          <w:tcPr>
            <w:tcW w:w="503" w:type="dxa"/>
            <w:tcBorders>
              <w:right w:val="single" w:sz="12" w:space="0" w:color="auto"/>
            </w:tcBorders>
          </w:tcPr>
          <w:p w:rsidR="00370BFA" w:rsidRPr="00370BFA" w:rsidRDefault="00370BFA" w:rsidP="00370BFA">
            <w:pPr>
              <w:bidi/>
              <w:spacing w:line="360" w:lineRule="auto"/>
              <w:jc w:val="both"/>
              <w:rPr>
                <w:rFonts w:cs="David"/>
                <w:rtl/>
              </w:rPr>
            </w:pPr>
          </w:p>
        </w:tc>
        <w:tc>
          <w:tcPr>
            <w:tcW w:w="947" w:type="dxa"/>
            <w:gridSpan w:val="2"/>
            <w:tcBorders>
              <w:top w:val="single" w:sz="12" w:space="0" w:color="auto"/>
              <w:left w:val="single" w:sz="12" w:space="0" w:color="auto"/>
              <w:bottom w:val="single" w:sz="12" w:space="0" w:color="auto"/>
              <w:right w:val="single" w:sz="12" w:space="0" w:color="auto"/>
            </w:tcBorders>
            <w:shd w:val="clear" w:color="auto" w:fill="92D050"/>
          </w:tcPr>
          <w:p w:rsidR="00370BFA" w:rsidRPr="00370BFA" w:rsidRDefault="00370BFA" w:rsidP="00370BFA">
            <w:pPr>
              <w:bidi/>
              <w:spacing w:line="360" w:lineRule="auto"/>
              <w:jc w:val="both"/>
              <w:rPr>
                <w:rFonts w:cs="David"/>
                <w:rtl/>
              </w:rPr>
            </w:pPr>
          </w:p>
        </w:tc>
        <w:tc>
          <w:tcPr>
            <w:tcW w:w="269"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15" w:type="dxa"/>
            <w:gridSpan w:val="2"/>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261" w:type="dxa"/>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31" w:type="dxa"/>
            <w:tcBorders>
              <w:top w:val="single" w:sz="12" w:space="0" w:color="auto"/>
              <w:left w:val="single" w:sz="12" w:space="0" w:color="auto"/>
              <w:bottom w:val="single" w:sz="12" w:space="0" w:color="auto"/>
              <w:right w:val="single" w:sz="12" w:space="0" w:color="auto"/>
            </w:tcBorders>
            <w:shd w:val="clear" w:color="auto" w:fill="FFC000"/>
          </w:tcPr>
          <w:p w:rsidR="00370BFA" w:rsidRPr="00370BFA" w:rsidRDefault="00370BFA" w:rsidP="00370BFA">
            <w:pPr>
              <w:bidi/>
              <w:spacing w:line="360" w:lineRule="auto"/>
              <w:jc w:val="both"/>
              <w:rPr>
                <w:rFonts w:cs="David"/>
                <w:rtl/>
              </w:rPr>
            </w:pPr>
          </w:p>
        </w:tc>
        <w:tc>
          <w:tcPr>
            <w:tcW w:w="460" w:type="dxa"/>
            <w:gridSpan w:val="3"/>
            <w:tcBorders>
              <w:left w:val="single" w:sz="12" w:space="0" w:color="auto"/>
              <w:right w:val="single" w:sz="12" w:space="0" w:color="auto"/>
            </w:tcBorders>
          </w:tcPr>
          <w:p w:rsidR="00370BFA" w:rsidRPr="00370BFA" w:rsidRDefault="00370BFA" w:rsidP="00370BFA">
            <w:pPr>
              <w:bidi/>
              <w:spacing w:line="360" w:lineRule="auto"/>
              <w:jc w:val="both"/>
              <w:rPr>
                <w:rFonts w:cs="David"/>
                <w:rtl/>
              </w:rPr>
            </w:pPr>
          </w:p>
        </w:tc>
        <w:tc>
          <w:tcPr>
            <w:tcW w:w="1024" w:type="dxa"/>
            <w:tcBorders>
              <w:top w:val="single" w:sz="12" w:space="0" w:color="auto"/>
              <w:left w:val="single" w:sz="12" w:space="0" w:color="auto"/>
              <w:bottom w:val="single" w:sz="12" w:space="0" w:color="auto"/>
              <w:right w:val="single" w:sz="12" w:space="0" w:color="auto"/>
            </w:tcBorders>
            <w:shd w:val="clear" w:color="auto" w:fill="FFFF00"/>
          </w:tcPr>
          <w:p w:rsidR="00370BFA" w:rsidRPr="00370BFA" w:rsidRDefault="00370BFA" w:rsidP="00370BFA">
            <w:pPr>
              <w:bidi/>
              <w:spacing w:line="360" w:lineRule="auto"/>
              <w:jc w:val="both"/>
              <w:rPr>
                <w:rFonts w:cs="David"/>
                <w:rtl/>
              </w:rPr>
            </w:pPr>
          </w:p>
        </w:tc>
      </w:tr>
      <w:tr w:rsidR="00370BFA" w:rsidRPr="00370BFA" w:rsidTr="009418A7">
        <w:trPr>
          <w:gridAfter w:val="1"/>
          <w:wAfter w:w="1277" w:type="dxa"/>
        </w:trPr>
        <w:tc>
          <w:tcPr>
            <w:tcW w:w="9037" w:type="dxa"/>
            <w:gridSpan w:val="18"/>
            <w:tcBorders>
              <w:top w:val="nil"/>
              <w:left w:val="nil"/>
              <w:bottom w:val="nil"/>
              <w:right w:val="nil"/>
            </w:tcBorders>
          </w:tcPr>
          <w:p w:rsidR="00370BFA" w:rsidRPr="00370BFA" w:rsidRDefault="00370BFA" w:rsidP="00370BFA">
            <w:pPr>
              <w:bidi/>
              <w:spacing w:line="360" w:lineRule="auto"/>
              <w:jc w:val="both"/>
              <w:rPr>
                <w:rFonts w:cs="David"/>
                <w:rtl/>
              </w:rPr>
            </w:pPr>
          </w:p>
          <w:p w:rsidR="00370BFA" w:rsidRPr="00370BFA" w:rsidRDefault="00370BFA" w:rsidP="00370BFA">
            <w:pPr>
              <w:bidi/>
              <w:spacing w:line="360" w:lineRule="auto"/>
              <w:jc w:val="both"/>
              <w:rPr>
                <w:rFonts w:cs="David"/>
                <w:b/>
                <w:bCs/>
                <w:rtl/>
              </w:rPr>
            </w:pPr>
            <w:r w:rsidRPr="00370BFA">
              <w:rPr>
                <w:rFonts w:cs="David" w:hint="cs"/>
                <w:b/>
                <w:bCs/>
                <w:rtl/>
              </w:rPr>
              <w:t xml:space="preserve">לוח 2. חשיפותיו העיקריות של המשק, </w:t>
            </w:r>
            <w:r w:rsidRPr="00370BFA">
              <w:rPr>
                <w:rFonts w:cs="David" w:hint="eastAsia"/>
                <w:b/>
                <w:bCs/>
                <w:rtl/>
              </w:rPr>
              <w:t>תרחישי</w:t>
            </w:r>
            <w:r w:rsidRPr="00370BFA">
              <w:rPr>
                <w:rFonts w:cs="David"/>
                <w:b/>
                <w:bCs/>
                <w:rtl/>
              </w:rPr>
              <w:t xml:space="preserve"> </w:t>
            </w:r>
            <w:r w:rsidRPr="00370BFA">
              <w:rPr>
                <w:rFonts w:cs="David" w:hint="eastAsia"/>
                <w:b/>
                <w:bCs/>
                <w:rtl/>
              </w:rPr>
              <w:t>הקיצון</w:t>
            </w:r>
            <w:r w:rsidRPr="00370BFA">
              <w:rPr>
                <w:rFonts w:cs="David" w:hint="cs"/>
                <w:b/>
                <w:bCs/>
                <w:rtl/>
              </w:rPr>
              <w:t xml:space="preserve"> וההסתברות להתממשותם </w:t>
            </w:r>
            <w:r w:rsidRPr="00370BFA">
              <w:rPr>
                <w:rFonts w:cs="David"/>
                <w:b/>
                <w:bCs/>
                <w:rtl/>
              </w:rPr>
              <w:t>–</w:t>
            </w:r>
            <w:r w:rsidRPr="00370BFA">
              <w:rPr>
                <w:rFonts w:cs="David" w:hint="cs"/>
                <w:b/>
                <w:bCs/>
                <w:rtl/>
              </w:rPr>
              <w:t xml:space="preserve"> מפת חום</w:t>
            </w:r>
          </w:p>
        </w:tc>
      </w:tr>
      <w:tr w:rsidR="00370BFA" w:rsidRPr="00370BFA" w:rsidTr="009418A7">
        <w:tblPrEx>
          <w:jc w:val="center"/>
        </w:tblPrEx>
        <w:trPr>
          <w:gridBefore w:val="1"/>
          <w:wBefore w:w="377" w:type="dxa"/>
          <w:cantSplit/>
          <w:trHeight w:hRule="exact" w:val="1616"/>
          <w:jc w:val="center"/>
        </w:trPr>
        <w:tc>
          <w:tcPr>
            <w:tcW w:w="966" w:type="dxa"/>
            <w:gridSpan w:val="2"/>
            <w:tcBorders>
              <w:top w:val="single" w:sz="4" w:space="0" w:color="auto"/>
              <w:left w:val="single" w:sz="4" w:space="0" w:color="auto"/>
              <w:bottom w:val="single" w:sz="12" w:space="0" w:color="000000" w:themeColor="text1"/>
              <w:right w:val="single" w:sz="12" w:space="0" w:color="auto"/>
            </w:tcBorders>
            <w:shd w:val="clear" w:color="auto" w:fill="auto"/>
            <w:vAlign w:val="center"/>
          </w:tcPr>
          <w:p w:rsidR="00370BFA" w:rsidRPr="00370BFA" w:rsidRDefault="00370BFA" w:rsidP="00370BFA">
            <w:pPr>
              <w:bidi/>
              <w:spacing w:line="360" w:lineRule="auto"/>
              <w:jc w:val="both"/>
              <w:rPr>
                <w:rFonts w:cs="David"/>
                <w:rtl/>
              </w:rPr>
            </w:pPr>
          </w:p>
        </w:tc>
        <w:tc>
          <w:tcPr>
            <w:tcW w:w="1871"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370BFA" w:rsidRPr="00370BFA" w:rsidRDefault="00370BFA" w:rsidP="00370BFA">
            <w:pPr>
              <w:bidi/>
              <w:spacing w:line="360" w:lineRule="auto"/>
              <w:jc w:val="both"/>
              <w:rPr>
                <w:rFonts w:cs="David"/>
                <w:rtl/>
              </w:rPr>
            </w:pPr>
          </w:p>
        </w:tc>
        <w:tc>
          <w:tcPr>
            <w:tcW w:w="156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370BFA" w:rsidRPr="009418A7" w:rsidRDefault="00370BFA" w:rsidP="009418A7">
            <w:pPr>
              <w:bidi/>
              <w:spacing w:line="360" w:lineRule="auto"/>
              <w:jc w:val="center"/>
              <w:rPr>
                <w:rFonts w:cs="David"/>
                <w:b/>
                <w:bCs/>
                <w:sz w:val="22"/>
                <w:szCs w:val="22"/>
                <w:rtl/>
              </w:rPr>
            </w:pPr>
            <w:r w:rsidRPr="009418A7">
              <w:rPr>
                <w:rFonts w:cs="David" w:hint="cs"/>
                <w:b/>
                <w:bCs/>
                <w:sz w:val="22"/>
                <w:szCs w:val="22"/>
                <w:rtl/>
              </w:rPr>
              <w:t xml:space="preserve">השינוי שחל בתקופה הנסקרת בהסתברות </w:t>
            </w:r>
            <w:r w:rsidR="009418A7" w:rsidRPr="009418A7">
              <w:rPr>
                <w:rFonts w:cs="David" w:hint="cs"/>
                <w:b/>
                <w:bCs/>
                <w:sz w:val="22"/>
                <w:szCs w:val="22"/>
                <w:rtl/>
              </w:rPr>
              <w:t>להתממשות</w:t>
            </w:r>
          </w:p>
        </w:tc>
        <w:tc>
          <w:tcPr>
            <w:tcW w:w="5540"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rsidR="00370BFA" w:rsidRPr="00370BFA" w:rsidRDefault="00370BFA" w:rsidP="009418A7">
            <w:pPr>
              <w:bidi/>
              <w:spacing w:line="360" w:lineRule="auto"/>
              <w:jc w:val="center"/>
              <w:rPr>
                <w:rFonts w:cs="David"/>
                <w:b/>
                <w:bCs/>
                <w:rtl/>
              </w:rPr>
            </w:pPr>
            <w:r w:rsidRPr="00370BFA">
              <w:rPr>
                <w:rFonts w:cs="David" w:hint="cs"/>
                <w:b/>
                <w:bCs/>
                <w:rtl/>
              </w:rPr>
              <w:t>הסיבות העיקריות</w:t>
            </w:r>
          </w:p>
        </w:tc>
      </w:tr>
      <w:tr w:rsidR="00370BFA" w:rsidRPr="00370BFA" w:rsidTr="009418A7">
        <w:tblPrEx>
          <w:jc w:val="center"/>
        </w:tblPrEx>
        <w:trPr>
          <w:gridBefore w:val="1"/>
          <w:wBefore w:w="377" w:type="dxa"/>
          <w:cantSplit/>
          <w:trHeight w:hRule="exact" w:val="1147"/>
          <w:jc w:val="center"/>
        </w:trPr>
        <w:tc>
          <w:tcPr>
            <w:tcW w:w="966" w:type="dxa"/>
            <w:gridSpan w:val="2"/>
            <w:vMerge w:val="restart"/>
            <w:tcBorders>
              <w:top w:val="single" w:sz="12" w:space="0" w:color="000000" w:themeColor="text1"/>
              <w:left w:val="single" w:sz="4" w:space="0" w:color="auto"/>
              <w:right w:val="single" w:sz="12" w:space="0" w:color="auto"/>
            </w:tcBorders>
            <w:shd w:val="clear" w:color="auto" w:fill="auto"/>
            <w:textDirection w:val="tbRl"/>
            <w:vAlign w:val="center"/>
          </w:tcPr>
          <w:p w:rsidR="00370BFA" w:rsidRPr="00370BFA" w:rsidRDefault="00370BFA" w:rsidP="00F313B2">
            <w:pPr>
              <w:bidi/>
              <w:spacing w:line="360" w:lineRule="auto"/>
              <w:ind w:left="113" w:right="113"/>
              <w:jc w:val="center"/>
              <w:rPr>
                <w:rFonts w:cs="David"/>
                <w:b/>
                <w:bCs/>
                <w:rtl/>
              </w:rPr>
            </w:pPr>
            <w:r w:rsidRPr="00370BFA">
              <w:rPr>
                <w:rFonts w:cs="David" w:hint="cs"/>
                <w:b/>
                <w:bCs/>
                <w:rtl/>
              </w:rPr>
              <w:t>מוקדי הפגיעות העיקריים</w:t>
            </w:r>
          </w:p>
          <w:p w:rsidR="00370BFA" w:rsidRPr="00370BFA" w:rsidRDefault="00370BFA" w:rsidP="00F313B2">
            <w:pPr>
              <w:bidi/>
              <w:spacing w:line="360" w:lineRule="auto"/>
              <w:ind w:left="113" w:right="113"/>
              <w:jc w:val="center"/>
              <w:rPr>
                <w:rFonts w:cs="David"/>
                <w:b/>
                <w:bCs/>
                <w:rtl/>
              </w:rPr>
            </w:pPr>
            <w:r w:rsidRPr="00370BFA">
              <w:rPr>
                <w:rFonts w:cs="David" w:hint="cs"/>
                <w:b/>
                <w:bCs/>
                <w:rtl/>
              </w:rPr>
              <w:t>ותרחישי הקיצו</w:t>
            </w:r>
            <w:r w:rsidRPr="00370BFA">
              <w:rPr>
                <w:rFonts w:cs="David" w:hint="eastAsia"/>
                <w:b/>
                <w:bCs/>
                <w:rtl/>
              </w:rPr>
              <w:t>ן</w:t>
            </w:r>
          </w:p>
        </w:tc>
        <w:tc>
          <w:tcPr>
            <w:tcW w:w="1871" w:type="dxa"/>
            <w:gridSpan w:val="3"/>
            <w:tcBorders>
              <w:top w:val="single" w:sz="12" w:space="0" w:color="auto"/>
              <w:left w:val="single" w:sz="12" w:space="0" w:color="auto"/>
              <w:bottom w:val="single" w:sz="12" w:space="0" w:color="auto"/>
              <w:right w:val="single" w:sz="12" w:space="0" w:color="auto"/>
            </w:tcBorders>
            <w:shd w:val="clear" w:color="auto" w:fill="FFC000"/>
            <w:vAlign w:val="center"/>
          </w:tcPr>
          <w:p w:rsidR="00370BFA" w:rsidRPr="009418A7" w:rsidRDefault="00370BFA" w:rsidP="00F313B2">
            <w:pPr>
              <w:bidi/>
              <w:spacing w:line="360" w:lineRule="auto"/>
              <w:jc w:val="center"/>
              <w:rPr>
                <w:rFonts w:cs="David"/>
                <w:b/>
                <w:bCs/>
                <w:color w:val="000000" w:themeColor="text1"/>
                <w:sz w:val="22"/>
                <w:szCs w:val="22"/>
                <w:rtl/>
              </w:rPr>
            </w:pPr>
            <w:r w:rsidRPr="009418A7">
              <w:rPr>
                <w:rFonts w:cs="David" w:hint="cs"/>
                <w:b/>
                <w:bCs/>
                <w:color w:val="000000" w:themeColor="text1"/>
                <w:sz w:val="22"/>
                <w:szCs w:val="22"/>
                <w:rtl/>
              </w:rPr>
              <w:t xml:space="preserve">שוק הדיור </w:t>
            </w:r>
            <w:r w:rsidRPr="009418A7">
              <w:rPr>
                <w:rFonts w:cs="David"/>
                <w:b/>
                <w:bCs/>
                <w:color w:val="000000" w:themeColor="text1"/>
                <w:sz w:val="22"/>
                <w:szCs w:val="22"/>
                <w:rtl/>
              </w:rPr>
              <w:t>–</w:t>
            </w:r>
            <w:r w:rsidRPr="009418A7">
              <w:rPr>
                <w:rFonts w:cs="David" w:hint="cs"/>
                <w:b/>
                <w:bCs/>
                <w:color w:val="000000" w:themeColor="text1"/>
                <w:sz w:val="22"/>
                <w:szCs w:val="22"/>
                <w:rtl/>
              </w:rPr>
              <w:t xml:space="preserve"> ירידה חדה ומהירה של מחירי הדירות</w:t>
            </w:r>
          </w:p>
        </w:tc>
        <w:tc>
          <w:tcPr>
            <w:tcW w:w="1560" w:type="dxa"/>
            <w:gridSpan w:val="3"/>
            <w:tcBorders>
              <w:top w:val="single" w:sz="12" w:space="0" w:color="auto"/>
              <w:left w:val="single" w:sz="12" w:space="0" w:color="auto"/>
              <w:bottom w:val="single" w:sz="12" w:space="0" w:color="auto"/>
              <w:right w:val="single" w:sz="12" w:space="0" w:color="auto"/>
            </w:tcBorders>
            <w:vAlign w:val="center"/>
          </w:tcPr>
          <w:p w:rsidR="00370BFA" w:rsidRPr="00370BFA" w:rsidRDefault="00370BFA" w:rsidP="00F313B2">
            <w:pPr>
              <w:bidi/>
              <w:spacing w:line="360" w:lineRule="auto"/>
              <w:jc w:val="center"/>
              <w:rPr>
                <w:rFonts w:cs="David"/>
                <w:rtl/>
              </w:rPr>
            </w:pPr>
            <w:r w:rsidRPr="00370BFA">
              <w:rPr>
                <w:rFonts w:cs="David" w:hint="cs"/>
                <w:rtl/>
              </w:rPr>
              <w:t>ירידה</w:t>
            </w:r>
          </w:p>
        </w:tc>
        <w:tc>
          <w:tcPr>
            <w:tcW w:w="5540" w:type="dxa"/>
            <w:gridSpan w:val="10"/>
            <w:tcBorders>
              <w:top w:val="single" w:sz="12" w:space="0" w:color="auto"/>
              <w:left w:val="single" w:sz="12" w:space="0" w:color="auto"/>
              <w:bottom w:val="single" w:sz="12" w:space="0" w:color="auto"/>
              <w:right w:val="single" w:sz="4" w:space="0" w:color="auto"/>
            </w:tcBorders>
            <w:vAlign w:val="center"/>
          </w:tcPr>
          <w:p w:rsidR="00370BFA" w:rsidRPr="009418A7" w:rsidRDefault="00370BFA" w:rsidP="00370BFA">
            <w:pPr>
              <w:bidi/>
              <w:spacing w:line="360" w:lineRule="auto"/>
              <w:jc w:val="both"/>
              <w:rPr>
                <w:rFonts w:cs="David"/>
                <w:sz w:val="22"/>
                <w:szCs w:val="22"/>
                <w:rtl/>
              </w:rPr>
            </w:pPr>
            <w:r w:rsidRPr="009418A7">
              <w:rPr>
                <w:rFonts w:cs="David" w:hint="cs"/>
                <w:sz w:val="22"/>
                <w:szCs w:val="22"/>
                <w:rtl/>
              </w:rPr>
              <w:t>מחירי הדירות ב-12 החודשים האחרונים המשיכו לרדת קלות; התפתחות המחירים בשוק אינה מתאפיינת בנפיצות; ההשקעות בענף הדיור ירדו, ובפרט ניכרת ירידה משמעותית בהתחלות הבנייה.</w:t>
            </w:r>
          </w:p>
        </w:tc>
      </w:tr>
      <w:tr w:rsidR="00370BFA" w:rsidRPr="00370BFA" w:rsidTr="009418A7">
        <w:tblPrEx>
          <w:jc w:val="center"/>
        </w:tblPrEx>
        <w:trPr>
          <w:gridBefore w:val="1"/>
          <w:wBefore w:w="377" w:type="dxa"/>
          <w:cantSplit/>
          <w:trHeight w:hRule="exact" w:val="1450"/>
          <w:jc w:val="center"/>
        </w:trPr>
        <w:tc>
          <w:tcPr>
            <w:tcW w:w="966" w:type="dxa"/>
            <w:gridSpan w:val="2"/>
            <w:vMerge/>
            <w:tcBorders>
              <w:left w:val="single" w:sz="4" w:space="0" w:color="auto"/>
              <w:right w:val="single" w:sz="12" w:space="0" w:color="auto"/>
            </w:tcBorders>
            <w:shd w:val="clear" w:color="auto" w:fill="auto"/>
            <w:vAlign w:val="center"/>
          </w:tcPr>
          <w:p w:rsidR="00370BFA" w:rsidRPr="00370BFA" w:rsidRDefault="00370BFA" w:rsidP="00370BFA">
            <w:pPr>
              <w:bidi/>
              <w:spacing w:line="360" w:lineRule="auto"/>
              <w:jc w:val="both"/>
              <w:rPr>
                <w:rFonts w:cs="David"/>
                <w:rtl/>
              </w:rPr>
            </w:pPr>
          </w:p>
        </w:tc>
        <w:tc>
          <w:tcPr>
            <w:tcW w:w="1871"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rsidR="00370BFA" w:rsidRPr="009418A7" w:rsidRDefault="00370BFA" w:rsidP="00F313B2">
            <w:pPr>
              <w:bidi/>
              <w:spacing w:line="360" w:lineRule="auto"/>
              <w:jc w:val="center"/>
              <w:rPr>
                <w:rFonts w:cs="David"/>
                <w:b/>
                <w:bCs/>
                <w:color w:val="000000" w:themeColor="text1"/>
                <w:sz w:val="22"/>
                <w:szCs w:val="22"/>
                <w:rtl/>
              </w:rPr>
            </w:pPr>
            <w:r w:rsidRPr="009418A7">
              <w:rPr>
                <w:rFonts w:cs="David" w:hint="cs"/>
                <w:b/>
                <w:bCs/>
                <w:color w:val="000000" w:themeColor="text1"/>
                <w:sz w:val="22"/>
                <w:szCs w:val="22"/>
                <w:rtl/>
              </w:rPr>
              <w:t xml:space="preserve">שוקי הנכסים הפיננסיים </w:t>
            </w:r>
            <w:r w:rsidRPr="009418A7">
              <w:rPr>
                <w:rFonts w:cs="David"/>
                <w:b/>
                <w:bCs/>
                <w:color w:val="000000" w:themeColor="text1"/>
                <w:sz w:val="22"/>
                <w:szCs w:val="22"/>
                <w:rtl/>
              </w:rPr>
              <w:t>–</w:t>
            </w:r>
            <w:r w:rsidRPr="009418A7">
              <w:rPr>
                <w:rFonts w:cs="David" w:hint="cs"/>
                <w:b/>
                <w:bCs/>
                <w:color w:val="000000" w:themeColor="text1"/>
                <w:sz w:val="22"/>
                <w:szCs w:val="22"/>
                <w:rtl/>
              </w:rPr>
              <w:t xml:space="preserve"> ירידה חדה במחירי האג"ח</w:t>
            </w:r>
          </w:p>
        </w:tc>
        <w:tc>
          <w:tcPr>
            <w:tcW w:w="1560" w:type="dxa"/>
            <w:gridSpan w:val="3"/>
            <w:tcBorders>
              <w:top w:val="single" w:sz="12" w:space="0" w:color="auto"/>
              <w:left w:val="single" w:sz="12" w:space="0" w:color="auto"/>
              <w:bottom w:val="single" w:sz="12" w:space="0" w:color="auto"/>
              <w:right w:val="single" w:sz="12" w:space="0" w:color="auto"/>
            </w:tcBorders>
            <w:vAlign w:val="center"/>
          </w:tcPr>
          <w:p w:rsidR="00370BFA" w:rsidRPr="00370BFA" w:rsidRDefault="00370BFA" w:rsidP="00F313B2">
            <w:pPr>
              <w:bidi/>
              <w:spacing w:line="360" w:lineRule="auto"/>
              <w:jc w:val="center"/>
              <w:rPr>
                <w:rFonts w:cs="David"/>
                <w:rtl/>
              </w:rPr>
            </w:pPr>
            <w:r w:rsidRPr="00370BFA">
              <w:rPr>
                <w:rFonts w:cs="David" w:hint="cs"/>
                <w:rtl/>
              </w:rPr>
              <w:t>עלייה</w:t>
            </w:r>
          </w:p>
        </w:tc>
        <w:tc>
          <w:tcPr>
            <w:tcW w:w="5540" w:type="dxa"/>
            <w:gridSpan w:val="10"/>
            <w:tcBorders>
              <w:top w:val="single" w:sz="12" w:space="0" w:color="auto"/>
              <w:left w:val="single" w:sz="12" w:space="0" w:color="auto"/>
              <w:bottom w:val="single" w:sz="12" w:space="0" w:color="auto"/>
              <w:right w:val="single" w:sz="4" w:space="0" w:color="auto"/>
            </w:tcBorders>
            <w:vAlign w:val="center"/>
          </w:tcPr>
          <w:p w:rsidR="00370BFA" w:rsidRPr="009418A7" w:rsidRDefault="00370BFA" w:rsidP="00370BFA">
            <w:pPr>
              <w:bidi/>
              <w:spacing w:line="360" w:lineRule="auto"/>
              <w:jc w:val="both"/>
              <w:rPr>
                <w:rFonts w:cs="David"/>
                <w:sz w:val="22"/>
                <w:szCs w:val="22"/>
                <w:rtl/>
              </w:rPr>
            </w:pPr>
            <w:r w:rsidRPr="009418A7">
              <w:rPr>
                <w:rFonts w:cs="David" w:hint="cs"/>
                <w:sz w:val="22"/>
                <w:szCs w:val="22"/>
                <w:rtl/>
              </w:rPr>
              <w:t xml:space="preserve">תמחור האג"ח התאגידיות נותר ברמה גבוהה, והציבור מחזיק שיעור גבוה שלהן דרך קרנות הנאמנות; סיכון הנזילות במשק עלה; לאחר תקופה ממושכת של ריביות נמוכות במיוחד החלה להצטמצם המדיניות המוניטרית המרחיבה. </w:t>
            </w:r>
          </w:p>
        </w:tc>
      </w:tr>
      <w:tr w:rsidR="00370BFA" w:rsidRPr="00370BFA" w:rsidTr="009418A7">
        <w:tblPrEx>
          <w:jc w:val="center"/>
        </w:tblPrEx>
        <w:trPr>
          <w:gridBefore w:val="1"/>
          <w:wBefore w:w="377" w:type="dxa"/>
          <w:cantSplit/>
          <w:trHeight w:hRule="exact" w:val="1359"/>
          <w:jc w:val="center"/>
        </w:trPr>
        <w:tc>
          <w:tcPr>
            <w:tcW w:w="966" w:type="dxa"/>
            <w:gridSpan w:val="2"/>
            <w:vMerge/>
            <w:tcBorders>
              <w:left w:val="single" w:sz="4" w:space="0" w:color="auto"/>
              <w:right w:val="single" w:sz="12" w:space="0" w:color="auto"/>
            </w:tcBorders>
            <w:shd w:val="clear" w:color="auto" w:fill="auto"/>
            <w:vAlign w:val="center"/>
          </w:tcPr>
          <w:p w:rsidR="00370BFA" w:rsidRPr="00370BFA" w:rsidRDefault="00370BFA" w:rsidP="00370BFA">
            <w:pPr>
              <w:bidi/>
              <w:spacing w:line="360" w:lineRule="auto"/>
              <w:jc w:val="both"/>
              <w:rPr>
                <w:rFonts w:cs="David"/>
                <w:rtl/>
              </w:rPr>
            </w:pPr>
          </w:p>
        </w:tc>
        <w:tc>
          <w:tcPr>
            <w:tcW w:w="1871"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370BFA" w:rsidRPr="009418A7" w:rsidRDefault="00370BFA" w:rsidP="00F313B2">
            <w:pPr>
              <w:bidi/>
              <w:spacing w:line="360" w:lineRule="auto"/>
              <w:jc w:val="center"/>
              <w:rPr>
                <w:rFonts w:cs="David"/>
                <w:b/>
                <w:bCs/>
                <w:color w:val="000000" w:themeColor="text1"/>
                <w:sz w:val="22"/>
                <w:szCs w:val="22"/>
                <w:rtl/>
              </w:rPr>
            </w:pPr>
            <w:r w:rsidRPr="009418A7">
              <w:rPr>
                <w:rFonts w:cs="David" w:hint="cs"/>
                <w:b/>
                <w:bCs/>
                <w:color w:val="000000" w:themeColor="text1"/>
                <w:sz w:val="22"/>
                <w:szCs w:val="22"/>
                <w:rtl/>
              </w:rPr>
              <w:t xml:space="preserve">החוב של משקי הבית </w:t>
            </w:r>
            <w:r w:rsidRPr="009418A7">
              <w:rPr>
                <w:rFonts w:cs="David"/>
                <w:b/>
                <w:bCs/>
                <w:color w:val="000000" w:themeColor="text1"/>
                <w:sz w:val="22"/>
                <w:szCs w:val="22"/>
                <w:rtl/>
              </w:rPr>
              <w:t>–</w:t>
            </w:r>
            <w:r w:rsidRPr="009418A7">
              <w:rPr>
                <w:rFonts w:cs="David" w:hint="cs"/>
                <w:b/>
                <w:bCs/>
                <w:color w:val="000000" w:themeColor="text1"/>
                <w:sz w:val="22"/>
                <w:szCs w:val="22"/>
                <w:rtl/>
              </w:rPr>
              <w:t xml:space="preserve"> הרעה חמורה בתנאים הפיננסיים</w:t>
            </w:r>
          </w:p>
        </w:tc>
        <w:tc>
          <w:tcPr>
            <w:tcW w:w="1560" w:type="dxa"/>
            <w:gridSpan w:val="3"/>
            <w:tcBorders>
              <w:top w:val="single" w:sz="12" w:space="0" w:color="auto"/>
              <w:left w:val="single" w:sz="12" w:space="0" w:color="auto"/>
              <w:bottom w:val="single" w:sz="12" w:space="0" w:color="auto"/>
              <w:right w:val="single" w:sz="12" w:space="0" w:color="auto"/>
            </w:tcBorders>
            <w:vAlign w:val="center"/>
          </w:tcPr>
          <w:p w:rsidR="00370BFA" w:rsidRPr="00370BFA" w:rsidRDefault="00370BFA" w:rsidP="00F313B2">
            <w:pPr>
              <w:bidi/>
              <w:spacing w:line="360" w:lineRule="auto"/>
              <w:jc w:val="center"/>
              <w:rPr>
                <w:rFonts w:cs="David"/>
                <w:rtl/>
              </w:rPr>
            </w:pPr>
            <w:r w:rsidRPr="00370BFA">
              <w:rPr>
                <w:rFonts w:cs="David" w:hint="cs"/>
                <w:rtl/>
              </w:rPr>
              <w:t>ללא שינוי</w:t>
            </w:r>
          </w:p>
        </w:tc>
        <w:tc>
          <w:tcPr>
            <w:tcW w:w="5540" w:type="dxa"/>
            <w:gridSpan w:val="10"/>
            <w:tcBorders>
              <w:top w:val="single" w:sz="12" w:space="0" w:color="auto"/>
              <w:left w:val="single" w:sz="12" w:space="0" w:color="auto"/>
              <w:bottom w:val="single" w:sz="12" w:space="0" w:color="auto"/>
              <w:right w:val="single" w:sz="4" w:space="0" w:color="auto"/>
            </w:tcBorders>
            <w:vAlign w:val="center"/>
          </w:tcPr>
          <w:p w:rsidR="00370BFA" w:rsidRPr="009418A7" w:rsidRDefault="00370BFA" w:rsidP="00370BFA">
            <w:pPr>
              <w:bidi/>
              <w:spacing w:line="360" w:lineRule="auto"/>
              <w:jc w:val="both"/>
              <w:rPr>
                <w:rFonts w:cs="David"/>
                <w:sz w:val="22"/>
                <w:szCs w:val="22"/>
              </w:rPr>
            </w:pPr>
            <w:r w:rsidRPr="009418A7">
              <w:rPr>
                <w:rFonts w:cs="David" w:hint="cs"/>
                <w:sz w:val="22"/>
                <w:szCs w:val="22"/>
                <w:rtl/>
              </w:rPr>
              <w:t>חלה ירידה קלה בקצב נטילת האשראי, במיוחד האשראי שאינו לדיור, אך המוסדות החוץ-בנקאיים הגדילו את חלקם בפעילות האשראי.</w:t>
            </w:r>
          </w:p>
        </w:tc>
      </w:tr>
      <w:tr w:rsidR="00370BFA" w:rsidRPr="00370BFA" w:rsidTr="009418A7">
        <w:tblPrEx>
          <w:jc w:val="center"/>
        </w:tblPrEx>
        <w:trPr>
          <w:gridBefore w:val="1"/>
          <w:wBefore w:w="377" w:type="dxa"/>
          <w:cantSplit/>
          <w:trHeight w:hRule="exact" w:val="1421"/>
          <w:jc w:val="center"/>
        </w:trPr>
        <w:tc>
          <w:tcPr>
            <w:tcW w:w="966" w:type="dxa"/>
            <w:gridSpan w:val="2"/>
            <w:vMerge/>
            <w:tcBorders>
              <w:left w:val="single" w:sz="4" w:space="0" w:color="auto"/>
              <w:bottom w:val="single" w:sz="4" w:space="0" w:color="auto"/>
              <w:right w:val="single" w:sz="12" w:space="0" w:color="auto"/>
            </w:tcBorders>
            <w:shd w:val="clear" w:color="auto" w:fill="auto"/>
            <w:vAlign w:val="center"/>
          </w:tcPr>
          <w:p w:rsidR="00370BFA" w:rsidRPr="00370BFA" w:rsidRDefault="00370BFA" w:rsidP="00370BFA">
            <w:pPr>
              <w:bidi/>
              <w:spacing w:line="360" w:lineRule="auto"/>
              <w:jc w:val="both"/>
              <w:rPr>
                <w:rFonts w:cs="David"/>
                <w:rtl/>
              </w:rPr>
            </w:pPr>
          </w:p>
        </w:tc>
        <w:tc>
          <w:tcPr>
            <w:tcW w:w="1871" w:type="dxa"/>
            <w:gridSpan w:val="3"/>
            <w:tcBorders>
              <w:top w:val="single" w:sz="12" w:space="0" w:color="auto"/>
              <w:left w:val="single" w:sz="12" w:space="0" w:color="auto"/>
              <w:bottom w:val="single" w:sz="4" w:space="0" w:color="auto"/>
              <w:right w:val="single" w:sz="12" w:space="0" w:color="auto"/>
            </w:tcBorders>
            <w:shd w:val="clear" w:color="auto" w:fill="FFC000"/>
            <w:vAlign w:val="center"/>
          </w:tcPr>
          <w:p w:rsidR="00370BFA" w:rsidRPr="009418A7" w:rsidRDefault="00370BFA" w:rsidP="00F313B2">
            <w:pPr>
              <w:bidi/>
              <w:spacing w:line="360" w:lineRule="auto"/>
              <w:jc w:val="center"/>
              <w:rPr>
                <w:rFonts w:cs="David"/>
                <w:b/>
                <w:bCs/>
                <w:color w:val="000000" w:themeColor="text1"/>
                <w:sz w:val="22"/>
                <w:szCs w:val="22"/>
                <w:rtl/>
              </w:rPr>
            </w:pPr>
            <w:r w:rsidRPr="009418A7">
              <w:rPr>
                <w:rFonts w:cs="David" w:hint="cs"/>
                <w:b/>
                <w:bCs/>
                <w:color w:val="000000" w:themeColor="text1"/>
                <w:sz w:val="22"/>
                <w:szCs w:val="22"/>
                <w:rtl/>
              </w:rPr>
              <w:t xml:space="preserve">הסביבה הגלובלית </w:t>
            </w:r>
            <w:r w:rsidRPr="009418A7">
              <w:rPr>
                <w:rFonts w:cs="David"/>
                <w:b/>
                <w:bCs/>
                <w:color w:val="000000" w:themeColor="text1"/>
                <w:sz w:val="22"/>
                <w:szCs w:val="22"/>
                <w:rtl/>
              </w:rPr>
              <w:t>–</w:t>
            </w:r>
            <w:r w:rsidRPr="009418A7">
              <w:rPr>
                <w:rFonts w:cs="David" w:hint="cs"/>
                <w:b/>
                <w:bCs/>
                <w:color w:val="000000" w:themeColor="text1"/>
                <w:sz w:val="22"/>
                <w:szCs w:val="22"/>
                <w:rtl/>
              </w:rPr>
              <w:t xml:space="preserve"> הסיכונים המרכזיים יזלגו למשק הישראלי</w:t>
            </w:r>
          </w:p>
        </w:tc>
        <w:tc>
          <w:tcPr>
            <w:tcW w:w="1560" w:type="dxa"/>
            <w:gridSpan w:val="3"/>
            <w:tcBorders>
              <w:top w:val="single" w:sz="12" w:space="0" w:color="auto"/>
              <w:left w:val="single" w:sz="12" w:space="0" w:color="auto"/>
              <w:bottom w:val="single" w:sz="4" w:space="0" w:color="auto"/>
              <w:right w:val="single" w:sz="12" w:space="0" w:color="auto"/>
            </w:tcBorders>
            <w:vAlign w:val="center"/>
          </w:tcPr>
          <w:p w:rsidR="00370BFA" w:rsidRPr="00370BFA" w:rsidRDefault="00370BFA" w:rsidP="00F313B2">
            <w:pPr>
              <w:bidi/>
              <w:spacing w:line="360" w:lineRule="auto"/>
              <w:jc w:val="center"/>
              <w:rPr>
                <w:rFonts w:cs="David"/>
                <w:rtl/>
              </w:rPr>
            </w:pPr>
            <w:r w:rsidRPr="00370BFA">
              <w:rPr>
                <w:rFonts w:cs="David" w:hint="cs"/>
                <w:rtl/>
              </w:rPr>
              <w:t>עלייה</w:t>
            </w:r>
          </w:p>
        </w:tc>
        <w:tc>
          <w:tcPr>
            <w:tcW w:w="5540" w:type="dxa"/>
            <w:gridSpan w:val="10"/>
            <w:tcBorders>
              <w:top w:val="single" w:sz="12" w:space="0" w:color="auto"/>
              <w:left w:val="single" w:sz="12" w:space="0" w:color="auto"/>
              <w:bottom w:val="single" w:sz="4" w:space="0" w:color="auto"/>
              <w:right w:val="single" w:sz="4" w:space="0" w:color="auto"/>
            </w:tcBorders>
            <w:vAlign w:val="center"/>
          </w:tcPr>
          <w:p w:rsidR="00370BFA" w:rsidRPr="009418A7" w:rsidRDefault="00370BFA" w:rsidP="00370BFA">
            <w:pPr>
              <w:bidi/>
              <w:spacing w:line="360" w:lineRule="auto"/>
              <w:jc w:val="both"/>
              <w:rPr>
                <w:rFonts w:cs="David"/>
                <w:sz w:val="22"/>
                <w:szCs w:val="22"/>
                <w:rtl/>
              </w:rPr>
            </w:pPr>
            <w:r w:rsidRPr="009418A7">
              <w:rPr>
                <w:rFonts w:cs="David" w:hint="cs"/>
                <w:sz w:val="22"/>
                <w:szCs w:val="22"/>
                <w:rtl/>
              </w:rPr>
              <w:t>השילוב בין היקפי החוב העצומים בעולם ובין תהליך הצמצום של המדיניות המוניטרית המרחיבה.</w:t>
            </w:r>
          </w:p>
        </w:tc>
      </w:tr>
    </w:tbl>
    <w:p w:rsidR="00370BFA" w:rsidRPr="00370BFA" w:rsidRDefault="00370BFA" w:rsidP="009418A7">
      <w:pPr>
        <w:bidi/>
        <w:jc w:val="both"/>
        <w:rPr>
          <w:rFonts w:cs="David"/>
          <w:rtl/>
        </w:rPr>
      </w:pPr>
    </w:p>
    <w:tbl>
      <w:tblPr>
        <w:bidiVisual/>
        <w:tblW w:w="0" w:type="auto"/>
        <w:tblLook w:val="04A0" w:firstRow="1" w:lastRow="0" w:firstColumn="1" w:lastColumn="0" w:noHBand="0" w:noVBand="1"/>
      </w:tblPr>
      <w:tblGrid>
        <w:gridCol w:w="1465"/>
        <w:gridCol w:w="1397"/>
        <w:gridCol w:w="1398"/>
        <w:gridCol w:w="1398"/>
        <w:gridCol w:w="1398"/>
        <w:gridCol w:w="1466"/>
      </w:tblGrid>
      <w:tr w:rsidR="00370BFA" w:rsidRPr="00370BFA" w:rsidTr="00F313B2">
        <w:trPr>
          <w:trHeight w:hRule="exact" w:val="582"/>
        </w:trPr>
        <w:tc>
          <w:tcPr>
            <w:tcW w:w="1596" w:type="dxa"/>
            <w:shd w:val="clear" w:color="auto" w:fill="C00000"/>
            <w:vAlign w:val="center"/>
          </w:tcPr>
          <w:p w:rsidR="00370BFA" w:rsidRPr="00370BFA" w:rsidRDefault="00370BFA" w:rsidP="00F313B2">
            <w:pPr>
              <w:bidi/>
              <w:spacing w:line="360" w:lineRule="auto"/>
              <w:jc w:val="center"/>
              <w:rPr>
                <w:rFonts w:cs="David"/>
                <w:szCs w:val="20"/>
                <w:rtl/>
              </w:rPr>
            </w:pPr>
            <w:r w:rsidRPr="00370BFA">
              <w:rPr>
                <w:rFonts w:cs="David" w:hint="cs"/>
                <w:color w:val="000000" w:themeColor="text1"/>
                <w:szCs w:val="20"/>
                <w:rtl/>
              </w:rPr>
              <w:t>עוצמה גבוהה מאוד</w:t>
            </w:r>
          </w:p>
        </w:tc>
        <w:tc>
          <w:tcPr>
            <w:tcW w:w="1596" w:type="dxa"/>
            <w:shd w:val="clear" w:color="auto" w:fill="FF0000"/>
            <w:vAlign w:val="center"/>
          </w:tcPr>
          <w:p w:rsidR="00370BFA" w:rsidRPr="00370BFA" w:rsidRDefault="00370BFA" w:rsidP="00F313B2">
            <w:pPr>
              <w:bidi/>
              <w:spacing w:line="360" w:lineRule="auto"/>
              <w:jc w:val="center"/>
              <w:rPr>
                <w:rFonts w:cs="David"/>
                <w:szCs w:val="20"/>
                <w:rtl/>
              </w:rPr>
            </w:pPr>
          </w:p>
        </w:tc>
        <w:tc>
          <w:tcPr>
            <w:tcW w:w="1596" w:type="dxa"/>
            <w:shd w:val="clear" w:color="auto" w:fill="FFC000"/>
            <w:vAlign w:val="center"/>
          </w:tcPr>
          <w:p w:rsidR="00370BFA" w:rsidRPr="00370BFA" w:rsidRDefault="00370BFA" w:rsidP="00F313B2">
            <w:pPr>
              <w:bidi/>
              <w:spacing w:line="360" w:lineRule="auto"/>
              <w:jc w:val="center"/>
              <w:rPr>
                <w:rFonts w:cs="David"/>
                <w:szCs w:val="20"/>
                <w:rtl/>
              </w:rPr>
            </w:pPr>
          </w:p>
        </w:tc>
        <w:tc>
          <w:tcPr>
            <w:tcW w:w="1596" w:type="dxa"/>
            <w:shd w:val="clear" w:color="auto" w:fill="FFFF00"/>
            <w:vAlign w:val="center"/>
          </w:tcPr>
          <w:p w:rsidR="00370BFA" w:rsidRPr="00370BFA" w:rsidRDefault="00370BFA" w:rsidP="00F313B2">
            <w:pPr>
              <w:bidi/>
              <w:spacing w:line="360" w:lineRule="auto"/>
              <w:jc w:val="center"/>
              <w:rPr>
                <w:rFonts w:cs="David"/>
                <w:szCs w:val="20"/>
                <w:rtl/>
              </w:rPr>
            </w:pPr>
          </w:p>
        </w:tc>
        <w:tc>
          <w:tcPr>
            <w:tcW w:w="1596" w:type="dxa"/>
            <w:shd w:val="clear" w:color="auto" w:fill="92D050"/>
            <w:vAlign w:val="center"/>
          </w:tcPr>
          <w:p w:rsidR="00370BFA" w:rsidRPr="00370BFA" w:rsidRDefault="00370BFA" w:rsidP="00F313B2">
            <w:pPr>
              <w:bidi/>
              <w:spacing w:line="360" w:lineRule="auto"/>
              <w:jc w:val="center"/>
              <w:rPr>
                <w:rFonts w:cs="David"/>
                <w:szCs w:val="20"/>
                <w:rtl/>
              </w:rPr>
            </w:pPr>
          </w:p>
        </w:tc>
        <w:tc>
          <w:tcPr>
            <w:tcW w:w="1596" w:type="dxa"/>
            <w:shd w:val="clear" w:color="auto" w:fill="00B050"/>
            <w:vAlign w:val="center"/>
          </w:tcPr>
          <w:p w:rsidR="00370BFA" w:rsidRPr="00370BFA" w:rsidRDefault="00370BFA" w:rsidP="00F313B2">
            <w:pPr>
              <w:bidi/>
              <w:spacing w:line="360" w:lineRule="auto"/>
              <w:jc w:val="center"/>
              <w:rPr>
                <w:rFonts w:cs="David"/>
                <w:szCs w:val="20"/>
                <w:rtl/>
              </w:rPr>
            </w:pPr>
            <w:r w:rsidRPr="00370BFA">
              <w:rPr>
                <w:rFonts w:cs="David" w:hint="cs"/>
                <w:szCs w:val="20"/>
                <w:rtl/>
              </w:rPr>
              <w:t>עוצמה נמוכה מאוד</w:t>
            </w:r>
          </w:p>
        </w:tc>
      </w:tr>
    </w:tbl>
    <w:p w:rsidR="00CB0A5B" w:rsidRDefault="00CB0A5B" w:rsidP="00F313B2">
      <w:pPr>
        <w:bidi/>
        <w:spacing w:line="360" w:lineRule="auto"/>
        <w:jc w:val="both"/>
        <w:rPr>
          <w:rFonts w:eastAsia="Times New Roman" w:cs="David"/>
          <w:rtl/>
        </w:rPr>
      </w:pPr>
    </w:p>
    <w:sectPr w:rsidR="00CB0A5B" w:rsidSect="00E032A2">
      <w:footerReference w:type="default" r:id="rId13"/>
      <w:pgSz w:w="11906" w:h="16838"/>
      <w:pgMar w:top="1440" w:right="1800" w:bottom="1440" w:left="1800" w:header="708" w:footer="45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A1" w:rsidRDefault="009164A1" w:rsidP="00644D5B">
      <w:r>
        <w:separator/>
      </w:r>
    </w:p>
  </w:endnote>
  <w:endnote w:type="continuationSeparator" w:id="0">
    <w:p w:rsidR="009164A1" w:rsidRDefault="009164A1" w:rsidP="0064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SAPIcon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817257504"/>
      <w:docPartObj>
        <w:docPartGallery w:val="Page Numbers (Bottom of Page)"/>
        <w:docPartUnique/>
      </w:docPartObj>
    </w:sdtPr>
    <w:sdtEndPr>
      <w:rPr>
        <w:cs/>
      </w:rPr>
    </w:sdtEndPr>
    <w:sdtContent>
      <w:sdt>
        <w:sdtPr>
          <w:rPr>
            <w:rFonts w:cs="David"/>
            <w:rtl/>
            <w:lang w:val="he-IL"/>
          </w:rPr>
          <w:id w:val="860082579"/>
          <w:docPartObj>
            <w:docPartGallery w:val="Page Numbers (Top of Page)"/>
            <w:docPartUnique/>
          </w:docPartObj>
        </w:sdtPr>
        <w:sdtEndPr>
          <w:rPr>
            <w:lang w:val="en-US"/>
          </w:rPr>
        </w:sdtEndPr>
        <w:sdtContent>
          <w:p w:rsidR="00644D5B" w:rsidRPr="00E032A2" w:rsidRDefault="00E032A2" w:rsidP="00370BFA">
            <w:pPr>
              <w:bidi/>
              <w:spacing w:line="360" w:lineRule="auto"/>
              <w:rPr>
                <w:rtl/>
                <w:lang w:val="he-IL"/>
              </w:rPr>
            </w:pPr>
            <w:r w:rsidRPr="0043575A">
              <w:rPr>
                <w:rFonts w:cs="David" w:hint="cs"/>
                <w:rtl/>
                <w:lang w:val="he-IL"/>
              </w:rPr>
              <w:t xml:space="preserve">בנק ישראל </w:t>
            </w:r>
            <w:r>
              <w:rPr>
                <w:rFonts w:cs="David"/>
                <w:rtl/>
                <w:lang w:val="he-IL"/>
              </w:rPr>
              <w:t>–</w:t>
            </w:r>
            <w:r w:rsidRPr="0043575A">
              <w:rPr>
                <w:rFonts w:cs="David" w:hint="cs"/>
                <w:rtl/>
                <w:lang w:val="he-IL"/>
              </w:rPr>
              <w:t xml:space="preserve"> </w:t>
            </w:r>
            <w:r w:rsidRPr="00E032A2">
              <w:rPr>
                <w:rFonts w:cs="David"/>
                <w:rtl/>
                <w:lang w:val="he-IL"/>
              </w:rPr>
              <w:t xml:space="preserve"> דוח היציבות הפיננסית </w:t>
            </w:r>
            <w:r w:rsidRPr="00E032A2">
              <w:rPr>
                <w:rFonts w:cs="David" w:hint="cs"/>
                <w:rtl/>
                <w:lang w:val="he-IL"/>
              </w:rPr>
              <w:t xml:space="preserve">למחצית </w:t>
            </w:r>
            <w:r w:rsidR="00370BFA">
              <w:rPr>
                <w:rFonts w:cs="David" w:hint="cs"/>
                <w:rtl/>
                <w:lang w:val="he-IL"/>
              </w:rPr>
              <w:t>השנייה</w:t>
            </w:r>
            <w:r w:rsidRPr="00E032A2">
              <w:rPr>
                <w:rFonts w:cs="David" w:hint="cs"/>
                <w:rtl/>
                <w:lang w:val="he-IL"/>
              </w:rPr>
              <w:t xml:space="preserve"> של </w:t>
            </w:r>
            <w:r w:rsidR="00200410">
              <w:rPr>
                <w:rFonts w:cs="David" w:hint="cs"/>
                <w:rtl/>
                <w:lang w:val="he-IL"/>
              </w:rPr>
              <w:t>2018</w:t>
            </w:r>
            <w:r>
              <w:rPr>
                <w:rFonts w:cs="David" w:hint="cs"/>
                <w:rtl/>
                <w:lang w:val="he-IL"/>
              </w:rPr>
              <w:t xml:space="preserve"> </w:t>
            </w:r>
            <w:r>
              <w:rPr>
                <w:rFonts w:cs="David" w:hint="cs"/>
                <w:b/>
                <w:bCs/>
                <w:sz w:val="28"/>
                <w:szCs w:val="28"/>
                <w:rtl/>
              </w:rPr>
              <w:tab/>
              <w:t xml:space="preserve">                  </w:t>
            </w:r>
            <w:r w:rsidRPr="0043575A">
              <w:rPr>
                <w:rFonts w:cs="David"/>
                <w:rtl/>
                <w:cs/>
                <w:lang w:val="he-IL"/>
              </w:rPr>
              <w:t xml:space="preserve">עמוד </w:t>
            </w:r>
            <w:r w:rsidRPr="0043575A">
              <w:rPr>
                <w:rFonts w:cs="David"/>
                <w:b/>
                <w:bCs/>
              </w:rPr>
              <w:fldChar w:fldCharType="begin"/>
            </w:r>
            <w:r w:rsidRPr="0043575A">
              <w:rPr>
                <w:rFonts w:cs="David"/>
                <w:b/>
                <w:bCs/>
                <w:rtl/>
                <w:cs/>
              </w:rPr>
              <w:instrText>PAGE</w:instrText>
            </w:r>
            <w:r w:rsidRPr="0043575A">
              <w:rPr>
                <w:rFonts w:cs="David"/>
                <w:b/>
                <w:bCs/>
              </w:rPr>
              <w:fldChar w:fldCharType="separate"/>
            </w:r>
            <w:r w:rsidR="00BD0268">
              <w:rPr>
                <w:rFonts w:cs="David"/>
                <w:b/>
                <w:bCs/>
                <w:noProof/>
                <w:rtl/>
              </w:rPr>
              <w:t>1</w:t>
            </w:r>
            <w:r w:rsidRPr="0043575A">
              <w:rPr>
                <w:rFonts w:cs="David"/>
                <w:b/>
                <w:bCs/>
              </w:rPr>
              <w:fldChar w:fldCharType="end"/>
            </w:r>
            <w:r w:rsidRPr="0043575A">
              <w:rPr>
                <w:rFonts w:cs="David"/>
                <w:rtl/>
                <w:cs/>
                <w:lang w:val="he-IL"/>
              </w:rPr>
              <w:t xml:space="preserve"> מתוך </w:t>
            </w:r>
            <w:r w:rsidRPr="0043575A">
              <w:rPr>
                <w:rFonts w:cs="David"/>
                <w:b/>
                <w:bCs/>
              </w:rPr>
              <w:fldChar w:fldCharType="begin"/>
            </w:r>
            <w:r w:rsidRPr="0043575A">
              <w:rPr>
                <w:rFonts w:cs="David"/>
                <w:b/>
                <w:bCs/>
                <w:rtl/>
                <w:cs/>
              </w:rPr>
              <w:instrText>NUMPAGES</w:instrText>
            </w:r>
            <w:r w:rsidRPr="0043575A">
              <w:rPr>
                <w:rFonts w:cs="David"/>
                <w:b/>
                <w:bCs/>
              </w:rPr>
              <w:fldChar w:fldCharType="separate"/>
            </w:r>
            <w:r w:rsidR="00BD0268">
              <w:rPr>
                <w:rFonts w:cs="David"/>
                <w:b/>
                <w:bCs/>
                <w:noProof/>
                <w:rtl/>
              </w:rPr>
              <w:t>3</w:t>
            </w:r>
            <w:r w:rsidRPr="0043575A">
              <w:rPr>
                <w:rFonts w:cs="David"/>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A1" w:rsidRDefault="009164A1" w:rsidP="00644D5B">
      <w:r>
        <w:separator/>
      </w:r>
    </w:p>
  </w:footnote>
  <w:footnote w:type="continuationSeparator" w:id="0">
    <w:p w:rsidR="009164A1" w:rsidRDefault="009164A1" w:rsidP="00644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638"/>
    <w:multiLevelType w:val="hybridMultilevel"/>
    <w:tmpl w:val="3EEE8582"/>
    <w:lvl w:ilvl="0" w:tplc="62469F92">
      <w:start w:val="1"/>
      <w:numFmt w:val="decimal"/>
      <w:pStyle w:val="6"/>
      <w:lvlText w:val="לוח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D4396"/>
    <w:multiLevelType w:val="hybridMultilevel"/>
    <w:tmpl w:val="19C8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24FFE"/>
    <w:multiLevelType w:val="hybridMultilevel"/>
    <w:tmpl w:val="EEF24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F378C"/>
    <w:multiLevelType w:val="hybridMultilevel"/>
    <w:tmpl w:val="71707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AD37CC"/>
    <w:multiLevelType w:val="hybridMultilevel"/>
    <w:tmpl w:val="A8F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30"/>
    <w:rsid w:val="000019BB"/>
    <w:rsid w:val="00031AF5"/>
    <w:rsid w:val="0005056D"/>
    <w:rsid w:val="00066106"/>
    <w:rsid w:val="00073361"/>
    <w:rsid w:val="00080168"/>
    <w:rsid w:val="0008114B"/>
    <w:rsid w:val="000948A3"/>
    <w:rsid w:val="000B2537"/>
    <w:rsid w:val="000D3029"/>
    <w:rsid w:val="000D411C"/>
    <w:rsid w:val="000F31E0"/>
    <w:rsid w:val="00106DA4"/>
    <w:rsid w:val="0011581B"/>
    <w:rsid w:val="00124763"/>
    <w:rsid w:val="00153079"/>
    <w:rsid w:val="00153D6F"/>
    <w:rsid w:val="00155F5D"/>
    <w:rsid w:val="001735AC"/>
    <w:rsid w:val="001735D4"/>
    <w:rsid w:val="0017404B"/>
    <w:rsid w:val="00174182"/>
    <w:rsid w:val="00176F31"/>
    <w:rsid w:val="00177767"/>
    <w:rsid w:val="001A2867"/>
    <w:rsid w:val="001A75E5"/>
    <w:rsid w:val="001B1D23"/>
    <w:rsid w:val="001D60DB"/>
    <w:rsid w:val="001F2BBB"/>
    <w:rsid w:val="00200410"/>
    <w:rsid w:val="00210DA9"/>
    <w:rsid w:val="00212508"/>
    <w:rsid w:val="00216BA6"/>
    <w:rsid w:val="002411B3"/>
    <w:rsid w:val="002501A1"/>
    <w:rsid w:val="00251C9C"/>
    <w:rsid w:val="00283A30"/>
    <w:rsid w:val="00283C35"/>
    <w:rsid w:val="002855C3"/>
    <w:rsid w:val="002A3720"/>
    <w:rsid w:val="002B249E"/>
    <w:rsid w:val="002B6B31"/>
    <w:rsid w:val="002C0C1B"/>
    <w:rsid w:val="002C37FD"/>
    <w:rsid w:val="002C4029"/>
    <w:rsid w:val="002D278C"/>
    <w:rsid w:val="002E469E"/>
    <w:rsid w:val="002E7899"/>
    <w:rsid w:val="002F7616"/>
    <w:rsid w:val="00306291"/>
    <w:rsid w:val="00315C77"/>
    <w:rsid w:val="00330B2E"/>
    <w:rsid w:val="00330C36"/>
    <w:rsid w:val="00346EB5"/>
    <w:rsid w:val="00370BFA"/>
    <w:rsid w:val="003737DE"/>
    <w:rsid w:val="00381625"/>
    <w:rsid w:val="003A3F68"/>
    <w:rsid w:val="003B7035"/>
    <w:rsid w:val="003C3F51"/>
    <w:rsid w:val="003E7F8E"/>
    <w:rsid w:val="003F6892"/>
    <w:rsid w:val="00400C9B"/>
    <w:rsid w:val="004153C8"/>
    <w:rsid w:val="00427350"/>
    <w:rsid w:val="00455297"/>
    <w:rsid w:val="004563BB"/>
    <w:rsid w:val="004924B2"/>
    <w:rsid w:val="004A322D"/>
    <w:rsid w:val="004C60EF"/>
    <w:rsid w:val="004D3DC2"/>
    <w:rsid w:val="004D4BCF"/>
    <w:rsid w:val="004F51EC"/>
    <w:rsid w:val="00513DAB"/>
    <w:rsid w:val="00521E89"/>
    <w:rsid w:val="00526A3C"/>
    <w:rsid w:val="0053065D"/>
    <w:rsid w:val="005357C5"/>
    <w:rsid w:val="00535DD2"/>
    <w:rsid w:val="00547FE6"/>
    <w:rsid w:val="00566F87"/>
    <w:rsid w:val="00567378"/>
    <w:rsid w:val="00572290"/>
    <w:rsid w:val="005A544A"/>
    <w:rsid w:val="005C18C9"/>
    <w:rsid w:val="005C3051"/>
    <w:rsid w:val="005C68CD"/>
    <w:rsid w:val="00605C08"/>
    <w:rsid w:val="006164AE"/>
    <w:rsid w:val="00626B19"/>
    <w:rsid w:val="00644D5B"/>
    <w:rsid w:val="0065293A"/>
    <w:rsid w:val="00663D2A"/>
    <w:rsid w:val="00665BB5"/>
    <w:rsid w:val="0067073D"/>
    <w:rsid w:val="00676168"/>
    <w:rsid w:val="00676442"/>
    <w:rsid w:val="00681BA4"/>
    <w:rsid w:val="006A66A5"/>
    <w:rsid w:val="006B189E"/>
    <w:rsid w:val="006D6D47"/>
    <w:rsid w:val="006F41D8"/>
    <w:rsid w:val="00715CBD"/>
    <w:rsid w:val="0073458B"/>
    <w:rsid w:val="00743C03"/>
    <w:rsid w:val="00745428"/>
    <w:rsid w:val="00766B4D"/>
    <w:rsid w:val="00786A9A"/>
    <w:rsid w:val="00794003"/>
    <w:rsid w:val="007A09F8"/>
    <w:rsid w:val="007A5EA7"/>
    <w:rsid w:val="007A7CFD"/>
    <w:rsid w:val="007C100C"/>
    <w:rsid w:val="007D6828"/>
    <w:rsid w:val="008070A4"/>
    <w:rsid w:val="00807A1B"/>
    <w:rsid w:val="008622AB"/>
    <w:rsid w:val="00893FC6"/>
    <w:rsid w:val="00895B5D"/>
    <w:rsid w:val="00897D62"/>
    <w:rsid w:val="008A2476"/>
    <w:rsid w:val="008A367A"/>
    <w:rsid w:val="008A6D07"/>
    <w:rsid w:val="008B14EE"/>
    <w:rsid w:val="008B2D4E"/>
    <w:rsid w:val="008C247E"/>
    <w:rsid w:val="008C7774"/>
    <w:rsid w:val="008E7880"/>
    <w:rsid w:val="00915AED"/>
    <w:rsid w:val="009164A1"/>
    <w:rsid w:val="009418A7"/>
    <w:rsid w:val="00943DB3"/>
    <w:rsid w:val="00946EF2"/>
    <w:rsid w:val="0095185F"/>
    <w:rsid w:val="009632C2"/>
    <w:rsid w:val="0096521B"/>
    <w:rsid w:val="0096726C"/>
    <w:rsid w:val="00982B91"/>
    <w:rsid w:val="00986DCC"/>
    <w:rsid w:val="009A057F"/>
    <w:rsid w:val="009C0C1B"/>
    <w:rsid w:val="009C25E3"/>
    <w:rsid w:val="009D0336"/>
    <w:rsid w:val="009D1926"/>
    <w:rsid w:val="00A01EB7"/>
    <w:rsid w:val="00A047A1"/>
    <w:rsid w:val="00A054EC"/>
    <w:rsid w:val="00A21633"/>
    <w:rsid w:val="00A237D6"/>
    <w:rsid w:val="00A3711B"/>
    <w:rsid w:val="00A3723B"/>
    <w:rsid w:val="00A4188C"/>
    <w:rsid w:val="00A42136"/>
    <w:rsid w:val="00A600E2"/>
    <w:rsid w:val="00A839D7"/>
    <w:rsid w:val="00AB6AF7"/>
    <w:rsid w:val="00AD4A9A"/>
    <w:rsid w:val="00B22309"/>
    <w:rsid w:val="00B32232"/>
    <w:rsid w:val="00B4451B"/>
    <w:rsid w:val="00B45FFD"/>
    <w:rsid w:val="00B77243"/>
    <w:rsid w:val="00BA30F3"/>
    <w:rsid w:val="00BA5A71"/>
    <w:rsid w:val="00BB47FB"/>
    <w:rsid w:val="00BC0159"/>
    <w:rsid w:val="00BD0268"/>
    <w:rsid w:val="00BF0D62"/>
    <w:rsid w:val="00BF7C33"/>
    <w:rsid w:val="00C01270"/>
    <w:rsid w:val="00C030D7"/>
    <w:rsid w:val="00C34F93"/>
    <w:rsid w:val="00C45C48"/>
    <w:rsid w:val="00C5540E"/>
    <w:rsid w:val="00C90415"/>
    <w:rsid w:val="00C97DDD"/>
    <w:rsid w:val="00CA6B44"/>
    <w:rsid w:val="00CA77ED"/>
    <w:rsid w:val="00CB0A5B"/>
    <w:rsid w:val="00CC2A26"/>
    <w:rsid w:val="00CF6D5D"/>
    <w:rsid w:val="00D10CD5"/>
    <w:rsid w:val="00D321F2"/>
    <w:rsid w:val="00D4661E"/>
    <w:rsid w:val="00D56C33"/>
    <w:rsid w:val="00D77FBE"/>
    <w:rsid w:val="00D90EA8"/>
    <w:rsid w:val="00DA0D36"/>
    <w:rsid w:val="00DA23D3"/>
    <w:rsid w:val="00DA3B3B"/>
    <w:rsid w:val="00DD1929"/>
    <w:rsid w:val="00DD3F8F"/>
    <w:rsid w:val="00DD789E"/>
    <w:rsid w:val="00DF1325"/>
    <w:rsid w:val="00DF42D3"/>
    <w:rsid w:val="00E032A2"/>
    <w:rsid w:val="00E0365B"/>
    <w:rsid w:val="00E73C52"/>
    <w:rsid w:val="00E75321"/>
    <w:rsid w:val="00E77C93"/>
    <w:rsid w:val="00EA67CD"/>
    <w:rsid w:val="00EB456E"/>
    <w:rsid w:val="00ED548F"/>
    <w:rsid w:val="00F06CAD"/>
    <w:rsid w:val="00F202B9"/>
    <w:rsid w:val="00F22C4C"/>
    <w:rsid w:val="00F313B2"/>
    <w:rsid w:val="00F371A1"/>
    <w:rsid w:val="00F52E51"/>
    <w:rsid w:val="00F53754"/>
    <w:rsid w:val="00F548B0"/>
    <w:rsid w:val="00F623DF"/>
    <w:rsid w:val="00F727BD"/>
    <w:rsid w:val="00F73A55"/>
    <w:rsid w:val="00F867B3"/>
    <w:rsid w:val="00FD2DE5"/>
    <w:rsid w:val="00FE1C0D"/>
    <w:rsid w:val="00FE2B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30"/>
    <w:pPr>
      <w:spacing w:after="0" w:line="240" w:lineRule="auto"/>
    </w:pPr>
    <w:rPr>
      <w:rFonts w:ascii="Times New Roman" w:hAnsi="Times New Roman" w:cs="Times New Roman"/>
      <w:sz w:val="24"/>
      <w:szCs w:val="24"/>
    </w:rPr>
  </w:style>
  <w:style w:type="paragraph" w:styleId="6">
    <w:name w:val="heading 6"/>
    <w:aliases w:val="מספור לוחות 6"/>
    <w:basedOn w:val="a"/>
    <w:next w:val="a"/>
    <w:link w:val="60"/>
    <w:uiPriority w:val="9"/>
    <w:unhideWhenUsed/>
    <w:qFormat/>
    <w:rsid w:val="00370BFA"/>
    <w:pPr>
      <w:keepNext/>
      <w:keepLines/>
      <w:numPr>
        <w:numId w:val="5"/>
      </w:numPr>
      <w:bidi/>
      <w:spacing w:before="200" w:line="360" w:lineRule="auto"/>
      <w:jc w:val="both"/>
      <w:outlineLvl w:val="5"/>
    </w:pPr>
    <w:rPr>
      <w:rFonts w:asciiTheme="majorHAnsi" w:eastAsiaTheme="majorEastAsia" w:hAnsiTheme="majorHAnsi" w:cs="David"/>
      <w:bCs/>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03"/>
    <w:rPr>
      <w:rFonts w:ascii="Tahoma" w:hAnsi="Tahoma" w:cs="Tahoma"/>
      <w:sz w:val="16"/>
      <w:szCs w:val="16"/>
    </w:rPr>
  </w:style>
  <w:style w:type="character" w:customStyle="1" w:styleId="a4">
    <w:name w:val="טקסט בלונים תו"/>
    <w:basedOn w:val="a0"/>
    <w:link w:val="a3"/>
    <w:uiPriority w:val="99"/>
    <w:semiHidden/>
    <w:rsid w:val="00794003"/>
    <w:rPr>
      <w:rFonts w:ascii="Tahoma" w:hAnsi="Tahoma" w:cs="Tahoma"/>
      <w:sz w:val="16"/>
      <w:szCs w:val="16"/>
    </w:rPr>
  </w:style>
  <w:style w:type="paragraph" w:styleId="a5">
    <w:name w:val="List Paragraph"/>
    <w:basedOn w:val="a"/>
    <w:link w:val="a6"/>
    <w:uiPriority w:val="34"/>
    <w:qFormat/>
    <w:rsid w:val="00CB0A5B"/>
    <w:pPr>
      <w:ind w:left="720"/>
      <w:contextualSpacing/>
    </w:pPr>
  </w:style>
  <w:style w:type="table" w:styleId="a7">
    <w:name w:val="Table Grid"/>
    <w:basedOn w:val="a1"/>
    <w:uiPriority w:val="59"/>
    <w:rsid w:val="00A8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C93"/>
    <w:rPr>
      <w:sz w:val="16"/>
      <w:szCs w:val="16"/>
    </w:rPr>
  </w:style>
  <w:style w:type="paragraph" w:styleId="a9">
    <w:name w:val="annotation text"/>
    <w:basedOn w:val="a"/>
    <w:link w:val="aa"/>
    <w:uiPriority w:val="99"/>
    <w:unhideWhenUsed/>
    <w:rsid w:val="00E77C93"/>
    <w:rPr>
      <w:sz w:val="20"/>
      <w:szCs w:val="20"/>
    </w:rPr>
  </w:style>
  <w:style w:type="character" w:customStyle="1" w:styleId="aa">
    <w:name w:val="טקסט הערה תו"/>
    <w:basedOn w:val="a0"/>
    <w:link w:val="a9"/>
    <w:uiPriority w:val="99"/>
    <w:rsid w:val="00E77C93"/>
    <w:rPr>
      <w:rFonts w:ascii="Times New Roman" w:hAnsi="Times New Roman" w:cs="Times New Roman"/>
      <w:sz w:val="20"/>
      <w:szCs w:val="20"/>
    </w:rPr>
  </w:style>
  <w:style w:type="paragraph" w:styleId="ab">
    <w:name w:val="annotation subject"/>
    <w:basedOn w:val="a9"/>
    <w:next w:val="a9"/>
    <w:link w:val="ac"/>
    <w:uiPriority w:val="99"/>
    <w:semiHidden/>
    <w:unhideWhenUsed/>
    <w:rsid w:val="00E77C93"/>
    <w:rPr>
      <w:b/>
      <w:bCs/>
    </w:rPr>
  </w:style>
  <w:style w:type="character" w:customStyle="1" w:styleId="ac">
    <w:name w:val="נושא הערה תו"/>
    <w:basedOn w:val="aa"/>
    <w:link w:val="ab"/>
    <w:uiPriority w:val="99"/>
    <w:semiHidden/>
    <w:rsid w:val="00E77C93"/>
    <w:rPr>
      <w:rFonts w:ascii="Times New Roman" w:hAnsi="Times New Roman" w:cs="Times New Roman"/>
      <w:b/>
      <w:bCs/>
      <w:sz w:val="20"/>
      <w:szCs w:val="20"/>
    </w:rPr>
  </w:style>
  <w:style w:type="paragraph" w:styleId="NormalWeb">
    <w:name w:val="Normal (Web)"/>
    <w:basedOn w:val="a"/>
    <w:uiPriority w:val="99"/>
    <w:semiHidden/>
    <w:unhideWhenUsed/>
    <w:rsid w:val="0017404B"/>
    <w:pPr>
      <w:spacing w:before="100" w:beforeAutospacing="1" w:after="100" w:afterAutospacing="1"/>
    </w:pPr>
    <w:rPr>
      <w:rFonts w:eastAsiaTheme="minorEastAsia"/>
    </w:rPr>
  </w:style>
  <w:style w:type="paragraph" w:styleId="ad">
    <w:name w:val="header"/>
    <w:basedOn w:val="a"/>
    <w:link w:val="ae"/>
    <w:uiPriority w:val="99"/>
    <w:unhideWhenUsed/>
    <w:rsid w:val="00644D5B"/>
    <w:pPr>
      <w:tabs>
        <w:tab w:val="center" w:pos="4153"/>
        <w:tab w:val="right" w:pos="8306"/>
      </w:tabs>
    </w:pPr>
  </w:style>
  <w:style w:type="character" w:customStyle="1" w:styleId="ae">
    <w:name w:val="כותרת עליונה תו"/>
    <w:basedOn w:val="a0"/>
    <w:link w:val="ad"/>
    <w:uiPriority w:val="99"/>
    <w:rsid w:val="00644D5B"/>
    <w:rPr>
      <w:rFonts w:ascii="Times New Roman" w:hAnsi="Times New Roman" w:cs="Times New Roman"/>
      <w:sz w:val="24"/>
      <w:szCs w:val="24"/>
    </w:rPr>
  </w:style>
  <w:style w:type="paragraph" w:styleId="af">
    <w:name w:val="footer"/>
    <w:basedOn w:val="a"/>
    <w:link w:val="af0"/>
    <w:uiPriority w:val="99"/>
    <w:unhideWhenUsed/>
    <w:rsid w:val="00644D5B"/>
    <w:pPr>
      <w:tabs>
        <w:tab w:val="center" w:pos="4153"/>
        <w:tab w:val="right" w:pos="8306"/>
      </w:tabs>
    </w:pPr>
  </w:style>
  <w:style w:type="character" w:customStyle="1" w:styleId="af0">
    <w:name w:val="כותרת תחתונה תו"/>
    <w:basedOn w:val="a0"/>
    <w:link w:val="af"/>
    <w:uiPriority w:val="99"/>
    <w:rsid w:val="00644D5B"/>
    <w:rPr>
      <w:rFonts w:ascii="Times New Roman" w:hAnsi="Times New Roman" w:cs="Times New Roman"/>
      <w:sz w:val="24"/>
      <w:szCs w:val="24"/>
    </w:rPr>
  </w:style>
  <w:style w:type="character" w:styleId="af1">
    <w:name w:val="Strong"/>
    <w:basedOn w:val="a0"/>
    <w:uiPriority w:val="22"/>
    <w:qFormat/>
    <w:rsid w:val="00644D5B"/>
    <w:rPr>
      <w:b/>
      <w:bCs/>
    </w:rPr>
  </w:style>
  <w:style w:type="paragraph" w:styleId="af2">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3"/>
    <w:uiPriority w:val="99"/>
    <w:unhideWhenUsed/>
    <w:rsid w:val="006B189E"/>
    <w:pPr>
      <w:bidi/>
    </w:pPr>
    <w:rPr>
      <w:rFonts w:asciiTheme="minorHAnsi" w:hAnsiTheme="minorHAnsi" w:cstheme="minorBidi"/>
      <w:sz w:val="20"/>
      <w:szCs w:val="20"/>
    </w:rPr>
  </w:style>
  <w:style w:type="character" w:customStyle="1" w:styleId="af3">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2"/>
    <w:uiPriority w:val="99"/>
    <w:rsid w:val="006B189E"/>
    <w:rPr>
      <w:sz w:val="20"/>
      <w:szCs w:val="20"/>
    </w:rPr>
  </w:style>
  <w:style w:type="character" w:styleId="af4">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B189E"/>
    <w:rPr>
      <w:vertAlign w:val="superscript"/>
    </w:rPr>
  </w:style>
  <w:style w:type="character" w:customStyle="1" w:styleId="a6">
    <w:name w:val="פיסקת רשימה תו"/>
    <w:link w:val="a5"/>
    <w:uiPriority w:val="34"/>
    <w:locked/>
    <w:rsid w:val="00DA0D36"/>
    <w:rPr>
      <w:rFonts w:ascii="Times New Roman" w:hAnsi="Times New Roman" w:cs="Times New Roman"/>
      <w:sz w:val="24"/>
      <w:szCs w:val="24"/>
    </w:rPr>
  </w:style>
  <w:style w:type="character" w:customStyle="1" w:styleId="60">
    <w:name w:val="כותרת 6 תו"/>
    <w:aliases w:val="מספור לוחות 6 תו"/>
    <w:basedOn w:val="a0"/>
    <w:link w:val="6"/>
    <w:uiPriority w:val="9"/>
    <w:rsid w:val="00370BFA"/>
    <w:rPr>
      <w:rFonts w:asciiTheme="majorHAnsi" w:eastAsiaTheme="majorEastAsia" w:hAnsiTheme="majorHAnsi" w:cs="David"/>
      <w:bCs/>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30"/>
    <w:pPr>
      <w:spacing w:after="0" w:line="240" w:lineRule="auto"/>
    </w:pPr>
    <w:rPr>
      <w:rFonts w:ascii="Times New Roman" w:hAnsi="Times New Roman" w:cs="Times New Roman"/>
      <w:sz w:val="24"/>
      <w:szCs w:val="24"/>
    </w:rPr>
  </w:style>
  <w:style w:type="paragraph" w:styleId="6">
    <w:name w:val="heading 6"/>
    <w:aliases w:val="מספור לוחות 6"/>
    <w:basedOn w:val="a"/>
    <w:next w:val="a"/>
    <w:link w:val="60"/>
    <w:uiPriority w:val="9"/>
    <w:unhideWhenUsed/>
    <w:qFormat/>
    <w:rsid w:val="00370BFA"/>
    <w:pPr>
      <w:keepNext/>
      <w:keepLines/>
      <w:numPr>
        <w:numId w:val="5"/>
      </w:numPr>
      <w:bidi/>
      <w:spacing w:before="200" w:line="360" w:lineRule="auto"/>
      <w:jc w:val="both"/>
      <w:outlineLvl w:val="5"/>
    </w:pPr>
    <w:rPr>
      <w:rFonts w:asciiTheme="majorHAnsi" w:eastAsiaTheme="majorEastAsia" w:hAnsiTheme="majorHAnsi" w:cs="David"/>
      <w:bCs/>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03"/>
    <w:rPr>
      <w:rFonts w:ascii="Tahoma" w:hAnsi="Tahoma" w:cs="Tahoma"/>
      <w:sz w:val="16"/>
      <w:szCs w:val="16"/>
    </w:rPr>
  </w:style>
  <w:style w:type="character" w:customStyle="1" w:styleId="a4">
    <w:name w:val="טקסט בלונים תו"/>
    <w:basedOn w:val="a0"/>
    <w:link w:val="a3"/>
    <w:uiPriority w:val="99"/>
    <w:semiHidden/>
    <w:rsid w:val="00794003"/>
    <w:rPr>
      <w:rFonts w:ascii="Tahoma" w:hAnsi="Tahoma" w:cs="Tahoma"/>
      <w:sz w:val="16"/>
      <w:szCs w:val="16"/>
    </w:rPr>
  </w:style>
  <w:style w:type="paragraph" w:styleId="a5">
    <w:name w:val="List Paragraph"/>
    <w:basedOn w:val="a"/>
    <w:link w:val="a6"/>
    <w:uiPriority w:val="34"/>
    <w:qFormat/>
    <w:rsid w:val="00CB0A5B"/>
    <w:pPr>
      <w:ind w:left="720"/>
      <w:contextualSpacing/>
    </w:pPr>
  </w:style>
  <w:style w:type="table" w:styleId="a7">
    <w:name w:val="Table Grid"/>
    <w:basedOn w:val="a1"/>
    <w:uiPriority w:val="59"/>
    <w:rsid w:val="00A8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C93"/>
    <w:rPr>
      <w:sz w:val="16"/>
      <w:szCs w:val="16"/>
    </w:rPr>
  </w:style>
  <w:style w:type="paragraph" w:styleId="a9">
    <w:name w:val="annotation text"/>
    <w:basedOn w:val="a"/>
    <w:link w:val="aa"/>
    <w:uiPriority w:val="99"/>
    <w:unhideWhenUsed/>
    <w:rsid w:val="00E77C93"/>
    <w:rPr>
      <w:sz w:val="20"/>
      <w:szCs w:val="20"/>
    </w:rPr>
  </w:style>
  <w:style w:type="character" w:customStyle="1" w:styleId="aa">
    <w:name w:val="טקסט הערה תו"/>
    <w:basedOn w:val="a0"/>
    <w:link w:val="a9"/>
    <w:uiPriority w:val="99"/>
    <w:rsid w:val="00E77C93"/>
    <w:rPr>
      <w:rFonts w:ascii="Times New Roman" w:hAnsi="Times New Roman" w:cs="Times New Roman"/>
      <w:sz w:val="20"/>
      <w:szCs w:val="20"/>
    </w:rPr>
  </w:style>
  <w:style w:type="paragraph" w:styleId="ab">
    <w:name w:val="annotation subject"/>
    <w:basedOn w:val="a9"/>
    <w:next w:val="a9"/>
    <w:link w:val="ac"/>
    <w:uiPriority w:val="99"/>
    <w:semiHidden/>
    <w:unhideWhenUsed/>
    <w:rsid w:val="00E77C93"/>
    <w:rPr>
      <w:b/>
      <w:bCs/>
    </w:rPr>
  </w:style>
  <w:style w:type="character" w:customStyle="1" w:styleId="ac">
    <w:name w:val="נושא הערה תו"/>
    <w:basedOn w:val="aa"/>
    <w:link w:val="ab"/>
    <w:uiPriority w:val="99"/>
    <w:semiHidden/>
    <w:rsid w:val="00E77C93"/>
    <w:rPr>
      <w:rFonts w:ascii="Times New Roman" w:hAnsi="Times New Roman" w:cs="Times New Roman"/>
      <w:b/>
      <w:bCs/>
      <w:sz w:val="20"/>
      <w:szCs w:val="20"/>
    </w:rPr>
  </w:style>
  <w:style w:type="paragraph" w:styleId="NormalWeb">
    <w:name w:val="Normal (Web)"/>
    <w:basedOn w:val="a"/>
    <w:uiPriority w:val="99"/>
    <w:semiHidden/>
    <w:unhideWhenUsed/>
    <w:rsid w:val="0017404B"/>
    <w:pPr>
      <w:spacing w:before="100" w:beforeAutospacing="1" w:after="100" w:afterAutospacing="1"/>
    </w:pPr>
    <w:rPr>
      <w:rFonts w:eastAsiaTheme="minorEastAsia"/>
    </w:rPr>
  </w:style>
  <w:style w:type="paragraph" w:styleId="ad">
    <w:name w:val="header"/>
    <w:basedOn w:val="a"/>
    <w:link w:val="ae"/>
    <w:uiPriority w:val="99"/>
    <w:unhideWhenUsed/>
    <w:rsid w:val="00644D5B"/>
    <w:pPr>
      <w:tabs>
        <w:tab w:val="center" w:pos="4153"/>
        <w:tab w:val="right" w:pos="8306"/>
      </w:tabs>
    </w:pPr>
  </w:style>
  <w:style w:type="character" w:customStyle="1" w:styleId="ae">
    <w:name w:val="כותרת עליונה תו"/>
    <w:basedOn w:val="a0"/>
    <w:link w:val="ad"/>
    <w:uiPriority w:val="99"/>
    <w:rsid w:val="00644D5B"/>
    <w:rPr>
      <w:rFonts w:ascii="Times New Roman" w:hAnsi="Times New Roman" w:cs="Times New Roman"/>
      <w:sz w:val="24"/>
      <w:szCs w:val="24"/>
    </w:rPr>
  </w:style>
  <w:style w:type="paragraph" w:styleId="af">
    <w:name w:val="footer"/>
    <w:basedOn w:val="a"/>
    <w:link w:val="af0"/>
    <w:uiPriority w:val="99"/>
    <w:unhideWhenUsed/>
    <w:rsid w:val="00644D5B"/>
    <w:pPr>
      <w:tabs>
        <w:tab w:val="center" w:pos="4153"/>
        <w:tab w:val="right" w:pos="8306"/>
      </w:tabs>
    </w:pPr>
  </w:style>
  <w:style w:type="character" w:customStyle="1" w:styleId="af0">
    <w:name w:val="כותרת תחתונה תו"/>
    <w:basedOn w:val="a0"/>
    <w:link w:val="af"/>
    <w:uiPriority w:val="99"/>
    <w:rsid w:val="00644D5B"/>
    <w:rPr>
      <w:rFonts w:ascii="Times New Roman" w:hAnsi="Times New Roman" w:cs="Times New Roman"/>
      <w:sz w:val="24"/>
      <w:szCs w:val="24"/>
    </w:rPr>
  </w:style>
  <w:style w:type="character" w:styleId="af1">
    <w:name w:val="Strong"/>
    <w:basedOn w:val="a0"/>
    <w:uiPriority w:val="22"/>
    <w:qFormat/>
    <w:rsid w:val="00644D5B"/>
    <w:rPr>
      <w:b/>
      <w:bCs/>
    </w:rPr>
  </w:style>
  <w:style w:type="paragraph" w:styleId="af2">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3"/>
    <w:uiPriority w:val="99"/>
    <w:unhideWhenUsed/>
    <w:rsid w:val="006B189E"/>
    <w:pPr>
      <w:bidi/>
    </w:pPr>
    <w:rPr>
      <w:rFonts w:asciiTheme="minorHAnsi" w:hAnsiTheme="minorHAnsi" w:cstheme="minorBidi"/>
      <w:sz w:val="20"/>
      <w:szCs w:val="20"/>
    </w:rPr>
  </w:style>
  <w:style w:type="character" w:customStyle="1" w:styleId="af3">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2"/>
    <w:uiPriority w:val="99"/>
    <w:rsid w:val="006B189E"/>
    <w:rPr>
      <w:sz w:val="20"/>
      <w:szCs w:val="20"/>
    </w:rPr>
  </w:style>
  <w:style w:type="character" w:styleId="af4">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B189E"/>
    <w:rPr>
      <w:vertAlign w:val="superscript"/>
    </w:rPr>
  </w:style>
  <w:style w:type="character" w:customStyle="1" w:styleId="a6">
    <w:name w:val="פיסקת רשימה תו"/>
    <w:link w:val="a5"/>
    <w:uiPriority w:val="34"/>
    <w:locked/>
    <w:rsid w:val="00DA0D36"/>
    <w:rPr>
      <w:rFonts w:ascii="Times New Roman" w:hAnsi="Times New Roman" w:cs="Times New Roman"/>
      <w:sz w:val="24"/>
      <w:szCs w:val="24"/>
    </w:rPr>
  </w:style>
  <w:style w:type="character" w:customStyle="1" w:styleId="60">
    <w:name w:val="כותרת 6 תו"/>
    <w:aliases w:val="מספור לוחות 6 תו"/>
    <w:basedOn w:val="a0"/>
    <w:link w:val="6"/>
    <w:uiPriority w:val="9"/>
    <w:rsid w:val="00370BFA"/>
    <w:rPr>
      <w:rFonts w:asciiTheme="majorHAnsi" w:eastAsiaTheme="majorEastAsia" w:hAnsiTheme="majorHAnsi" w:cs="David"/>
      <w:bCs/>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F4430-C25B-47BB-8D9B-B1980A909B53}"/>
</file>

<file path=customXml/itemProps2.xml><?xml version="1.0" encoding="utf-8"?>
<ds:datastoreItem xmlns:ds="http://schemas.openxmlformats.org/officeDocument/2006/customXml" ds:itemID="{FEDD500B-11EB-44EF-88FE-9F94EBF9FCB5}"/>
</file>

<file path=customXml/itemProps3.xml><?xml version="1.0" encoding="utf-8"?>
<ds:datastoreItem xmlns:ds="http://schemas.openxmlformats.org/officeDocument/2006/customXml" ds:itemID="{D30A3A18-941C-4D75-9284-CD711A99D75F}"/>
</file>

<file path=customXml/itemProps4.xml><?xml version="1.0" encoding="utf-8"?>
<ds:datastoreItem xmlns:ds="http://schemas.openxmlformats.org/officeDocument/2006/customXml" ds:itemID="{4320541D-24C0-4644-A149-D60B26B58AC3}"/>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5250</Characters>
  <Application>Microsoft Office Word</Application>
  <DocSecurity>4</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יוסי סעדון</dc:creator>
  <cp:lastModifiedBy>מיטל רפאלי</cp:lastModifiedBy>
  <cp:revision>2</cp:revision>
  <cp:lastPrinted>2018-12-20T08:40:00Z</cp:lastPrinted>
  <dcterms:created xsi:type="dcterms:W3CDTF">2018-12-23T08:31:00Z</dcterms:created>
  <dcterms:modified xsi:type="dcterms:W3CDTF">2018-12-23T08:31:00Z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