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01"/>
        <w:bidiVisual/>
        <w:tblW w:w="9530" w:type="dxa"/>
        <w:tblLayout w:type="fixed"/>
        <w:tblLook w:val="0000" w:firstRow="0" w:lastRow="0" w:firstColumn="0" w:lastColumn="0" w:noHBand="0" w:noVBand="0"/>
      </w:tblPr>
      <w:tblGrid>
        <w:gridCol w:w="3343"/>
        <w:gridCol w:w="2596"/>
        <w:gridCol w:w="3591"/>
      </w:tblGrid>
      <w:tr w:rsidR="00FB403C" w:rsidRPr="003A1E5D" w:rsidTr="00986301">
        <w:tc>
          <w:tcPr>
            <w:tcW w:w="3343" w:type="dxa"/>
            <w:tcBorders>
              <w:top w:val="nil"/>
              <w:left w:val="nil"/>
              <w:bottom w:val="nil"/>
              <w:right w:val="nil"/>
            </w:tcBorders>
            <w:vAlign w:val="center"/>
          </w:tcPr>
          <w:p w:rsidR="00FB403C" w:rsidRPr="003A1E5D" w:rsidRDefault="00FB403C" w:rsidP="00986301">
            <w:pPr>
              <w:pStyle w:val="a3"/>
              <w:spacing w:line="360" w:lineRule="auto"/>
              <w:ind w:left="501"/>
              <w:rPr>
                <w:rFonts w:ascii="David" w:hAnsi="David" w:cs="David"/>
                <w:b/>
                <w:bCs/>
                <w:sz w:val="28"/>
                <w:szCs w:val="28"/>
              </w:rPr>
            </w:pPr>
            <w:r w:rsidRPr="003A1E5D">
              <w:rPr>
                <w:rFonts w:ascii="David" w:hAnsi="David" w:cs="David"/>
                <w:b/>
                <w:bCs/>
                <w:sz w:val="28"/>
                <w:szCs w:val="28"/>
                <w:rtl/>
              </w:rPr>
              <w:t>בנק ישראל</w:t>
            </w:r>
          </w:p>
          <w:p w:rsidR="00FB403C" w:rsidRPr="003A1E5D" w:rsidRDefault="00FB403C" w:rsidP="00986301">
            <w:pPr>
              <w:pStyle w:val="a3"/>
              <w:spacing w:line="360" w:lineRule="auto"/>
              <w:ind w:left="501" w:right="-101"/>
              <w:rPr>
                <w:rFonts w:ascii="David" w:hAnsi="David" w:cs="David"/>
              </w:rPr>
            </w:pPr>
            <w:r w:rsidRPr="003A1E5D">
              <w:rPr>
                <w:rFonts w:ascii="David" w:hAnsi="David" w:cs="David"/>
                <w:rtl/>
              </w:rPr>
              <w:t>דוברות והסברה כלכלית</w:t>
            </w:r>
          </w:p>
        </w:tc>
        <w:tc>
          <w:tcPr>
            <w:tcW w:w="2596" w:type="dxa"/>
            <w:tcBorders>
              <w:top w:val="nil"/>
              <w:left w:val="nil"/>
              <w:bottom w:val="nil"/>
              <w:right w:val="nil"/>
            </w:tcBorders>
            <w:shd w:val="clear" w:color="auto" w:fill="FFFFFF"/>
          </w:tcPr>
          <w:p w:rsidR="00FB403C" w:rsidRPr="003A1E5D" w:rsidRDefault="00FB403C" w:rsidP="00986301">
            <w:pPr>
              <w:jc w:val="center"/>
              <w:rPr>
                <w:rFonts w:ascii="David" w:hAnsi="David" w:cs="David"/>
              </w:rPr>
            </w:pPr>
            <w:r w:rsidRPr="003A1E5D">
              <w:rPr>
                <w:rFonts w:ascii="David" w:hAnsi="David" w:cs="David"/>
                <w:noProof/>
              </w:rPr>
              <w:drawing>
                <wp:anchor distT="0" distB="0" distL="114300" distR="114300" simplePos="0" relativeHeight="251659264" behindDoc="0" locked="0" layoutInCell="1" allowOverlap="1" wp14:anchorId="4058495D" wp14:editId="16033946">
                  <wp:simplePos x="0" y="0"/>
                  <wp:positionH relativeFrom="column">
                    <wp:posOffset>47625</wp:posOffset>
                  </wp:positionH>
                  <wp:positionV relativeFrom="paragraph">
                    <wp:posOffset>-228600</wp:posOffset>
                  </wp:positionV>
                  <wp:extent cx="842645" cy="84264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1" w:type="dxa"/>
            <w:tcBorders>
              <w:top w:val="nil"/>
              <w:left w:val="nil"/>
              <w:bottom w:val="nil"/>
              <w:right w:val="nil"/>
            </w:tcBorders>
            <w:vAlign w:val="center"/>
          </w:tcPr>
          <w:p w:rsidR="00FB403C" w:rsidRPr="003A1E5D" w:rsidRDefault="00FB403C" w:rsidP="00986301">
            <w:pPr>
              <w:spacing w:line="480" w:lineRule="auto"/>
              <w:jc w:val="right"/>
              <w:rPr>
                <w:rFonts w:ascii="David" w:hAnsi="David" w:cs="David"/>
                <w:rtl/>
              </w:rPr>
            </w:pPr>
            <w:r w:rsidRPr="003A1E5D">
              <w:rPr>
                <w:rFonts w:ascii="David" w:hAnsi="David" w:cs="David"/>
                <w:rtl/>
              </w:rPr>
              <w:t xml:space="preserve">‏ירושלים, </w:t>
            </w:r>
            <w:r w:rsidRPr="003A1E5D">
              <w:rPr>
                <w:rFonts w:ascii="David" w:hAnsi="David" w:cs="David"/>
                <w:rtl/>
              </w:rPr>
              <w:fldChar w:fldCharType="begin"/>
            </w:r>
            <w:r w:rsidRPr="003A1E5D">
              <w:rPr>
                <w:rFonts w:ascii="David" w:hAnsi="David" w:cs="David"/>
                <w:rtl/>
              </w:rPr>
              <w:instrText xml:space="preserve"> </w:instrText>
            </w:r>
            <w:r w:rsidRPr="003A1E5D">
              <w:rPr>
                <w:rFonts w:ascii="David" w:hAnsi="David" w:cs="David"/>
              </w:rPr>
              <w:instrText>DATE</w:instrText>
            </w:r>
            <w:r w:rsidRPr="003A1E5D">
              <w:rPr>
                <w:rFonts w:ascii="David" w:hAnsi="David" w:cs="David"/>
                <w:rtl/>
              </w:rPr>
              <w:instrText xml:space="preserve"> \@ "</w:instrText>
            </w:r>
            <w:r w:rsidRPr="003A1E5D">
              <w:rPr>
                <w:rFonts w:ascii="David" w:hAnsi="David" w:cs="David"/>
              </w:rPr>
              <w:instrText>d MMMM, yyyy" \h</w:instrText>
            </w:r>
            <w:r w:rsidRPr="003A1E5D">
              <w:rPr>
                <w:rFonts w:ascii="David" w:hAnsi="David" w:cs="David"/>
                <w:rtl/>
              </w:rPr>
              <w:instrText xml:space="preserve"> </w:instrText>
            </w:r>
            <w:r w:rsidRPr="003A1E5D">
              <w:rPr>
                <w:rFonts w:ascii="David" w:hAnsi="David" w:cs="David"/>
                <w:rtl/>
              </w:rPr>
              <w:fldChar w:fldCharType="separate"/>
            </w:r>
            <w:r>
              <w:rPr>
                <w:rFonts w:ascii="David" w:hAnsi="David" w:cs="David"/>
                <w:noProof/>
                <w:rtl/>
              </w:rPr>
              <w:t>‏י"ז אדר ב, תשפ"ד</w:t>
            </w:r>
            <w:r w:rsidRPr="003A1E5D">
              <w:rPr>
                <w:rFonts w:ascii="David" w:hAnsi="David" w:cs="David"/>
                <w:rtl/>
              </w:rPr>
              <w:fldChar w:fldCharType="end"/>
            </w:r>
          </w:p>
          <w:p w:rsidR="00FB403C" w:rsidRPr="003A1E5D" w:rsidRDefault="00FB403C" w:rsidP="00986301">
            <w:pPr>
              <w:spacing w:line="480" w:lineRule="auto"/>
              <w:jc w:val="right"/>
              <w:rPr>
                <w:rFonts w:ascii="David" w:hAnsi="David" w:cs="David"/>
              </w:rPr>
            </w:pPr>
            <w:r w:rsidRPr="003A1E5D">
              <w:rPr>
                <w:rFonts w:ascii="David" w:hAnsi="David" w:cs="David"/>
                <w:rtl/>
              </w:rPr>
              <w:fldChar w:fldCharType="begin"/>
            </w:r>
            <w:r w:rsidRPr="003A1E5D">
              <w:rPr>
                <w:rFonts w:ascii="David" w:hAnsi="David" w:cs="David"/>
                <w:rtl/>
              </w:rPr>
              <w:instrText xml:space="preserve"> </w:instrText>
            </w:r>
            <w:r w:rsidRPr="003A1E5D">
              <w:rPr>
                <w:rFonts w:ascii="David" w:hAnsi="David" w:cs="David"/>
              </w:rPr>
              <w:instrText>DATE</w:instrText>
            </w:r>
            <w:r w:rsidRPr="003A1E5D">
              <w:rPr>
                <w:rFonts w:ascii="David" w:hAnsi="David" w:cs="David"/>
                <w:rtl/>
              </w:rPr>
              <w:instrText xml:space="preserve"> \@ "</w:instrText>
            </w:r>
            <w:r w:rsidRPr="003A1E5D">
              <w:rPr>
                <w:rFonts w:ascii="David" w:hAnsi="David" w:cs="David"/>
              </w:rPr>
              <w:instrText>d MMMM, yyyy</w:instrText>
            </w:r>
            <w:r w:rsidRPr="003A1E5D">
              <w:rPr>
                <w:rFonts w:ascii="David" w:hAnsi="David" w:cs="David"/>
                <w:rtl/>
              </w:rPr>
              <w:instrText xml:space="preserve">" </w:instrText>
            </w:r>
            <w:r w:rsidRPr="003A1E5D">
              <w:rPr>
                <w:rFonts w:ascii="David" w:hAnsi="David" w:cs="David"/>
                <w:rtl/>
              </w:rPr>
              <w:fldChar w:fldCharType="separate"/>
            </w:r>
            <w:r>
              <w:rPr>
                <w:rFonts w:ascii="David" w:hAnsi="David" w:cs="David"/>
                <w:noProof/>
                <w:rtl/>
              </w:rPr>
              <w:t>‏27 מרץ, 2024</w:t>
            </w:r>
            <w:r w:rsidRPr="003A1E5D">
              <w:rPr>
                <w:rFonts w:ascii="David" w:hAnsi="David" w:cs="David"/>
                <w:rtl/>
              </w:rPr>
              <w:fldChar w:fldCharType="end"/>
            </w:r>
          </w:p>
        </w:tc>
      </w:tr>
    </w:tbl>
    <w:p w:rsidR="00FB403C" w:rsidRPr="003A1E5D" w:rsidRDefault="00FB403C" w:rsidP="00FB403C">
      <w:pPr>
        <w:spacing w:line="360" w:lineRule="auto"/>
        <w:jc w:val="both"/>
        <w:rPr>
          <w:rFonts w:ascii="David" w:hAnsi="David" w:cs="David"/>
          <w:rtl/>
        </w:rPr>
      </w:pPr>
    </w:p>
    <w:p w:rsidR="00FB403C" w:rsidRPr="00FB403C" w:rsidRDefault="00FB403C" w:rsidP="00FB403C">
      <w:pPr>
        <w:spacing w:line="360" w:lineRule="auto"/>
        <w:jc w:val="both"/>
        <w:rPr>
          <w:rFonts w:ascii="David" w:hAnsi="David" w:cs="David"/>
          <w:rtl/>
        </w:rPr>
      </w:pPr>
      <w:r w:rsidRPr="003A1E5D">
        <w:rPr>
          <w:rFonts w:ascii="David" w:hAnsi="David" w:cs="David"/>
          <w:rtl/>
        </w:rPr>
        <w:t>הודעה לעיתונות:</w:t>
      </w:r>
    </w:p>
    <w:p w:rsidR="00FB403C" w:rsidRPr="002F78FC" w:rsidRDefault="00FB403C" w:rsidP="00FB403C">
      <w:pPr>
        <w:pStyle w:val="1"/>
        <w:spacing w:line="360" w:lineRule="auto"/>
        <w:jc w:val="center"/>
        <w:rPr>
          <w:rFonts w:ascii="David" w:hAnsi="David" w:cs="David"/>
          <w:b/>
          <w:bCs/>
          <w:color w:val="44546A" w:themeColor="text2"/>
          <w:rtl/>
        </w:rPr>
      </w:pPr>
      <w:r w:rsidRPr="00730B12">
        <w:rPr>
          <w:rFonts w:ascii="David" w:eastAsiaTheme="minorHAnsi" w:hAnsi="David" w:cs="David" w:hint="cs"/>
          <w:b/>
          <w:bCs/>
          <w:color w:val="44546A" w:themeColor="text2"/>
          <w:rtl/>
        </w:rPr>
        <w:t>קטע מתוך דו"ח בנק ישראל:</w:t>
      </w:r>
      <w:r>
        <w:rPr>
          <w:rFonts w:ascii="David" w:eastAsiaTheme="minorHAnsi" w:hAnsi="David" w:cs="David" w:hint="cs"/>
          <w:b/>
          <w:bCs/>
          <w:color w:val="44546A" w:themeColor="text2"/>
          <w:rtl/>
        </w:rPr>
        <w:t xml:space="preserve"> </w:t>
      </w:r>
      <w:r w:rsidRPr="002F78FC">
        <w:rPr>
          <w:rFonts w:ascii="David" w:hAnsi="David" w:cs="David"/>
          <w:b/>
          <w:bCs/>
          <w:color w:val="44546A" w:themeColor="text2"/>
          <w:rtl/>
        </w:rPr>
        <w:t>מאפיינים חברתיים</w:t>
      </w:r>
      <w:r>
        <w:rPr>
          <w:rFonts w:ascii="David" w:hAnsi="David" w:cs="David" w:hint="cs"/>
          <w:b/>
          <w:bCs/>
          <w:color w:val="44546A" w:themeColor="text2"/>
          <w:rtl/>
        </w:rPr>
        <w:t>-</w:t>
      </w:r>
      <w:r w:rsidRPr="002F78FC">
        <w:rPr>
          <w:rFonts w:ascii="David" w:hAnsi="David" w:cs="David"/>
          <w:b/>
          <w:bCs/>
          <w:color w:val="44546A" w:themeColor="text2"/>
          <w:rtl/>
        </w:rPr>
        <w:t xml:space="preserve">כלכליים, מדיניות ודפוסי הגירה </w:t>
      </w:r>
      <w:r>
        <w:rPr>
          <w:rFonts w:ascii="David" w:hAnsi="David" w:cs="David" w:hint="cs"/>
          <w:b/>
          <w:bCs/>
          <w:color w:val="44546A" w:themeColor="text2"/>
          <w:rtl/>
        </w:rPr>
        <w:t xml:space="preserve">ביישובים שבקרבת קו העימות במלחמת </w:t>
      </w:r>
      <w:r w:rsidRPr="002F78FC">
        <w:rPr>
          <w:rFonts w:ascii="David" w:hAnsi="David" w:cs="David"/>
          <w:b/>
          <w:bCs/>
          <w:color w:val="44546A" w:themeColor="text2"/>
          <w:rtl/>
        </w:rPr>
        <w:t>"חרבות ברזל"</w:t>
      </w:r>
      <w:r>
        <w:rPr>
          <w:rStyle w:val="a7"/>
          <w:rFonts w:ascii="David" w:hAnsi="David" w:cs="David"/>
          <w:b/>
          <w:bCs/>
          <w:color w:val="44546A" w:themeColor="text2"/>
          <w:rtl/>
        </w:rPr>
        <w:footnoteReference w:id="1"/>
      </w:r>
    </w:p>
    <w:p w:rsidR="00FB403C" w:rsidRDefault="00FB403C" w:rsidP="00FB403C">
      <w:pPr>
        <w:pStyle w:val="a3"/>
        <w:numPr>
          <w:ilvl w:val="0"/>
          <w:numId w:val="1"/>
        </w:numPr>
        <w:spacing w:line="360" w:lineRule="auto"/>
        <w:jc w:val="both"/>
        <w:rPr>
          <w:rFonts w:ascii="David" w:hAnsi="David" w:cs="David"/>
          <w:sz w:val="24"/>
          <w:szCs w:val="24"/>
        </w:rPr>
      </w:pPr>
      <w:r w:rsidRPr="00C06315">
        <w:rPr>
          <w:rFonts w:ascii="David" w:hAnsi="David" w:cs="David" w:hint="cs"/>
          <w:sz w:val="24"/>
          <w:szCs w:val="24"/>
          <w:rtl/>
        </w:rPr>
        <w:t>עם פרוץ מלחמת "חרבות ברזל" פונו לתקופה ממושכת יישובים בנגב המערבי ובגבול לבנון. אף שהפינוי מומן בידי המדינה, וכלל תמיכה כלכלית בא</w:t>
      </w:r>
      <w:bookmarkStart w:id="0" w:name="_GoBack"/>
      <w:bookmarkEnd w:id="0"/>
      <w:r w:rsidRPr="00C06315">
        <w:rPr>
          <w:rFonts w:ascii="David" w:hAnsi="David" w:cs="David" w:hint="cs"/>
          <w:sz w:val="24"/>
          <w:szCs w:val="24"/>
          <w:rtl/>
        </w:rPr>
        <w:t>וכלוסיות שפונו, הוא עלול לפגוע בתפקודן בשוק העבודה, בתפקוד ילדיהן במערכת החינוך וברווחתן.</w:t>
      </w:r>
    </w:p>
    <w:p w:rsidR="00FB403C" w:rsidRPr="00495CA3" w:rsidRDefault="00FB403C" w:rsidP="00FB403C">
      <w:pPr>
        <w:pStyle w:val="a3"/>
        <w:numPr>
          <w:ilvl w:val="0"/>
          <w:numId w:val="1"/>
        </w:numPr>
        <w:spacing w:line="360" w:lineRule="auto"/>
        <w:jc w:val="both"/>
        <w:rPr>
          <w:rFonts w:ascii="David" w:hAnsi="David" w:cs="David"/>
          <w:sz w:val="24"/>
          <w:szCs w:val="24"/>
        </w:rPr>
      </w:pPr>
      <w:r w:rsidRPr="00495CA3">
        <w:rPr>
          <w:rFonts w:ascii="David" w:hAnsi="David" w:cs="David" w:hint="cs"/>
          <w:sz w:val="24"/>
          <w:szCs w:val="24"/>
          <w:rtl/>
        </w:rPr>
        <w:t xml:space="preserve">בעקבות המלחמה נדרשות עבודות שיקום פיזי משמעותיות בחלק מן היישובים, ולאוכלוסייה שפונתה יש לסייע בטווח הקצר בתחומים אזרחיים מגוונים, לרבות בתחום התעסוקה, שכן עבור רבים מהם התעסוקה קשורה לאזור המגורים. </w:t>
      </w:r>
    </w:p>
    <w:p w:rsidR="00FB403C" w:rsidRPr="00495CA3" w:rsidRDefault="00FB403C" w:rsidP="00FB403C">
      <w:pPr>
        <w:pStyle w:val="a3"/>
        <w:numPr>
          <w:ilvl w:val="0"/>
          <w:numId w:val="1"/>
        </w:numPr>
        <w:spacing w:line="360" w:lineRule="auto"/>
        <w:jc w:val="both"/>
        <w:rPr>
          <w:rFonts w:ascii="David" w:hAnsi="David" w:cs="David"/>
          <w:color w:val="70AD47" w:themeColor="accent6"/>
          <w:sz w:val="24"/>
          <w:szCs w:val="24"/>
        </w:rPr>
      </w:pPr>
      <w:r w:rsidRPr="00495CA3">
        <w:rPr>
          <w:rFonts w:ascii="David" w:hAnsi="David" w:cs="David" w:hint="cs"/>
          <w:sz w:val="24"/>
          <w:szCs w:val="24"/>
          <w:rtl/>
        </w:rPr>
        <w:t>זמן קצר לאחר פרוץ המלחמה הקימה הממשלה את מִנהלת "תקומה" לשם שיקום חברתי, כלכלי ופיזי של היישובים שבמרחק עד 7 ק"מ מרצועת עזה ותושביהם. עד עתה לא הוחלט על הקמת מִנהלת מקבילה לטיפול בנושאים אזרחיים ושיקומיים הנוגעים ליישובי גבול לבנון שפונו ולתושביהם.</w:t>
      </w:r>
      <w:r w:rsidRPr="00495CA3">
        <w:rPr>
          <w:rFonts w:ascii="David" w:hAnsi="David" w:cs="David" w:hint="cs"/>
          <w:color w:val="70AD47" w:themeColor="accent6"/>
          <w:sz w:val="24"/>
          <w:szCs w:val="24"/>
          <w:rtl/>
        </w:rPr>
        <w:t xml:space="preserve"> </w:t>
      </w:r>
    </w:p>
    <w:p w:rsidR="00FB403C" w:rsidRPr="00495CA3" w:rsidRDefault="00FB403C" w:rsidP="00FB403C">
      <w:pPr>
        <w:pStyle w:val="a3"/>
        <w:numPr>
          <w:ilvl w:val="0"/>
          <w:numId w:val="1"/>
        </w:numPr>
        <w:spacing w:line="360" w:lineRule="auto"/>
        <w:jc w:val="both"/>
        <w:rPr>
          <w:rFonts w:ascii="David" w:hAnsi="David" w:cs="David"/>
          <w:sz w:val="24"/>
          <w:szCs w:val="24"/>
        </w:rPr>
      </w:pPr>
      <w:r w:rsidRPr="00495CA3">
        <w:rPr>
          <w:rFonts w:ascii="David" w:hAnsi="David" w:cs="David" w:hint="cs"/>
          <w:sz w:val="24"/>
          <w:szCs w:val="24"/>
          <w:rtl/>
        </w:rPr>
        <w:t>לאורך שנים מדינת ישראל תומכת באמצעים מגוונים במגורים בפריפריה הגיאוגרפית ובקרבת גבולות הארץ, ובצמצום פערים בין המרכז לפריפריה בהיקף השירותים הציבוריים ובפעילות המגזר העסקי. תמיכות נוספות על אלה צפויות להיכלל בתוכניות השיקום בעקבות המלחמה.</w:t>
      </w:r>
    </w:p>
    <w:p w:rsidR="00FB403C" w:rsidRPr="00495CA3" w:rsidRDefault="00FB403C" w:rsidP="00FB403C">
      <w:pPr>
        <w:pStyle w:val="a3"/>
        <w:numPr>
          <w:ilvl w:val="0"/>
          <w:numId w:val="1"/>
        </w:numPr>
        <w:spacing w:line="360" w:lineRule="auto"/>
        <w:jc w:val="both"/>
        <w:rPr>
          <w:rFonts w:ascii="David" w:hAnsi="David" w:cs="David"/>
          <w:sz w:val="24"/>
          <w:szCs w:val="24"/>
          <w:rtl/>
        </w:rPr>
      </w:pPr>
      <w:r w:rsidRPr="00495CA3">
        <w:rPr>
          <w:rFonts w:ascii="David" w:hAnsi="David" w:cs="David" w:hint="cs"/>
          <w:sz w:val="24"/>
          <w:szCs w:val="24"/>
          <w:rtl/>
        </w:rPr>
        <w:t xml:space="preserve">ניתוח המתייחס ליישובים שפונו במלחמה וליישובים נוספים בקרבתם, בנגב המערבי ובגבול לבנון, מצביע על הבדלים בין מאפייני האוכלוסיות הכפרית והעירונית: האוכלוסייה הכפרית משכילה יותר, שיעורי התעסוקה בקרבה גבוהים יותר, ובהתאם לאלה גם ההכנסות מעבודה גבוהות יותר. </w:t>
      </w:r>
    </w:p>
    <w:p w:rsidR="00FB403C" w:rsidRPr="00DD730C" w:rsidRDefault="00FB403C" w:rsidP="00FB403C">
      <w:pPr>
        <w:pStyle w:val="a3"/>
        <w:numPr>
          <w:ilvl w:val="0"/>
          <w:numId w:val="1"/>
        </w:numPr>
        <w:spacing w:line="360" w:lineRule="auto"/>
        <w:jc w:val="both"/>
        <w:rPr>
          <w:rFonts w:ascii="David" w:hAnsi="David" w:cs="David"/>
          <w:sz w:val="24"/>
          <w:szCs w:val="24"/>
        </w:rPr>
      </w:pPr>
      <w:r w:rsidRPr="00DD730C">
        <w:rPr>
          <w:rFonts w:ascii="David" w:hAnsi="David" w:cs="David" w:hint="cs"/>
          <w:sz w:val="24"/>
          <w:szCs w:val="24"/>
          <w:rtl/>
        </w:rPr>
        <w:t xml:space="preserve">למרות האיום הביטחוני התאפיינו </w:t>
      </w:r>
      <w:proofErr w:type="spellStart"/>
      <w:r w:rsidRPr="00DD730C">
        <w:rPr>
          <w:rFonts w:ascii="David" w:hAnsi="David" w:cs="David" w:hint="cs"/>
          <w:sz w:val="24"/>
          <w:szCs w:val="24"/>
          <w:rtl/>
        </w:rPr>
        <w:t>ישובי</w:t>
      </w:r>
      <w:proofErr w:type="spellEnd"/>
      <w:r w:rsidRPr="00DD730C">
        <w:rPr>
          <w:rFonts w:ascii="David" w:hAnsi="David" w:cs="David" w:hint="cs"/>
          <w:sz w:val="24"/>
          <w:szCs w:val="24"/>
          <w:rtl/>
        </w:rPr>
        <w:t xml:space="preserve"> הנגב המערבי בשנים האחרונות בהגירה חיובית (נטו) אליהם, ובמיוחד לעירוניים שבהם. הגירה חיובית זו הושפעה גם ממחירי הדירות הזולים, יחסית למרכז הארץ, מהגדלת היצע הדיור ומפיתוח תשתיות, כגון תחנות רכבת. ההגירה נטו ליישובים העירוניים בגבול לבנון הייתה נמוכה.</w:t>
      </w:r>
    </w:p>
    <w:p w:rsidR="00B214D8" w:rsidRDefault="00FB403C" w:rsidP="00FB403C">
      <w:pPr>
        <w:pStyle w:val="a3"/>
        <w:numPr>
          <w:ilvl w:val="0"/>
          <w:numId w:val="1"/>
        </w:numPr>
        <w:spacing w:line="360" w:lineRule="auto"/>
      </w:pPr>
      <w:r w:rsidRPr="00FB403C">
        <w:rPr>
          <w:rFonts w:ascii="David" w:hAnsi="David" w:cs="David" w:hint="cs"/>
          <w:sz w:val="24"/>
          <w:szCs w:val="24"/>
          <w:rtl/>
        </w:rPr>
        <w:t xml:space="preserve">חשוב שתכנון תהליכים ארוכי טווח </w:t>
      </w:r>
      <w:r w:rsidRPr="00FB403C">
        <w:rPr>
          <w:rFonts w:ascii="David" w:hAnsi="David" w:cs="David" w:hint="eastAsia"/>
          <w:sz w:val="24"/>
          <w:szCs w:val="24"/>
          <w:rtl/>
        </w:rPr>
        <w:t>–</w:t>
      </w:r>
      <w:r w:rsidRPr="00FB403C">
        <w:rPr>
          <w:rFonts w:ascii="David" w:hAnsi="David" w:cs="David" w:hint="cs"/>
          <w:sz w:val="24"/>
          <w:szCs w:val="24"/>
          <w:rtl/>
        </w:rPr>
        <w:t xml:space="preserve"> ובפרט לגבי תשתיות תחבורה, תעסוקה ואחרות, חיזוק הרשויות המקומיות ופיתוח כלכלי – יתייחס לכלל המרחב הגיאוגרפי המשותף לאזורי העימות ולחבלי הארץ הסמוכים אליהם, ולא יתמקד רק ביישובים שהוגדרו במסגרת "חבל התקומה". זאת כדי לאזן בין הצורך לסייע לאזורים שנפגעו ישירות מהמלחמה לבין הצורך לסייע לאלה שנפגעו ממנה בעקיפין </w:t>
      </w:r>
      <w:r w:rsidRPr="00FB403C">
        <w:rPr>
          <w:rFonts w:ascii="David" w:hAnsi="David" w:cs="David" w:hint="eastAsia"/>
          <w:sz w:val="24"/>
          <w:szCs w:val="24"/>
          <w:rtl/>
        </w:rPr>
        <w:t>או</w:t>
      </w:r>
      <w:r w:rsidRPr="00FB403C">
        <w:rPr>
          <w:rFonts w:ascii="David" w:hAnsi="David" w:cs="David"/>
          <w:sz w:val="24"/>
          <w:szCs w:val="24"/>
          <w:rtl/>
        </w:rPr>
        <w:t xml:space="preserve"> </w:t>
      </w:r>
      <w:r w:rsidRPr="00FB403C">
        <w:rPr>
          <w:rFonts w:ascii="David" w:hAnsi="David" w:cs="David" w:hint="eastAsia"/>
          <w:sz w:val="24"/>
          <w:szCs w:val="24"/>
          <w:rtl/>
        </w:rPr>
        <w:t>במידה</w:t>
      </w:r>
      <w:r w:rsidRPr="00FB403C">
        <w:rPr>
          <w:rFonts w:ascii="David" w:hAnsi="David" w:cs="David"/>
          <w:sz w:val="24"/>
          <w:szCs w:val="24"/>
          <w:rtl/>
        </w:rPr>
        <w:t xml:space="preserve"> </w:t>
      </w:r>
      <w:r w:rsidRPr="00FB403C">
        <w:rPr>
          <w:rFonts w:ascii="David" w:hAnsi="David" w:cs="David" w:hint="eastAsia"/>
          <w:sz w:val="24"/>
          <w:szCs w:val="24"/>
          <w:rtl/>
        </w:rPr>
        <w:t>פחותה</w:t>
      </w:r>
      <w:r w:rsidRPr="00FB403C">
        <w:rPr>
          <w:rFonts w:ascii="David" w:hAnsi="David" w:cs="David" w:hint="cs"/>
          <w:sz w:val="24"/>
          <w:szCs w:val="24"/>
          <w:rtl/>
        </w:rPr>
        <w:t>, וכן ליהנות מיתרונות לגודל של טיפול באזור כולו ולתמוך בצמיחה אזורית בשנים הבאות.</w:t>
      </w:r>
    </w:p>
    <w:sectPr w:rsidR="00B214D8" w:rsidSect="00EC2B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3C" w:rsidRDefault="00FB403C" w:rsidP="00FB403C">
      <w:pPr>
        <w:spacing w:after="0" w:line="240" w:lineRule="auto"/>
      </w:pPr>
      <w:r>
        <w:separator/>
      </w:r>
    </w:p>
  </w:endnote>
  <w:endnote w:type="continuationSeparator" w:id="0">
    <w:p w:rsidR="00FB403C" w:rsidRDefault="00FB403C" w:rsidP="00FB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3C" w:rsidRDefault="00FB403C" w:rsidP="00FB403C">
      <w:pPr>
        <w:spacing w:after="0" w:line="240" w:lineRule="auto"/>
      </w:pPr>
      <w:r>
        <w:separator/>
      </w:r>
    </w:p>
  </w:footnote>
  <w:footnote w:type="continuationSeparator" w:id="0">
    <w:p w:rsidR="00FB403C" w:rsidRDefault="00FB403C" w:rsidP="00FB403C">
      <w:pPr>
        <w:spacing w:after="0" w:line="240" w:lineRule="auto"/>
      </w:pPr>
      <w:r>
        <w:continuationSeparator/>
      </w:r>
    </w:p>
  </w:footnote>
  <w:footnote w:id="1">
    <w:p w:rsidR="00FB403C" w:rsidRPr="00453D08" w:rsidRDefault="00FB403C" w:rsidP="00FB403C">
      <w:pPr>
        <w:pStyle w:val="a5"/>
        <w:rPr>
          <w:rFonts w:ascii="David" w:hAnsi="David" w:cs="David"/>
          <w:rtl/>
        </w:rPr>
      </w:pPr>
      <w:r w:rsidRPr="00453D08">
        <w:rPr>
          <w:rStyle w:val="a7"/>
          <w:rFonts w:ascii="David" w:hAnsi="David" w:cs="David"/>
        </w:rPr>
        <w:footnoteRef/>
      </w:r>
      <w:r w:rsidRPr="00453D08">
        <w:rPr>
          <w:rFonts w:ascii="David" w:hAnsi="David" w:cs="David"/>
          <w:rtl/>
        </w:rPr>
        <w:t xml:space="preserve"> תודות לעובדי הלשכה המרכזית לסטטיסטיקה על הכנת ק</w:t>
      </w:r>
      <w:r>
        <w:rPr>
          <w:rFonts w:ascii="David" w:hAnsi="David" w:cs="David" w:hint="cs"/>
          <w:rtl/>
        </w:rPr>
        <w:t>ו</w:t>
      </w:r>
      <w:r w:rsidRPr="00453D08">
        <w:rPr>
          <w:rFonts w:ascii="David" w:hAnsi="David" w:cs="David"/>
          <w:rtl/>
        </w:rPr>
        <w:t>בצי הנתונים ששימשו לצורך הניתוחים בפרק</w:t>
      </w:r>
      <w:r>
        <w:rPr>
          <w:rFonts w:ascii="David" w:hAnsi="David" w:cs="David" w:hint="cs"/>
          <w:rtl/>
        </w:rPr>
        <w:t xml:space="preserve"> והמפות</w:t>
      </w:r>
      <w:r w:rsidRPr="00453D08">
        <w:rPr>
          <w:rFonts w:ascii="David" w:hAnsi="David" w:cs="David"/>
          <w:rtl/>
        </w:rPr>
        <w:t>.</w:t>
      </w:r>
      <w:r>
        <w:rPr>
          <w:rFonts w:ascii="David" w:hAnsi="David" w:cs="David" w:hint="cs"/>
          <w:rtl/>
        </w:rPr>
        <w:t xml:space="preserve"> נתוני מפקד האוכלוסין המובאים בפרק אינם סופיים.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5B6E"/>
    <w:multiLevelType w:val="hybridMultilevel"/>
    <w:tmpl w:val="6C3A6070"/>
    <w:lvl w:ilvl="0" w:tplc="0B60E31E">
      <w:numFmt w:val="bullet"/>
      <w:lvlText w:val=""/>
      <w:lvlJc w:val="left"/>
      <w:pPr>
        <w:ind w:left="360" w:hanging="360"/>
      </w:pPr>
      <w:rPr>
        <w:rFonts w:ascii="Symbol" w:eastAsiaTheme="majorEastAsia"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3C"/>
    <w:rsid w:val="000C41A8"/>
    <w:rsid w:val="0025254B"/>
    <w:rsid w:val="005970E0"/>
    <w:rsid w:val="00764C5E"/>
    <w:rsid w:val="00821388"/>
    <w:rsid w:val="00847A88"/>
    <w:rsid w:val="008C12A4"/>
    <w:rsid w:val="00A4182E"/>
    <w:rsid w:val="00B214D8"/>
    <w:rsid w:val="00B477DB"/>
    <w:rsid w:val="00C71DBF"/>
    <w:rsid w:val="00E529D6"/>
    <w:rsid w:val="00EC2B16"/>
    <w:rsid w:val="00FB4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958D"/>
  <w15:chartTrackingRefBased/>
  <w15:docId w15:val="{D4689DB9-0744-4BB4-B5A1-B6101D4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3C"/>
    <w:pPr>
      <w:bidi/>
      <w:spacing w:after="200" w:line="276" w:lineRule="auto"/>
    </w:pPr>
  </w:style>
  <w:style w:type="paragraph" w:styleId="1">
    <w:name w:val="heading 1"/>
    <w:basedOn w:val="a"/>
    <w:next w:val="a"/>
    <w:link w:val="10"/>
    <w:uiPriority w:val="9"/>
    <w:qFormat/>
    <w:rsid w:val="00FB4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B403C"/>
    <w:rPr>
      <w:rFonts w:asciiTheme="majorHAnsi" w:eastAsiaTheme="majorEastAsia" w:hAnsiTheme="majorHAnsi" w:cstheme="majorBidi"/>
      <w:color w:val="2E74B5" w:themeColor="accent1" w:themeShade="BF"/>
      <w:sz w:val="32"/>
      <w:szCs w:val="32"/>
    </w:rPr>
  </w:style>
  <w:style w:type="paragraph" w:styleId="a3">
    <w:name w:val="List Paragraph"/>
    <w:aliases w:val="פיסקת רשימה12,פיסקת רשימה121,פיסקת רשימה2,פיסקת רשימה11"/>
    <w:basedOn w:val="a"/>
    <w:link w:val="a4"/>
    <w:uiPriority w:val="34"/>
    <w:qFormat/>
    <w:rsid w:val="00FB403C"/>
    <w:pPr>
      <w:ind w:left="720"/>
      <w:contextualSpacing/>
    </w:pPr>
  </w:style>
  <w:style w:type="paragraph" w:styleId="a5">
    <w:name w:val="footnote text"/>
    <w:basedOn w:val="a"/>
    <w:link w:val="a6"/>
    <w:uiPriority w:val="99"/>
    <w:semiHidden/>
    <w:unhideWhenUsed/>
    <w:rsid w:val="00FB403C"/>
    <w:pPr>
      <w:spacing w:after="0" w:line="240" w:lineRule="auto"/>
    </w:pPr>
    <w:rPr>
      <w:sz w:val="20"/>
      <w:szCs w:val="20"/>
    </w:rPr>
  </w:style>
  <w:style w:type="character" w:customStyle="1" w:styleId="a6">
    <w:name w:val="טקסט הערת שוליים תו"/>
    <w:basedOn w:val="a0"/>
    <w:link w:val="a5"/>
    <w:uiPriority w:val="99"/>
    <w:semiHidden/>
    <w:rsid w:val="00FB403C"/>
    <w:rPr>
      <w:sz w:val="20"/>
      <w:szCs w:val="20"/>
    </w:rPr>
  </w:style>
  <w:style w:type="character" w:styleId="a7">
    <w:name w:val="footnote reference"/>
    <w:basedOn w:val="a0"/>
    <w:uiPriority w:val="99"/>
    <w:semiHidden/>
    <w:unhideWhenUsed/>
    <w:rsid w:val="00FB403C"/>
    <w:rPr>
      <w:vertAlign w:val="superscript"/>
    </w:rPr>
  </w:style>
  <w:style w:type="character" w:customStyle="1" w:styleId="a4">
    <w:name w:val="פיסקת רשימה תו"/>
    <w:aliases w:val="פיסקת רשימה12 תו,פיסקת רשימה121 תו,פיסקת רשימה2 תו,פיסקת רשימה11 תו"/>
    <w:link w:val="a3"/>
    <w:uiPriority w:val="34"/>
    <w:locked/>
    <w:rsid w:val="00FB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1794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נווה שיף</dc:creator>
  <cp:keywords/>
  <dc:description/>
  <cp:lastModifiedBy>נווה שיף</cp:lastModifiedBy>
  <cp:revision>1</cp:revision>
  <dcterms:created xsi:type="dcterms:W3CDTF">2024-03-27T08:08:00Z</dcterms:created>
  <dcterms:modified xsi:type="dcterms:W3CDTF">2024-03-27T08:11:00Z</dcterms:modified>
</cp:coreProperties>
</file>