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FE457" w14:textId="77777777" w:rsidR="00A93FAB" w:rsidRDefault="00A93FAB" w:rsidP="00A93FAB">
      <w:pPr>
        <w:pStyle w:val="1"/>
        <w:numPr>
          <w:ilvl w:val="0"/>
          <w:numId w:val="0"/>
        </w:numPr>
        <w:tabs>
          <w:tab w:val="left" w:pos="180"/>
        </w:tabs>
        <w:bidi w:val="0"/>
        <w:spacing w:line="240" w:lineRule="auto"/>
        <w:ind w:right="32"/>
        <w:rPr>
          <w:rFonts w:ascii="Calibri" w:hAnsi="Calibri" w:cs="Calibri"/>
          <w:lang w:eastAsia="en-US"/>
        </w:rPr>
      </w:pPr>
    </w:p>
    <w:p w14:paraId="186D3B91" w14:textId="77777777" w:rsidR="00A93FAB" w:rsidRPr="00A93FAB" w:rsidRDefault="00A93FAB" w:rsidP="00A93FAB">
      <w:pPr>
        <w:jc w:val="center"/>
        <w:rPr>
          <w:rFonts w:asciiTheme="minorHAnsi" w:hAnsiTheme="minorHAnsi" w:cstheme="minorHAnsi"/>
          <w:rtl/>
        </w:rPr>
      </w:pPr>
      <w:r w:rsidRPr="009638B4">
        <w:rPr>
          <w:rFonts w:cstheme="majorBidi"/>
          <w:noProof/>
        </w:rPr>
        <w:drawing>
          <wp:inline distT="0" distB="0" distL="0" distR="0" wp14:anchorId="02249274" wp14:editId="50133053">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3192EDC9" w14:textId="77777777" w:rsidR="00A93FAB" w:rsidRPr="00A93FAB" w:rsidRDefault="00A93FAB" w:rsidP="00A93FAB">
      <w:pPr>
        <w:spacing w:line="300" w:lineRule="atLeast"/>
        <w:jc w:val="center"/>
        <w:rPr>
          <w:rFonts w:asciiTheme="minorHAnsi" w:eastAsia="Times New Roman" w:hAnsiTheme="minorHAnsi" w:cstheme="minorHAnsi"/>
          <w:b/>
          <w:bCs/>
        </w:rPr>
      </w:pPr>
      <w:r w:rsidRPr="00A93FAB">
        <w:rPr>
          <w:rFonts w:asciiTheme="minorHAnsi" w:eastAsia="Times New Roman" w:hAnsiTheme="minorHAnsi" w:cstheme="minorHAnsi"/>
          <w:b/>
          <w:bCs/>
        </w:rPr>
        <w:t>BANK OF ISRAEL</w:t>
      </w:r>
    </w:p>
    <w:p w14:paraId="6CB91621" w14:textId="77777777" w:rsidR="00A93FAB" w:rsidRPr="00A93FAB" w:rsidRDefault="00A93FAB" w:rsidP="00A93FAB">
      <w:pPr>
        <w:spacing w:line="300" w:lineRule="atLeast"/>
        <w:jc w:val="center"/>
        <w:rPr>
          <w:rFonts w:asciiTheme="minorHAnsi" w:eastAsia="Times New Roman" w:hAnsiTheme="minorHAnsi" w:cstheme="minorHAnsi"/>
        </w:rPr>
      </w:pPr>
      <w:r w:rsidRPr="00A93FAB">
        <w:rPr>
          <w:rFonts w:asciiTheme="minorHAnsi" w:eastAsia="Times New Roman" w:hAnsiTheme="minorHAnsi" w:cstheme="minorHAnsi"/>
        </w:rPr>
        <w:t>Office of the Spokesperson and Economic Information</w:t>
      </w:r>
    </w:p>
    <w:p w14:paraId="220EFA97" w14:textId="5F7B9320" w:rsidR="00A93FAB" w:rsidRPr="00A93FAB" w:rsidRDefault="00A93FAB" w:rsidP="00A93FAB">
      <w:pPr>
        <w:jc w:val="both"/>
        <w:rPr>
          <w:rFonts w:asciiTheme="minorHAnsi" w:hAnsiTheme="minorHAnsi" w:cstheme="minorHAnsi"/>
        </w:rPr>
      </w:pPr>
      <w:r w:rsidRPr="00A93FAB">
        <w:rPr>
          <w:rFonts w:asciiTheme="minorHAnsi" w:hAnsiTheme="minorHAnsi" w:cstheme="minorHAnsi"/>
        </w:rPr>
        <w:br/>
      </w:r>
    </w:p>
    <w:p w14:paraId="076DC00C" w14:textId="77777777" w:rsidR="00A93FAB" w:rsidRDefault="00A93FAB" w:rsidP="00A93FAB">
      <w:pPr>
        <w:pStyle w:val="1"/>
        <w:numPr>
          <w:ilvl w:val="0"/>
          <w:numId w:val="0"/>
        </w:numPr>
        <w:tabs>
          <w:tab w:val="left" w:pos="180"/>
        </w:tabs>
        <w:bidi w:val="0"/>
        <w:spacing w:line="240" w:lineRule="auto"/>
        <w:ind w:right="32"/>
        <w:jc w:val="right"/>
        <w:rPr>
          <w:rFonts w:ascii="Calibri" w:hAnsi="Calibri" w:cs="Calibri"/>
          <w:lang w:eastAsia="en-US"/>
        </w:rPr>
      </w:pPr>
    </w:p>
    <w:p w14:paraId="64AAE77F" w14:textId="33B0244F" w:rsidR="006A415B" w:rsidRDefault="00DF60FF" w:rsidP="00A93FAB">
      <w:pPr>
        <w:pStyle w:val="1"/>
        <w:numPr>
          <w:ilvl w:val="0"/>
          <w:numId w:val="0"/>
        </w:numPr>
        <w:tabs>
          <w:tab w:val="left" w:pos="180"/>
        </w:tabs>
        <w:bidi w:val="0"/>
        <w:spacing w:line="240" w:lineRule="auto"/>
        <w:ind w:right="32"/>
        <w:jc w:val="right"/>
        <w:rPr>
          <w:rFonts w:ascii="Calibri" w:hAnsi="Calibri" w:cs="Calibri"/>
          <w:lang w:eastAsia="en-US"/>
        </w:rPr>
      </w:pPr>
      <w:r w:rsidRPr="00A93FAB">
        <w:rPr>
          <w:rFonts w:ascii="Calibri" w:hAnsi="Calibri" w:cs="Calibri"/>
          <w:lang w:eastAsia="en-US"/>
        </w:rPr>
        <w:t>July 8</w:t>
      </w:r>
      <w:r w:rsidR="005E5CF0" w:rsidRPr="00A93FAB">
        <w:rPr>
          <w:rFonts w:ascii="Calibri" w:hAnsi="Calibri" w:cs="Calibri"/>
          <w:lang w:eastAsia="en-US"/>
        </w:rPr>
        <w:t>, 2024</w:t>
      </w:r>
    </w:p>
    <w:p w14:paraId="1DA8138B" w14:textId="77777777" w:rsidR="00A93FAB" w:rsidRPr="00A93FAB" w:rsidRDefault="00A93FAB" w:rsidP="00A93FAB">
      <w:pPr>
        <w:pStyle w:val="1"/>
        <w:numPr>
          <w:ilvl w:val="0"/>
          <w:numId w:val="0"/>
        </w:numPr>
        <w:tabs>
          <w:tab w:val="left" w:pos="180"/>
        </w:tabs>
        <w:bidi w:val="0"/>
        <w:spacing w:line="240" w:lineRule="auto"/>
        <w:ind w:right="32"/>
        <w:jc w:val="center"/>
        <w:rPr>
          <w:rFonts w:ascii="Calibri" w:hAnsi="Calibri" w:cs="Calibri"/>
          <w:lang w:eastAsia="en-US"/>
        </w:rPr>
      </w:pPr>
    </w:p>
    <w:p w14:paraId="0B7FE089" w14:textId="77777777" w:rsidR="006A415B" w:rsidRPr="00A93FAB" w:rsidRDefault="006A415B" w:rsidP="00C2592B">
      <w:pPr>
        <w:pStyle w:val="aa"/>
        <w:bidi w:val="0"/>
        <w:spacing w:line="240" w:lineRule="auto"/>
        <w:rPr>
          <w:rFonts w:ascii="Calibri" w:hAnsi="Calibri" w:cs="Calibri"/>
        </w:rPr>
      </w:pPr>
    </w:p>
    <w:p w14:paraId="43D5A2BD" w14:textId="77777777" w:rsidR="006A415B" w:rsidRPr="00A93FAB" w:rsidRDefault="006A415B" w:rsidP="00C2592B">
      <w:pPr>
        <w:pStyle w:val="aa"/>
        <w:bidi w:val="0"/>
        <w:spacing w:line="240" w:lineRule="auto"/>
        <w:jc w:val="center"/>
        <w:rPr>
          <w:rFonts w:ascii="Calibri" w:hAnsi="Calibri" w:cs="Calibri"/>
          <w:b/>
          <w:bCs/>
          <w:sz w:val="26"/>
          <w:szCs w:val="26"/>
        </w:rPr>
      </w:pPr>
      <w:r w:rsidRPr="00A93FAB">
        <w:rPr>
          <w:rFonts w:ascii="Calibri" w:hAnsi="Calibri" w:cs="Calibri"/>
          <w:b/>
          <w:bCs/>
          <w:sz w:val="26"/>
          <w:szCs w:val="26"/>
        </w:rPr>
        <w:t>Press Release</w:t>
      </w:r>
    </w:p>
    <w:p w14:paraId="75D1049F" w14:textId="77777777" w:rsidR="006A415B" w:rsidRPr="00A93FAB" w:rsidRDefault="006A415B" w:rsidP="00C2592B">
      <w:pPr>
        <w:jc w:val="center"/>
        <w:rPr>
          <w:rFonts w:ascii="Calibri" w:hAnsi="Calibri" w:cs="Calibri"/>
          <w:b/>
          <w:bCs/>
          <w:rtl/>
        </w:rPr>
      </w:pPr>
    </w:p>
    <w:p w14:paraId="6EAB5167" w14:textId="75C8622D" w:rsidR="006A415B" w:rsidRPr="00A93FAB" w:rsidRDefault="006A415B" w:rsidP="00DF60FF">
      <w:pPr>
        <w:jc w:val="center"/>
        <w:rPr>
          <w:rFonts w:ascii="Calibri" w:hAnsi="Calibri" w:cs="Calibri"/>
          <w:b/>
          <w:bCs/>
          <w:sz w:val="32"/>
          <w:szCs w:val="32"/>
        </w:rPr>
      </w:pPr>
      <w:r w:rsidRPr="00A93FAB">
        <w:rPr>
          <w:rFonts w:ascii="Calibri" w:hAnsi="Calibri" w:cs="Calibri"/>
          <w:b/>
          <w:bCs/>
          <w:sz w:val="32"/>
          <w:szCs w:val="32"/>
        </w:rPr>
        <w:t xml:space="preserve">The Monetary Committee decides on </w:t>
      </w:r>
      <w:r w:rsidR="00DF60FF" w:rsidRPr="00A93FAB">
        <w:rPr>
          <w:rFonts w:ascii="Calibri" w:hAnsi="Calibri" w:cs="Calibri"/>
          <w:b/>
          <w:bCs/>
          <w:sz w:val="32"/>
          <w:szCs w:val="32"/>
        </w:rPr>
        <w:t>July 8</w:t>
      </w:r>
      <w:r w:rsidR="00A14AFB" w:rsidRPr="00A93FAB">
        <w:rPr>
          <w:rFonts w:ascii="Calibri" w:hAnsi="Calibri" w:cs="Calibri"/>
          <w:b/>
          <w:bCs/>
          <w:sz w:val="32"/>
          <w:szCs w:val="32"/>
        </w:rPr>
        <w:t>, 2024</w:t>
      </w:r>
      <w:r w:rsidRPr="00A93FAB">
        <w:rPr>
          <w:rFonts w:ascii="Calibri" w:hAnsi="Calibri" w:cs="Calibri"/>
          <w:b/>
          <w:bCs/>
          <w:sz w:val="32"/>
          <w:szCs w:val="32"/>
        </w:rPr>
        <w:t xml:space="preserve"> </w:t>
      </w:r>
    </w:p>
    <w:p w14:paraId="3D5ED02F" w14:textId="08B62F90" w:rsidR="006A415B" w:rsidRPr="00A93FAB" w:rsidRDefault="006A415B" w:rsidP="007635B7">
      <w:pPr>
        <w:jc w:val="center"/>
        <w:rPr>
          <w:rFonts w:ascii="Calibri" w:hAnsi="Calibri" w:cs="Calibri"/>
          <w:b/>
          <w:bCs/>
          <w:sz w:val="32"/>
          <w:szCs w:val="32"/>
        </w:rPr>
      </w:pPr>
      <w:proofErr w:type="gramStart"/>
      <w:r w:rsidRPr="00A93FAB">
        <w:rPr>
          <w:rFonts w:ascii="Calibri" w:hAnsi="Calibri" w:cs="Calibri"/>
          <w:b/>
          <w:bCs/>
          <w:sz w:val="32"/>
          <w:szCs w:val="32"/>
        </w:rPr>
        <w:t>to</w:t>
      </w:r>
      <w:proofErr w:type="gramEnd"/>
      <w:r w:rsidRPr="00A93FAB">
        <w:rPr>
          <w:rFonts w:ascii="Calibri" w:hAnsi="Calibri" w:cs="Calibri"/>
          <w:b/>
          <w:bCs/>
          <w:sz w:val="32"/>
          <w:szCs w:val="32"/>
        </w:rPr>
        <w:t xml:space="preserve"> </w:t>
      </w:r>
      <w:r w:rsidR="007635B7" w:rsidRPr="00A93FAB">
        <w:rPr>
          <w:rFonts w:ascii="Calibri" w:hAnsi="Calibri" w:cs="Calibri"/>
          <w:b/>
          <w:bCs/>
          <w:sz w:val="32"/>
          <w:szCs w:val="32"/>
        </w:rPr>
        <w:t>leave</w:t>
      </w:r>
      <w:r w:rsidR="00CB5669" w:rsidRPr="00A93FAB">
        <w:rPr>
          <w:rFonts w:ascii="Calibri" w:hAnsi="Calibri" w:cs="Calibri"/>
          <w:b/>
          <w:bCs/>
          <w:sz w:val="32"/>
          <w:szCs w:val="32"/>
        </w:rPr>
        <w:t xml:space="preserve"> </w:t>
      </w:r>
      <w:r w:rsidR="00773125" w:rsidRPr="00A93FAB">
        <w:rPr>
          <w:rFonts w:ascii="Calibri" w:hAnsi="Calibri" w:cs="Calibri"/>
          <w:b/>
          <w:bCs/>
          <w:sz w:val="32"/>
          <w:szCs w:val="32"/>
        </w:rPr>
        <w:t>the interest rate</w:t>
      </w:r>
      <w:r w:rsidR="00B14C6C" w:rsidRPr="00A93FAB">
        <w:rPr>
          <w:rFonts w:ascii="Calibri" w:hAnsi="Calibri" w:cs="Calibri"/>
          <w:b/>
          <w:bCs/>
          <w:sz w:val="32"/>
          <w:szCs w:val="32"/>
        </w:rPr>
        <w:t xml:space="preserve"> </w:t>
      </w:r>
      <w:r w:rsidR="007635B7" w:rsidRPr="00A93FAB">
        <w:rPr>
          <w:rFonts w:ascii="Calibri" w:hAnsi="Calibri" w:cs="Calibri"/>
          <w:b/>
          <w:bCs/>
          <w:sz w:val="32"/>
          <w:szCs w:val="32"/>
        </w:rPr>
        <w:t>unchanged at</w:t>
      </w:r>
      <w:r w:rsidR="00CB5669" w:rsidRPr="00A93FAB">
        <w:rPr>
          <w:rFonts w:ascii="Calibri" w:hAnsi="Calibri" w:cs="Calibri"/>
          <w:b/>
          <w:bCs/>
          <w:sz w:val="32"/>
          <w:szCs w:val="32"/>
        </w:rPr>
        <w:t xml:space="preserve"> </w:t>
      </w:r>
      <w:r w:rsidR="00FF505B" w:rsidRPr="00A93FAB">
        <w:rPr>
          <w:rFonts w:ascii="Calibri" w:hAnsi="Calibri" w:cs="Calibri"/>
          <w:b/>
          <w:bCs/>
          <w:sz w:val="32"/>
          <w:szCs w:val="32"/>
        </w:rPr>
        <w:t>4.5</w:t>
      </w:r>
      <w:r w:rsidR="00773125" w:rsidRPr="00A93FAB">
        <w:rPr>
          <w:rFonts w:ascii="Calibri" w:hAnsi="Calibri" w:cs="Calibri"/>
          <w:b/>
          <w:bCs/>
          <w:sz w:val="32"/>
          <w:szCs w:val="32"/>
        </w:rPr>
        <w:t xml:space="preserve"> percent</w:t>
      </w:r>
    </w:p>
    <w:p w14:paraId="422C5EBC" w14:textId="77777777" w:rsidR="000512B0" w:rsidRPr="00A93FAB" w:rsidRDefault="000512B0" w:rsidP="00C2592B">
      <w:pPr>
        <w:jc w:val="both"/>
        <w:rPr>
          <w:rFonts w:ascii="Calibri" w:hAnsi="Calibri" w:cs="Calibri"/>
        </w:rPr>
      </w:pPr>
    </w:p>
    <w:p w14:paraId="3FB9685B" w14:textId="694669C0" w:rsidR="00754E89" w:rsidRPr="00A93FAB" w:rsidRDefault="00DF60FF" w:rsidP="00584A5F">
      <w:pPr>
        <w:pStyle w:val="ac"/>
        <w:numPr>
          <w:ilvl w:val="0"/>
          <w:numId w:val="8"/>
        </w:numPr>
        <w:bidi w:val="0"/>
        <w:spacing w:line="240" w:lineRule="auto"/>
        <w:rPr>
          <w:rFonts w:ascii="Calibri" w:hAnsi="Calibri" w:cs="Calibri"/>
        </w:rPr>
      </w:pPr>
      <w:r w:rsidRPr="00A93FAB">
        <w:rPr>
          <w:rFonts w:ascii="Calibri" w:hAnsi="Calibri" w:cs="Calibri"/>
        </w:rPr>
        <w:t>The recovery of e</w:t>
      </w:r>
      <w:r w:rsidR="00754E89" w:rsidRPr="00A93FAB">
        <w:rPr>
          <w:rFonts w:ascii="Calibri" w:hAnsi="Calibri" w:cs="Calibri"/>
        </w:rPr>
        <w:t>conomic activity</w:t>
      </w:r>
      <w:r w:rsidRPr="00A93FAB">
        <w:rPr>
          <w:rFonts w:ascii="Calibri" w:hAnsi="Calibri" w:cs="Calibri"/>
        </w:rPr>
        <w:t xml:space="preserve"> moderated in the second quarter of 2024.  Supply </w:t>
      </w:r>
      <w:r w:rsidR="00584A5F" w:rsidRPr="00A93FAB">
        <w:rPr>
          <w:rFonts w:ascii="Calibri" w:hAnsi="Calibri" w:cs="Calibri"/>
        </w:rPr>
        <w:t>constraints</w:t>
      </w:r>
      <w:r w:rsidRPr="00A93FAB">
        <w:rPr>
          <w:rFonts w:ascii="Calibri" w:hAnsi="Calibri" w:cs="Calibri"/>
        </w:rPr>
        <w:t xml:space="preserve"> are making it difficult for activity to converge to the trend that characterized the economy prior to the war, and the extent of</w:t>
      </w:r>
      <w:r w:rsidR="00754E89" w:rsidRPr="00A93FAB">
        <w:rPr>
          <w:rFonts w:ascii="Calibri" w:hAnsi="Calibri" w:cs="Calibri"/>
        </w:rPr>
        <w:t xml:space="preserve"> </w:t>
      </w:r>
      <w:r w:rsidR="00B57F92" w:rsidRPr="00A93FAB">
        <w:rPr>
          <w:rFonts w:ascii="Calibri" w:hAnsi="Calibri" w:cs="Calibri"/>
        </w:rPr>
        <w:t xml:space="preserve">continued </w:t>
      </w:r>
      <w:r w:rsidR="00754E89" w:rsidRPr="00A93FAB">
        <w:rPr>
          <w:rFonts w:ascii="Calibri" w:hAnsi="Calibri" w:cs="Calibri"/>
        </w:rPr>
        <w:t>geopolitical uncertainty</w:t>
      </w:r>
      <w:r w:rsidR="00B57F92" w:rsidRPr="00A93FAB">
        <w:rPr>
          <w:rFonts w:ascii="Calibri" w:hAnsi="Calibri" w:cs="Calibri"/>
        </w:rPr>
        <w:t xml:space="preserve"> is reflected in </w:t>
      </w:r>
      <w:r w:rsidR="00D663AC" w:rsidRPr="00A93FAB">
        <w:rPr>
          <w:rFonts w:ascii="Calibri" w:hAnsi="Calibri" w:cs="Calibri"/>
        </w:rPr>
        <w:t>the economy’s</w:t>
      </w:r>
      <w:r w:rsidR="00B57F92" w:rsidRPr="00A93FAB">
        <w:rPr>
          <w:rFonts w:ascii="Calibri" w:hAnsi="Calibri" w:cs="Calibri"/>
        </w:rPr>
        <w:t xml:space="preserve"> </w:t>
      </w:r>
      <w:proofErr w:type="gramStart"/>
      <w:r w:rsidR="00754E89" w:rsidRPr="00A93FAB">
        <w:rPr>
          <w:rFonts w:ascii="Calibri" w:hAnsi="Calibri" w:cs="Calibri"/>
        </w:rPr>
        <w:t>high risk</w:t>
      </w:r>
      <w:proofErr w:type="gramEnd"/>
      <w:r w:rsidR="00754E89" w:rsidRPr="00A93FAB">
        <w:rPr>
          <w:rFonts w:ascii="Calibri" w:hAnsi="Calibri" w:cs="Calibri"/>
        </w:rPr>
        <w:t xml:space="preserve"> premium.</w:t>
      </w:r>
    </w:p>
    <w:p w14:paraId="46160A15" w14:textId="2CB93118" w:rsidR="003818F5" w:rsidRPr="00A93FAB" w:rsidRDefault="00DF60FF" w:rsidP="00AA7BE6">
      <w:pPr>
        <w:pStyle w:val="ac"/>
        <w:numPr>
          <w:ilvl w:val="0"/>
          <w:numId w:val="8"/>
        </w:numPr>
        <w:bidi w:val="0"/>
        <w:spacing w:line="240" w:lineRule="auto"/>
        <w:rPr>
          <w:rFonts w:ascii="Calibri" w:hAnsi="Calibri" w:cs="Calibri"/>
        </w:rPr>
      </w:pPr>
      <w:r w:rsidRPr="00A93FAB">
        <w:rPr>
          <w:rFonts w:ascii="Calibri" w:hAnsi="Calibri" w:cs="Calibri"/>
        </w:rPr>
        <w:t xml:space="preserve">Inflation and one-year inflation expectations are around the upper bound of the </w:t>
      </w:r>
      <w:r w:rsidR="003818F5" w:rsidRPr="00A93FAB">
        <w:rPr>
          <w:rFonts w:ascii="Calibri" w:hAnsi="Calibri" w:cs="Calibri"/>
        </w:rPr>
        <w:t>target range</w:t>
      </w:r>
      <w:r w:rsidRPr="00A93FAB">
        <w:rPr>
          <w:rFonts w:ascii="Calibri" w:hAnsi="Calibri" w:cs="Calibri"/>
        </w:rPr>
        <w:t>, and</w:t>
      </w:r>
      <w:r w:rsidR="00195AC7" w:rsidRPr="00A93FAB">
        <w:rPr>
          <w:rFonts w:ascii="Calibri" w:hAnsi="Calibri" w:cs="Calibri"/>
        </w:rPr>
        <w:t xml:space="preserve"> </w:t>
      </w:r>
      <w:r w:rsidRPr="00A93FAB">
        <w:rPr>
          <w:rFonts w:ascii="Calibri" w:hAnsi="Calibri" w:cs="Calibri"/>
        </w:rPr>
        <w:t>e</w:t>
      </w:r>
      <w:r w:rsidR="00570519" w:rsidRPr="00A93FAB">
        <w:rPr>
          <w:rFonts w:ascii="Calibri" w:hAnsi="Calibri" w:cs="Calibri"/>
        </w:rPr>
        <w:t xml:space="preserve">xpectations for </w:t>
      </w:r>
      <w:r w:rsidR="00BC3E94" w:rsidRPr="00A93FAB">
        <w:rPr>
          <w:rFonts w:ascii="Calibri" w:hAnsi="Calibri" w:cs="Calibri"/>
        </w:rPr>
        <w:t>t</w:t>
      </w:r>
      <w:r w:rsidR="00570519" w:rsidRPr="00A93FAB">
        <w:rPr>
          <w:rFonts w:ascii="Calibri" w:hAnsi="Calibri" w:cs="Calibri"/>
        </w:rPr>
        <w:t>h</w:t>
      </w:r>
      <w:r w:rsidR="00BC3E94" w:rsidRPr="00A93FAB">
        <w:rPr>
          <w:rFonts w:ascii="Calibri" w:hAnsi="Calibri" w:cs="Calibri"/>
        </w:rPr>
        <w:t>e</w:t>
      </w:r>
      <w:r w:rsidR="00570519" w:rsidRPr="00A93FAB">
        <w:rPr>
          <w:rFonts w:ascii="Calibri" w:hAnsi="Calibri" w:cs="Calibri"/>
        </w:rPr>
        <w:t xml:space="preserve"> second year and forward are within the target range, in its upper portion.</w:t>
      </w:r>
      <w:r w:rsidRPr="00A93FAB">
        <w:rPr>
          <w:rFonts w:ascii="Calibri" w:hAnsi="Calibri" w:cs="Calibri"/>
        </w:rPr>
        <w:t xml:space="preserve">  </w:t>
      </w:r>
      <w:r w:rsidR="00AA7BE6" w:rsidRPr="00A93FAB">
        <w:rPr>
          <w:rFonts w:ascii="Calibri" w:hAnsi="Calibri" w:cs="Calibri"/>
        </w:rPr>
        <w:t xml:space="preserve">The moderation of inflation of the </w:t>
      </w:r>
      <w:proofErr w:type="spellStart"/>
      <w:r w:rsidR="00AA7BE6" w:rsidRPr="00A93FAB">
        <w:rPr>
          <w:rFonts w:ascii="Calibri" w:hAnsi="Calibri" w:cs="Calibri"/>
        </w:rPr>
        <w:t>nontradable</w:t>
      </w:r>
      <w:proofErr w:type="spellEnd"/>
      <w:r w:rsidR="00AA7BE6" w:rsidRPr="00A93FAB">
        <w:rPr>
          <w:rFonts w:ascii="Calibri" w:hAnsi="Calibri" w:cs="Calibri"/>
        </w:rPr>
        <w:t xml:space="preserve"> components of the CPI </w:t>
      </w:r>
      <w:proofErr w:type="gramStart"/>
      <w:r w:rsidR="00AA7BE6" w:rsidRPr="00A93FAB">
        <w:rPr>
          <w:rFonts w:ascii="Calibri" w:hAnsi="Calibri" w:cs="Calibri"/>
        </w:rPr>
        <w:t>was halted</w:t>
      </w:r>
      <w:proofErr w:type="gramEnd"/>
      <w:r w:rsidRPr="00A93FAB">
        <w:rPr>
          <w:rFonts w:ascii="Calibri" w:hAnsi="Calibri" w:cs="Calibri"/>
        </w:rPr>
        <w:t>.</w:t>
      </w:r>
    </w:p>
    <w:p w14:paraId="2C9629A9" w14:textId="0B73C271" w:rsidR="00DF60FF" w:rsidRPr="00A93FAB" w:rsidRDefault="003818F5" w:rsidP="00DF60FF">
      <w:pPr>
        <w:pStyle w:val="ac"/>
        <w:numPr>
          <w:ilvl w:val="0"/>
          <w:numId w:val="8"/>
        </w:numPr>
        <w:bidi w:val="0"/>
        <w:spacing w:line="240" w:lineRule="auto"/>
        <w:rPr>
          <w:rFonts w:ascii="Calibri" w:hAnsi="Calibri" w:cs="Calibri"/>
        </w:rPr>
      </w:pPr>
      <w:r w:rsidRPr="00A93FAB">
        <w:rPr>
          <w:rFonts w:ascii="Calibri" w:hAnsi="Calibri" w:cs="Calibri"/>
        </w:rPr>
        <w:t xml:space="preserve">Since the previous monetary policy decision, the shekel </w:t>
      </w:r>
      <w:r w:rsidR="00DF60FF" w:rsidRPr="00A93FAB">
        <w:rPr>
          <w:rFonts w:ascii="Calibri" w:hAnsi="Calibri" w:cs="Calibri"/>
        </w:rPr>
        <w:t>weak</w:t>
      </w:r>
      <w:r w:rsidR="009677AB" w:rsidRPr="00A93FAB">
        <w:rPr>
          <w:rFonts w:ascii="Calibri" w:hAnsi="Calibri" w:cs="Calibri"/>
        </w:rPr>
        <w:t>ened</w:t>
      </w:r>
      <w:r w:rsidR="00195AC7" w:rsidRPr="00A93FAB">
        <w:rPr>
          <w:rFonts w:ascii="Calibri" w:hAnsi="Calibri" w:cs="Calibri"/>
        </w:rPr>
        <w:t xml:space="preserve"> </w:t>
      </w:r>
      <w:r w:rsidRPr="00A93FAB">
        <w:rPr>
          <w:rFonts w:ascii="Calibri" w:hAnsi="Calibri" w:cs="Calibri"/>
        </w:rPr>
        <w:t xml:space="preserve">by about </w:t>
      </w:r>
      <w:r w:rsidR="009677AB" w:rsidRPr="00A93FAB">
        <w:rPr>
          <w:rFonts w:ascii="Calibri" w:hAnsi="Calibri" w:cs="Calibri"/>
        </w:rPr>
        <w:t>1.</w:t>
      </w:r>
      <w:r w:rsidR="00DF60FF" w:rsidRPr="00A93FAB">
        <w:rPr>
          <w:rFonts w:ascii="Calibri" w:hAnsi="Calibri" w:cs="Calibri"/>
        </w:rPr>
        <w:t>3</w:t>
      </w:r>
      <w:r w:rsidR="009677AB" w:rsidRPr="00A93FAB">
        <w:rPr>
          <w:rFonts w:ascii="Calibri" w:hAnsi="Calibri" w:cs="Calibri"/>
        </w:rPr>
        <w:t xml:space="preserve"> </w:t>
      </w:r>
      <w:r w:rsidRPr="00A93FAB">
        <w:rPr>
          <w:rFonts w:ascii="Calibri" w:hAnsi="Calibri" w:cs="Calibri"/>
        </w:rPr>
        <w:t>percent against the dollar</w:t>
      </w:r>
      <w:r w:rsidR="009677AB" w:rsidRPr="00A93FAB">
        <w:rPr>
          <w:rFonts w:ascii="Calibri" w:hAnsi="Calibri" w:cs="Calibri"/>
        </w:rPr>
        <w:t xml:space="preserve"> and the </w:t>
      </w:r>
      <w:r w:rsidRPr="00A93FAB">
        <w:rPr>
          <w:rFonts w:ascii="Calibri" w:hAnsi="Calibri" w:cs="Calibri"/>
        </w:rPr>
        <w:t>euro</w:t>
      </w:r>
      <w:r w:rsidR="00754E89" w:rsidRPr="00A93FAB">
        <w:rPr>
          <w:rFonts w:ascii="Calibri" w:hAnsi="Calibri" w:cs="Calibri"/>
        </w:rPr>
        <w:t>,</w:t>
      </w:r>
      <w:r w:rsidRPr="00A93FAB">
        <w:rPr>
          <w:rFonts w:ascii="Calibri" w:hAnsi="Calibri" w:cs="Calibri"/>
        </w:rPr>
        <w:t xml:space="preserve"> and by</w:t>
      </w:r>
      <w:r w:rsidR="00754E89" w:rsidRPr="00A93FAB">
        <w:rPr>
          <w:rFonts w:ascii="Calibri" w:hAnsi="Calibri" w:cs="Calibri"/>
        </w:rPr>
        <w:t xml:space="preserve"> about</w:t>
      </w:r>
      <w:r w:rsidRPr="00A93FAB">
        <w:rPr>
          <w:rFonts w:ascii="Calibri" w:hAnsi="Calibri" w:cs="Calibri"/>
        </w:rPr>
        <w:t xml:space="preserve"> </w:t>
      </w:r>
      <w:r w:rsidR="009677AB" w:rsidRPr="00A93FAB">
        <w:rPr>
          <w:rFonts w:ascii="Calibri" w:hAnsi="Calibri" w:cs="Calibri"/>
        </w:rPr>
        <w:t xml:space="preserve">1 </w:t>
      </w:r>
      <w:r w:rsidRPr="00A93FAB">
        <w:rPr>
          <w:rFonts w:ascii="Calibri" w:hAnsi="Calibri" w:cs="Calibri"/>
        </w:rPr>
        <w:t>percent in terms of the nominal effective exchange rate</w:t>
      </w:r>
      <w:r w:rsidR="00DF60FF" w:rsidRPr="00A93FAB">
        <w:rPr>
          <w:rFonts w:ascii="Calibri" w:hAnsi="Calibri" w:cs="Calibri"/>
        </w:rPr>
        <w:t>, with</w:t>
      </w:r>
      <w:r w:rsidR="00AA7BE6" w:rsidRPr="00A93FAB">
        <w:rPr>
          <w:rFonts w:ascii="Calibri" w:hAnsi="Calibri" w:cs="Calibri"/>
        </w:rPr>
        <w:t xml:space="preserve"> high</w:t>
      </w:r>
      <w:r w:rsidR="00DF60FF" w:rsidRPr="00A93FAB">
        <w:rPr>
          <w:rFonts w:ascii="Calibri" w:hAnsi="Calibri" w:cs="Calibri"/>
        </w:rPr>
        <w:t xml:space="preserve"> volatility in the market</w:t>
      </w:r>
      <w:r w:rsidRPr="00A93FAB">
        <w:rPr>
          <w:rFonts w:ascii="Calibri" w:hAnsi="Calibri" w:cs="Calibri"/>
        </w:rPr>
        <w:t>.</w:t>
      </w:r>
    </w:p>
    <w:p w14:paraId="3B3B2AF0" w14:textId="72D50E73" w:rsidR="001E34CC" w:rsidRPr="00A93FAB" w:rsidRDefault="00DF60FF" w:rsidP="00584A5F">
      <w:pPr>
        <w:pStyle w:val="ac"/>
        <w:numPr>
          <w:ilvl w:val="0"/>
          <w:numId w:val="8"/>
        </w:numPr>
        <w:bidi w:val="0"/>
        <w:spacing w:line="240" w:lineRule="auto"/>
        <w:rPr>
          <w:rFonts w:ascii="Calibri" w:hAnsi="Calibri" w:cs="Calibri"/>
        </w:rPr>
      </w:pPr>
      <w:r w:rsidRPr="00A93FAB">
        <w:rPr>
          <w:rFonts w:ascii="Calibri" w:hAnsi="Calibri" w:cs="Calibri"/>
        </w:rPr>
        <w:t xml:space="preserve">The Research Department’s assessment is that GDP will grow by 1.5 percent in </w:t>
      </w:r>
      <w:proofErr w:type="gramStart"/>
      <w:r w:rsidRPr="00A93FAB">
        <w:rPr>
          <w:rFonts w:ascii="Calibri" w:hAnsi="Calibri" w:cs="Calibri"/>
        </w:rPr>
        <w:t>2024,</w:t>
      </w:r>
      <w:proofErr w:type="gramEnd"/>
      <w:r w:rsidRPr="00A93FAB">
        <w:rPr>
          <w:rFonts w:ascii="Calibri" w:hAnsi="Calibri" w:cs="Calibri"/>
        </w:rPr>
        <w:t xml:space="preserve"> and by 4.2 percent in 2025.  These rates are 1.3 percent</w:t>
      </w:r>
      <w:r w:rsidR="00D97EE1" w:rsidRPr="00A93FAB">
        <w:rPr>
          <w:rFonts w:ascii="Calibri" w:hAnsi="Calibri" w:cs="Calibri"/>
        </w:rPr>
        <w:t>age</w:t>
      </w:r>
      <w:r w:rsidRPr="00A93FAB">
        <w:rPr>
          <w:rFonts w:ascii="Calibri" w:hAnsi="Calibri" w:cs="Calibri"/>
        </w:rPr>
        <w:t xml:space="preserve"> lower, cumulatively, than the April forecast.  </w:t>
      </w:r>
      <w:r w:rsidR="00584A5F" w:rsidRPr="00A93FAB">
        <w:rPr>
          <w:rFonts w:ascii="Calibri" w:hAnsi="Calibri" w:cs="Calibri"/>
        </w:rPr>
        <w:t>There is considerable uncertainty regarding d</w:t>
      </w:r>
      <w:r w:rsidRPr="00A93FAB">
        <w:rPr>
          <w:rFonts w:ascii="Calibri" w:hAnsi="Calibri" w:cs="Calibri"/>
        </w:rPr>
        <w:t xml:space="preserve">evelopments </w:t>
      </w:r>
      <w:r w:rsidR="00584A5F" w:rsidRPr="00A93FAB">
        <w:rPr>
          <w:rFonts w:ascii="Calibri" w:hAnsi="Calibri" w:cs="Calibri"/>
        </w:rPr>
        <w:t>in</w:t>
      </w:r>
      <w:r w:rsidRPr="00A93FAB">
        <w:rPr>
          <w:rFonts w:ascii="Calibri" w:hAnsi="Calibri" w:cs="Calibri"/>
        </w:rPr>
        <w:t xml:space="preserve"> the war</w:t>
      </w:r>
      <w:r w:rsidR="00120CBC" w:rsidRPr="00A93FAB">
        <w:rPr>
          <w:rFonts w:ascii="Calibri" w:hAnsi="Calibri" w:cs="Calibri"/>
        </w:rPr>
        <w:t>, which</w:t>
      </w:r>
      <w:r w:rsidRPr="00A93FAB">
        <w:rPr>
          <w:rFonts w:ascii="Calibri" w:hAnsi="Calibri" w:cs="Calibri"/>
        </w:rPr>
        <w:t xml:space="preserve"> may have a material impact on the forecast.</w:t>
      </w:r>
      <w:r w:rsidR="00441BDC" w:rsidRPr="00A93FAB">
        <w:rPr>
          <w:rFonts w:ascii="Calibri" w:hAnsi="Calibri" w:cs="Calibri"/>
        </w:rPr>
        <w:t xml:space="preserve"> </w:t>
      </w:r>
    </w:p>
    <w:p w14:paraId="286A0101" w14:textId="77777777" w:rsidR="00DF60FF" w:rsidRPr="00A93FAB" w:rsidRDefault="009E4057" w:rsidP="00DF60FF">
      <w:pPr>
        <w:pStyle w:val="ac"/>
        <w:numPr>
          <w:ilvl w:val="0"/>
          <w:numId w:val="8"/>
        </w:numPr>
        <w:bidi w:val="0"/>
        <w:spacing w:line="240" w:lineRule="auto"/>
        <w:rPr>
          <w:rFonts w:ascii="Calibri" w:hAnsi="Calibri" w:cs="Calibri"/>
        </w:rPr>
      </w:pPr>
      <w:r w:rsidRPr="00A93FAB">
        <w:rPr>
          <w:rFonts w:ascii="Calibri" w:hAnsi="Calibri" w:cs="Calibri"/>
        </w:rPr>
        <w:t xml:space="preserve">In the housing market, home prices </w:t>
      </w:r>
      <w:r w:rsidR="00DF60FF" w:rsidRPr="00A93FAB">
        <w:rPr>
          <w:rFonts w:ascii="Calibri" w:hAnsi="Calibri" w:cs="Calibri"/>
        </w:rPr>
        <w:t xml:space="preserve">and new mortgage borrowing </w:t>
      </w:r>
      <w:r w:rsidR="00984AE2" w:rsidRPr="00A93FAB">
        <w:rPr>
          <w:rFonts w:ascii="Calibri" w:hAnsi="Calibri" w:cs="Calibri"/>
        </w:rPr>
        <w:t xml:space="preserve">continue to </w:t>
      </w:r>
      <w:r w:rsidRPr="00A93FAB">
        <w:rPr>
          <w:rFonts w:ascii="Calibri" w:hAnsi="Calibri" w:cs="Calibri"/>
        </w:rPr>
        <w:t>increase</w:t>
      </w:r>
      <w:r w:rsidR="00DF60FF" w:rsidRPr="00A93FAB">
        <w:rPr>
          <w:rFonts w:ascii="Calibri" w:hAnsi="Calibri" w:cs="Calibri"/>
        </w:rPr>
        <w:t>. Activity in the construction industry is recovering gradually, but constraints on such activity in view of the war remain significant</w:t>
      </w:r>
      <w:r w:rsidR="00984AE2" w:rsidRPr="00A93FAB">
        <w:rPr>
          <w:rFonts w:ascii="Calibri" w:hAnsi="Calibri" w:cs="Calibri"/>
        </w:rPr>
        <w:t>.</w:t>
      </w:r>
    </w:p>
    <w:p w14:paraId="6602DF75" w14:textId="7F768A2D" w:rsidR="003818F5" w:rsidRPr="00A93FAB" w:rsidRDefault="00DF60FF" w:rsidP="00120CBC">
      <w:pPr>
        <w:pStyle w:val="ac"/>
        <w:numPr>
          <w:ilvl w:val="0"/>
          <w:numId w:val="8"/>
        </w:numPr>
        <w:bidi w:val="0"/>
        <w:spacing w:line="240" w:lineRule="auto"/>
        <w:rPr>
          <w:rFonts w:ascii="Calibri" w:hAnsi="Calibri" w:cs="Calibri"/>
        </w:rPr>
      </w:pPr>
      <w:r w:rsidRPr="00A93FAB">
        <w:rPr>
          <w:rFonts w:ascii="Calibri" w:hAnsi="Calibri" w:cs="Calibri"/>
        </w:rPr>
        <w:t>The trends of global inflation indicate continued convergence toward the target ranges, but at a slower pace than in previous forecasts</w:t>
      </w:r>
      <w:r w:rsidR="00AA7BE6" w:rsidRPr="00A93FAB">
        <w:rPr>
          <w:rFonts w:ascii="Calibri" w:hAnsi="Calibri" w:cs="Calibri"/>
        </w:rPr>
        <w:t xml:space="preserve"> since the beginning of the year</w:t>
      </w:r>
      <w:r w:rsidRPr="00A93FAB">
        <w:rPr>
          <w:rFonts w:ascii="Calibri" w:hAnsi="Calibri" w:cs="Calibri"/>
        </w:rPr>
        <w:t xml:space="preserve">.  In view of this, the major central banks continue to signal to the market that they will not hesitate to leave interest rates at </w:t>
      </w:r>
      <w:r w:rsidR="00120CBC" w:rsidRPr="00A93FAB">
        <w:rPr>
          <w:rFonts w:ascii="Calibri" w:hAnsi="Calibri" w:cs="Calibri"/>
        </w:rPr>
        <w:t>restrictive</w:t>
      </w:r>
      <w:r w:rsidRPr="00A93FAB">
        <w:rPr>
          <w:rFonts w:ascii="Calibri" w:hAnsi="Calibri" w:cs="Calibri"/>
        </w:rPr>
        <w:t xml:space="preserve"> levels over time.</w:t>
      </w:r>
      <w:r w:rsidR="003818F5" w:rsidRPr="00A93FAB">
        <w:rPr>
          <w:rFonts w:ascii="Calibri" w:hAnsi="Calibri" w:cs="Calibri"/>
        </w:rPr>
        <w:t xml:space="preserve"> </w:t>
      </w:r>
    </w:p>
    <w:p w14:paraId="657EB6BC" w14:textId="77777777" w:rsidR="00423CCE" w:rsidRPr="00A93FAB" w:rsidRDefault="00423CCE" w:rsidP="00560CDB">
      <w:pPr>
        <w:jc w:val="both"/>
        <w:rPr>
          <w:rFonts w:ascii="Calibri" w:hAnsi="Calibri" w:cs="Calibri"/>
          <w:b/>
          <w:bCs/>
        </w:rPr>
      </w:pPr>
    </w:p>
    <w:p w14:paraId="73F8BC61" w14:textId="02D1D516" w:rsidR="002919ED" w:rsidRPr="00A93FAB" w:rsidRDefault="003E2FB9" w:rsidP="00DF60FF">
      <w:pPr>
        <w:jc w:val="both"/>
        <w:rPr>
          <w:rFonts w:ascii="Calibri" w:hAnsi="Calibri" w:cs="Calibri"/>
          <w:b/>
          <w:bCs/>
        </w:rPr>
      </w:pPr>
      <w:r w:rsidRPr="00A93FAB">
        <w:rPr>
          <w:rFonts w:ascii="Calibri" w:hAnsi="Calibri" w:cs="Calibri"/>
          <w:b/>
          <w:bCs/>
        </w:rPr>
        <w:t xml:space="preserve">In view of the </w:t>
      </w:r>
      <w:r w:rsidR="00DF60FF" w:rsidRPr="00A93FAB">
        <w:rPr>
          <w:rFonts w:ascii="Calibri" w:hAnsi="Calibri" w:cs="Calibri"/>
          <w:b/>
          <w:bCs/>
        </w:rPr>
        <w:t xml:space="preserve">continuing </w:t>
      </w:r>
      <w:r w:rsidRPr="00A93FAB">
        <w:rPr>
          <w:rFonts w:ascii="Calibri" w:hAnsi="Calibri" w:cs="Calibri"/>
          <w:b/>
          <w:bCs/>
        </w:rPr>
        <w:t xml:space="preserve">war, the Monetary Committee’s policy is focusing on stabilizing the markets and reducing uncertainty, </w:t>
      </w:r>
      <w:r w:rsidR="008D5EB4" w:rsidRPr="00A93FAB">
        <w:rPr>
          <w:rFonts w:ascii="Calibri" w:hAnsi="Calibri" w:cs="Calibri"/>
          <w:b/>
          <w:bCs/>
        </w:rPr>
        <w:t>alongside price stability and supporting economic activity.</w:t>
      </w:r>
      <w:r w:rsidR="00195AC7" w:rsidRPr="00A93FAB">
        <w:rPr>
          <w:rFonts w:ascii="Calibri" w:hAnsi="Calibri" w:cs="Calibri"/>
          <w:b/>
          <w:bCs/>
        </w:rPr>
        <w:t xml:space="preserve"> </w:t>
      </w:r>
      <w:r w:rsidR="008D5EB4" w:rsidRPr="00A93FAB">
        <w:rPr>
          <w:rFonts w:ascii="Calibri" w:hAnsi="Calibri" w:cs="Calibri"/>
          <w:b/>
          <w:bCs/>
        </w:rPr>
        <w:lastRenderedPageBreak/>
        <w:t>The interest rate path</w:t>
      </w:r>
      <w:r w:rsidRPr="00A93FAB">
        <w:rPr>
          <w:rFonts w:ascii="Calibri" w:hAnsi="Calibri" w:cs="Calibri"/>
          <w:b/>
          <w:bCs/>
        </w:rPr>
        <w:t xml:space="preserve"> will be determined in accordance with</w:t>
      </w:r>
      <w:r w:rsidR="00560CDB" w:rsidRPr="00A93FAB">
        <w:rPr>
          <w:rFonts w:ascii="Calibri" w:hAnsi="Calibri" w:cs="Calibri"/>
          <w:b/>
          <w:bCs/>
        </w:rPr>
        <w:t xml:space="preserve"> the convergence of inflation to its target, continued stability in the</w:t>
      </w:r>
      <w:r w:rsidR="00851499" w:rsidRPr="00A93FAB">
        <w:rPr>
          <w:rFonts w:ascii="Calibri" w:hAnsi="Calibri" w:cs="Calibri"/>
          <w:b/>
          <w:bCs/>
        </w:rPr>
        <w:t xml:space="preserve"> </w:t>
      </w:r>
      <w:r w:rsidR="008D5EB4" w:rsidRPr="00A93FAB">
        <w:rPr>
          <w:rFonts w:ascii="Calibri" w:hAnsi="Calibri" w:cs="Calibri"/>
          <w:b/>
          <w:bCs/>
        </w:rPr>
        <w:t>financial markets</w:t>
      </w:r>
      <w:r w:rsidR="00560CDB" w:rsidRPr="00A93FAB">
        <w:rPr>
          <w:rFonts w:ascii="Calibri" w:hAnsi="Calibri" w:cs="Calibri"/>
          <w:b/>
          <w:bCs/>
        </w:rPr>
        <w:t xml:space="preserve">, </w:t>
      </w:r>
      <w:r w:rsidR="008D5EB4" w:rsidRPr="00A93FAB">
        <w:rPr>
          <w:rFonts w:ascii="Calibri" w:hAnsi="Calibri" w:cs="Calibri"/>
          <w:b/>
          <w:bCs/>
        </w:rPr>
        <w:t>economic activity</w:t>
      </w:r>
      <w:r w:rsidR="00560CDB" w:rsidRPr="00A93FAB">
        <w:rPr>
          <w:rFonts w:ascii="Calibri" w:hAnsi="Calibri" w:cs="Calibri"/>
          <w:b/>
          <w:bCs/>
        </w:rPr>
        <w:t>, and fiscal policy</w:t>
      </w:r>
      <w:r w:rsidR="008D5EB4" w:rsidRPr="00A93FAB">
        <w:rPr>
          <w:rFonts w:ascii="Calibri" w:hAnsi="Calibri" w:cs="Calibri"/>
          <w:b/>
          <w:bCs/>
        </w:rPr>
        <w:t>.</w:t>
      </w:r>
    </w:p>
    <w:p w14:paraId="58249C36" w14:textId="0F89AB65" w:rsidR="000B7A80" w:rsidRPr="00A93FAB" w:rsidRDefault="000B7A80" w:rsidP="00C2592B">
      <w:pPr>
        <w:jc w:val="both"/>
        <w:rPr>
          <w:rFonts w:ascii="Calibri" w:hAnsi="Calibri" w:cs="Calibri"/>
          <w:b/>
          <w:bCs/>
        </w:rPr>
      </w:pPr>
    </w:p>
    <w:p w14:paraId="2ADBB1AC" w14:textId="77777777" w:rsidR="00514240" w:rsidRPr="00A93FAB" w:rsidRDefault="00514240" w:rsidP="00C2592B">
      <w:pPr>
        <w:jc w:val="both"/>
        <w:rPr>
          <w:rFonts w:ascii="Calibri" w:hAnsi="Calibri" w:cs="Calibri"/>
          <w:b/>
          <w:bCs/>
        </w:rPr>
      </w:pPr>
    </w:p>
    <w:p w14:paraId="1962EDF8" w14:textId="77777777" w:rsidR="002E392D" w:rsidRPr="00A93FAB" w:rsidRDefault="002E392D" w:rsidP="00C2592B">
      <w:pPr>
        <w:jc w:val="both"/>
        <w:rPr>
          <w:rFonts w:ascii="Calibri" w:hAnsi="Calibri" w:cs="Calibri"/>
        </w:rPr>
      </w:pPr>
      <w:bookmarkStart w:id="0" w:name="_GoBack"/>
      <w:bookmarkEnd w:id="0"/>
    </w:p>
    <w:p w14:paraId="2929E55E" w14:textId="2671B310" w:rsidR="000C1D36" w:rsidRPr="00A93FAB" w:rsidRDefault="009D5198" w:rsidP="00554C55">
      <w:pPr>
        <w:jc w:val="both"/>
        <w:rPr>
          <w:rFonts w:ascii="Calibri" w:hAnsi="Calibri" w:cs="Calibri"/>
        </w:rPr>
      </w:pPr>
      <w:r w:rsidRPr="00A93FAB">
        <w:rPr>
          <w:rFonts w:ascii="Calibri" w:hAnsi="Calibri" w:cs="Calibri"/>
        </w:rPr>
        <w:t xml:space="preserve">The State of Israel </w:t>
      </w:r>
      <w:r w:rsidR="0099673E" w:rsidRPr="00A93FAB">
        <w:rPr>
          <w:rFonts w:ascii="Calibri" w:hAnsi="Calibri" w:cs="Calibri"/>
        </w:rPr>
        <w:t xml:space="preserve">has been at war </w:t>
      </w:r>
      <w:r w:rsidR="00E84781" w:rsidRPr="00A93FAB">
        <w:rPr>
          <w:rFonts w:ascii="Calibri" w:hAnsi="Calibri" w:cs="Calibri"/>
        </w:rPr>
        <w:t xml:space="preserve">for approximately </w:t>
      </w:r>
      <w:r w:rsidR="00DF60FF" w:rsidRPr="00A93FAB">
        <w:rPr>
          <w:rFonts w:ascii="Calibri" w:hAnsi="Calibri" w:cs="Calibri"/>
        </w:rPr>
        <w:t>9</w:t>
      </w:r>
      <w:r w:rsidR="00E84781" w:rsidRPr="00A93FAB">
        <w:rPr>
          <w:rFonts w:ascii="Calibri" w:hAnsi="Calibri" w:cs="Calibri"/>
        </w:rPr>
        <w:t xml:space="preserve"> months. </w:t>
      </w:r>
      <w:r w:rsidR="0099673E" w:rsidRPr="00A93FAB">
        <w:rPr>
          <w:rFonts w:ascii="Calibri" w:hAnsi="Calibri" w:cs="Calibri"/>
        </w:rPr>
        <w:t>Beyond the security effects</w:t>
      </w:r>
      <w:r w:rsidR="00E84781" w:rsidRPr="00A93FAB">
        <w:rPr>
          <w:rFonts w:ascii="Calibri" w:hAnsi="Calibri" w:cs="Calibri"/>
        </w:rPr>
        <w:t xml:space="preserve">, the war </w:t>
      </w:r>
      <w:r w:rsidR="00EC2E6D" w:rsidRPr="00A93FAB">
        <w:rPr>
          <w:rFonts w:ascii="Calibri" w:hAnsi="Calibri" w:cs="Calibri"/>
        </w:rPr>
        <w:t xml:space="preserve">is </w:t>
      </w:r>
      <w:r w:rsidR="00E84781" w:rsidRPr="00A93FAB">
        <w:rPr>
          <w:rFonts w:ascii="Calibri" w:hAnsi="Calibri" w:cs="Calibri"/>
        </w:rPr>
        <w:t>ha</w:t>
      </w:r>
      <w:r w:rsidR="00EC2E6D" w:rsidRPr="00A93FAB">
        <w:rPr>
          <w:rFonts w:ascii="Calibri" w:hAnsi="Calibri" w:cs="Calibri"/>
        </w:rPr>
        <w:t>ving</w:t>
      </w:r>
      <w:r w:rsidR="00E84781" w:rsidRPr="00A93FAB">
        <w:rPr>
          <w:rFonts w:ascii="Calibri" w:hAnsi="Calibri" w:cs="Calibri"/>
        </w:rPr>
        <w:t xml:space="preserve"> </w:t>
      </w:r>
      <w:r w:rsidR="00DF60FF" w:rsidRPr="00A93FAB">
        <w:rPr>
          <w:rFonts w:ascii="Calibri" w:hAnsi="Calibri" w:cs="Calibri"/>
        </w:rPr>
        <w:t xml:space="preserve">significant </w:t>
      </w:r>
      <w:r w:rsidRPr="00A93FAB">
        <w:rPr>
          <w:rFonts w:ascii="Calibri" w:hAnsi="Calibri" w:cs="Calibri"/>
        </w:rPr>
        <w:t xml:space="preserve">economic </w:t>
      </w:r>
      <w:r w:rsidR="008D5EB4" w:rsidRPr="00A93FAB">
        <w:rPr>
          <w:rFonts w:ascii="Calibri" w:hAnsi="Calibri" w:cs="Calibri"/>
        </w:rPr>
        <w:t>consequences</w:t>
      </w:r>
      <w:r w:rsidRPr="00A93FAB">
        <w:rPr>
          <w:rFonts w:ascii="Calibri" w:hAnsi="Calibri" w:cs="Calibri"/>
        </w:rPr>
        <w:t>.</w:t>
      </w:r>
      <w:r w:rsidR="00EC2E6D" w:rsidRPr="00A93FAB">
        <w:rPr>
          <w:rFonts w:ascii="Calibri" w:hAnsi="Calibri" w:cs="Calibri"/>
        </w:rPr>
        <w:t xml:space="preserve">  According to current indicators, the growth of economic activity moderated in the second quarter, following a sharp recovery in the first quarter.  Supply constraints are making it difficult for economic activity to converge to the trend that characterized the economy prior to the war, and the extent of continued geopolitical uncertainty is reflected in the economy’s </w:t>
      </w:r>
      <w:proofErr w:type="gramStart"/>
      <w:r w:rsidR="00EC2E6D" w:rsidRPr="00A93FAB">
        <w:rPr>
          <w:rFonts w:ascii="Calibri" w:hAnsi="Calibri" w:cs="Calibri"/>
        </w:rPr>
        <w:t>high risk</w:t>
      </w:r>
      <w:proofErr w:type="gramEnd"/>
      <w:r w:rsidR="00EC2E6D" w:rsidRPr="00A93FAB">
        <w:rPr>
          <w:rFonts w:ascii="Calibri" w:hAnsi="Calibri" w:cs="Calibri"/>
        </w:rPr>
        <w:t xml:space="preserve"> premium.</w:t>
      </w:r>
      <w:r w:rsidR="00195AC7" w:rsidRPr="00A93FAB">
        <w:rPr>
          <w:rFonts w:ascii="Calibri" w:hAnsi="Calibri" w:cs="Calibri"/>
        </w:rPr>
        <w:t xml:space="preserve"> </w:t>
      </w:r>
      <w:r w:rsidR="00EC2E6D" w:rsidRPr="00A93FAB">
        <w:rPr>
          <w:rFonts w:ascii="Calibri" w:hAnsi="Calibri" w:cs="Calibri"/>
        </w:rPr>
        <w:t>Inflation and one-year inflation expectations are around the upper bound of the target range.  The Consumer Price Index for May increased by 0.2 percent, and inflation in the past 12 months is 2.8 percent</w:t>
      </w:r>
      <w:r w:rsidR="001A4B79" w:rsidRPr="00A93FAB">
        <w:rPr>
          <w:rFonts w:ascii="Calibri" w:hAnsi="Calibri" w:cs="Calibri"/>
        </w:rPr>
        <w:t xml:space="preserve"> (</w:t>
      </w:r>
      <w:r w:rsidR="001A4B79" w:rsidRPr="00A93FAB">
        <w:rPr>
          <w:rFonts w:ascii="Calibri" w:hAnsi="Calibri" w:cs="Calibri"/>
          <w:b/>
          <w:bCs/>
        </w:rPr>
        <w:t>Figure 1</w:t>
      </w:r>
      <w:r w:rsidR="001A4B79" w:rsidRPr="00A93FAB">
        <w:rPr>
          <w:rFonts w:ascii="Calibri" w:hAnsi="Calibri" w:cs="Calibri"/>
        </w:rPr>
        <w:t xml:space="preserve">). </w:t>
      </w:r>
      <w:r w:rsidR="001D1BFB" w:rsidRPr="00A93FAB">
        <w:rPr>
          <w:rFonts w:ascii="Calibri" w:hAnsi="Calibri" w:cs="Calibri"/>
        </w:rPr>
        <w:t>N</w:t>
      </w:r>
      <w:r w:rsidR="00822F9B" w:rsidRPr="00A93FAB">
        <w:rPr>
          <w:rFonts w:ascii="Calibri" w:hAnsi="Calibri" w:cs="Calibri"/>
        </w:rPr>
        <w:t xml:space="preserve">et of </w:t>
      </w:r>
      <w:proofErr w:type="gramStart"/>
      <w:r w:rsidR="00822F9B" w:rsidRPr="00A93FAB">
        <w:rPr>
          <w:rFonts w:ascii="Calibri" w:hAnsi="Calibri" w:cs="Calibri"/>
        </w:rPr>
        <w:t>energy and fruits</w:t>
      </w:r>
      <w:proofErr w:type="gramEnd"/>
      <w:r w:rsidR="00822F9B" w:rsidRPr="00A93FAB">
        <w:rPr>
          <w:rFonts w:ascii="Calibri" w:hAnsi="Calibri" w:cs="Calibri"/>
        </w:rPr>
        <w:t xml:space="preserve"> and vegetables, </w:t>
      </w:r>
      <w:r w:rsidR="001A4B79" w:rsidRPr="00A93FAB">
        <w:rPr>
          <w:rFonts w:ascii="Calibri" w:hAnsi="Calibri" w:cs="Calibri"/>
        </w:rPr>
        <w:t>the</w:t>
      </w:r>
      <w:r w:rsidR="00120CBC" w:rsidRPr="00A93FAB">
        <w:rPr>
          <w:rFonts w:ascii="Calibri" w:hAnsi="Calibri" w:cs="Calibri"/>
        </w:rPr>
        <w:t xml:space="preserve"> year-o</w:t>
      </w:r>
      <w:r w:rsidR="00554C55" w:rsidRPr="00A93FAB">
        <w:rPr>
          <w:rFonts w:ascii="Calibri" w:hAnsi="Calibri" w:cs="Calibri"/>
        </w:rPr>
        <w:t>ver</w:t>
      </w:r>
      <w:r w:rsidR="00120CBC" w:rsidRPr="00A93FAB">
        <w:rPr>
          <w:rFonts w:ascii="Calibri" w:hAnsi="Calibri" w:cs="Calibri"/>
        </w:rPr>
        <w:t>-year</w:t>
      </w:r>
      <w:r w:rsidR="001A4B79" w:rsidRPr="00A93FAB">
        <w:rPr>
          <w:rFonts w:ascii="Calibri" w:hAnsi="Calibri" w:cs="Calibri"/>
        </w:rPr>
        <w:t xml:space="preserve"> </w:t>
      </w:r>
      <w:r w:rsidR="00822F9B" w:rsidRPr="00A93FAB">
        <w:rPr>
          <w:rFonts w:ascii="Calibri" w:hAnsi="Calibri" w:cs="Calibri"/>
        </w:rPr>
        <w:t>inflation</w:t>
      </w:r>
      <w:r w:rsidR="00194663" w:rsidRPr="00A93FAB">
        <w:rPr>
          <w:rFonts w:ascii="Calibri" w:hAnsi="Calibri" w:cs="Calibri"/>
        </w:rPr>
        <w:t xml:space="preserve"> </w:t>
      </w:r>
      <w:r w:rsidR="00982430" w:rsidRPr="00A93FAB">
        <w:rPr>
          <w:rFonts w:ascii="Calibri" w:hAnsi="Calibri" w:cs="Calibri"/>
        </w:rPr>
        <w:t xml:space="preserve">rate </w:t>
      </w:r>
      <w:r w:rsidR="00120CBC" w:rsidRPr="00A93FAB">
        <w:rPr>
          <w:rFonts w:ascii="Calibri" w:hAnsi="Calibri" w:cs="Calibri"/>
        </w:rPr>
        <w:t>stands at</w:t>
      </w:r>
      <w:r w:rsidR="001A4B79" w:rsidRPr="00A93FAB">
        <w:rPr>
          <w:rFonts w:ascii="Calibri" w:hAnsi="Calibri" w:cs="Calibri"/>
        </w:rPr>
        <w:t xml:space="preserve"> 2.</w:t>
      </w:r>
      <w:r w:rsidR="00EC2E6D" w:rsidRPr="00A93FAB">
        <w:rPr>
          <w:rFonts w:ascii="Calibri" w:hAnsi="Calibri" w:cs="Calibri"/>
        </w:rPr>
        <w:t>2</w:t>
      </w:r>
      <w:r w:rsidR="001A4B79" w:rsidRPr="00A93FAB">
        <w:rPr>
          <w:rFonts w:ascii="Calibri" w:hAnsi="Calibri" w:cs="Calibri"/>
        </w:rPr>
        <w:t xml:space="preserve"> percent </w:t>
      </w:r>
      <w:r w:rsidR="00822F9B" w:rsidRPr="00A93FAB">
        <w:rPr>
          <w:rFonts w:ascii="Calibri" w:hAnsi="Calibri" w:cs="Calibri"/>
        </w:rPr>
        <w:t>(</w:t>
      </w:r>
      <w:r w:rsidR="00822F9B" w:rsidRPr="00A93FAB">
        <w:rPr>
          <w:rFonts w:ascii="Calibri" w:hAnsi="Calibri" w:cs="Calibri"/>
          <w:b/>
          <w:bCs/>
        </w:rPr>
        <w:t xml:space="preserve">Figure </w:t>
      </w:r>
      <w:r w:rsidR="00AF7DC8" w:rsidRPr="00A93FAB">
        <w:rPr>
          <w:rFonts w:ascii="Calibri" w:hAnsi="Calibri" w:cs="Calibri"/>
          <w:b/>
          <w:bCs/>
        </w:rPr>
        <w:t>2</w:t>
      </w:r>
      <w:r w:rsidR="00822F9B" w:rsidRPr="00A93FAB">
        <w:rPr>
          <w:rFonts w:ascii="Calibri" w:hAnsi="Calibri" w:cs="Calibri"/>
        </w:rPr>
        <w:t>)</w:t>
      </w:r>
      <w:r w:rsidR="001A4B79" w:rsidRPr="00A93FAB">
        <w:rPr>
          <w:rFonts w:ascii="Calibri" w:hAnsi="Calibri" w:cs="Calibri"/>
        </w:rPr>
        <w:t xml:space="preserve">. </w:t>
      </w:r>
      <w:r w:rsidR="00EC2E6D" w:rsidRPr="00A93FAB">
        <w:rPr>
          <w:rFonts w:ascii="Calibri" w:hAnsi="Calibri" w:cs="Calibri"/>
        </w:rPr>
        <w:t>Inflation in the past three months, seasonally adjusted in annual terms, is higher than the year-over-year inflation rate (</w:t>
      </w:r>
      <w:r w:rsidR="00EC2E6D" w:rsidRPr="00A93FAB">
        <w:rPr>
          <w:rFonts w:ascii="Calibri" w:hAnsi="Calibri" w:cs="Calibri"/>
          <w:b/>
          <w:bCs/>
        </w:rPr>
        <w:t>Figure 3</w:t>
      </w:r>
      <w:r w:rsidR="00EC2E6D" w:rsidRPr="00A93FAB">
        <w:rPr>
          <w:rFonts w:ascii="Calibri" w:hAnsi="Calibri" w:cs="Calibri"/>
        </w:rPr>
        <w:t xml:space="preserve">).  The moderation of inflation of the </w:t>
      </w:r>
      <w:proofErr w:type="spellStart"/>
      <w:r w:rsidR="00EC2E6D" w:rsidRPr="00A93FAB">
        <w:rPr>
          <w:rFonts w:ascii="Calibri" w:hAnsi="Calibri" w:cs="Calibri"/>
        </w:rPr>
        <w:t>nontradable</w:t>
      </w:r>
      <w:proofErr w:type="spellEnd"/>
      <w:r w:rsidR="00EC2E6D" w:rsidRPr="00A93FAB">
        <w:rPr>
          <w:rFonts w:ascii="Calibri" w:hAnsi="Calibri" w:cs="Calibri"/>
        </w:rPr>
        <w:t xml:space="preserve"> components of the CPI </w:t>
      </w:r>
      <w:proofErr w:type="gramStart"/>
      <w:r w:rsidR="00EC2E6D" w:rsidRPr="00A93FAB">
        <w:rPr>
          <w:rFonts w:ascii="Calibri" w:hAnsi="Calibri" w:cs="Calibri"/>
        </w:rPr>
        <w:t>was halted</w:t>
      </w:r>
      <w:proofErr w:type="gramEnd"/>
      <w:r w:rsidR="00EC2E6D" w:rsidRPr="00A93FAB">
        <w:rPr>
          <w:rFonts w:ascii="Calibri" w:hAnsi="Calibri" w:cs="Calibri"/>
        </w:rPr>
        <w:t>, and t</w:t>
      </w:r>
      <w:r w:rsidR="00247CB6" w:rsidRPr="00A93FAB">
        <w:rPr>
          <w:rFonts w:ascii="Calibri" w:hAnsi="Calibri" w:cs="Calibri"/>
        </w:rPr>
        <w:t xml:space="preserve">he annual pace of inflation of the tradable components </w:t>
      </w:r>
      <w:r w:rsidR="00EC2E6D" w:rsidRPr="00A93FAB">
        <w:rPr>
          <w:rFonts w:ascii="Calibri" w:hAnsi="Calibri" w:cs="Calibri"/>
        </w:rPr>
        <w:t>remained virtually unchanged</w:t>
      </w:r>
      <w:r w:rsidR="00521F14" w:rsidRPr="00A93FAB">
        <w:rPr>
          <w:rFonts w:ascii="Calibri" w:hAnsi="Calibri" w:cs="Calibri"/>
        </w:rPr>
        <w:t xml:space="preserve"> </w:t>
      </w:r>
      <w:r w:rsidR="001A4B79" w:rsidRPr="00A93FAB">
        <w:rPr>
          <w:rFonts w:ascii="Calibri" w:hAnsi="Calibri" w:cs="Calibri"/>
        </w:rPr>
        <w:t>(</w:t>
      </w:r>
      <w:r w:rsidR="001A4B79" w:rsidRPr="00A93FAB">
        <w:rPr>
          <w:rFonts w:ascii="Calibri" w:hAnsi="Calibri" w:cs="Calibri"/>
          <w:b/>
          <w:bCs/>
        </w:rPr>
        <w:t>Figure 4</w:t>
      </w:r>
      <w:r w:rsidR="001A4B79" w:rsidRPr="00A93FAB">
        <w:rPr>
          <w:rFonts w:ascii="Calibri" w:hAnsi="Calibri" w:cs="Calibri"/>
        </w:rPr>
        <w:t xml:space="preserve">). </w:t>
      </w:r>
      <w:r w:rsidR="00EC2E6D" w:rsidRPr="00A93FAB">
        <w:rPr>
          <w:rFonts w:ascii="Calibri" w:hAnsi="Calibri" w:cs="Calibri"/>
        </w:rPr>
        <w:t>According to forecasters’ assessments, inflation will reach about 3.5 percent at the beginning of 2025, partly in view of the expected increase in VAT in 2025</w:t>
      </w:r>
      <w:r w:rsidR="00AA7BE6" w:rsidRPr="00A93FAB">
        <w:rPr>
          <w:rFonts w:ascii="Calibri" w:hAnsi="Calibri" w:cs="Calibri"/>
        </w:rPr>
        <w:t>, and will then moderate toward the upper bound of the target range</w:t>
      </w:r>
      <w:r w:rsidR="00EC2E6D" w:rsidRPr="00A93FAB">
        <w:rPr>
          <w:rFonts w:ascii="Calibri" w:hAnsi="Calibri" w:cs="Calibri"/>
        </w:rPr>
        <w:t xml:space="preserve"> (</w:t>
      </w:r>
      <w:r w:rsidR="00EC2E6D" w:rsidRPr="00A93FAB">
        <w:rPr>
          <w:rFonts w:ascii="Calibri" w:hAnsi="Calibri" w:cs="Calibri"/>
          <w:b/>
          <w:bCs/>
        </w:rPr>
        <w:t xml:space="preserve">Figure </w:t>
      </w:r>
      <w:r w:rsidR="00EC2E6D" w:rsidRPr="00A93FAB">
        <w:rPr>
          <w:rFonts w:ascii="Calibri" w:hAnsi="Calibri" w:cs="Calibri"/>
        </w:rPr>
        <w:t xml:space="preserve">5). </w:t>
      </w:r>
      <w:r w:rsidR="00797A81" w:rsidRPr="00A93FAB">
        <w:rPr>
          <w:rFonts w:ascii="Calibri" w:hAnsi="Calibri" w:cs="Calibri"/>
        </w:rPr>
        <w:t xml:space="preserve">Inflation expectations </w:t>
      </w:r>
      <w:r w:rsidR="002B2E6D" w:rsidRPr="00A93FAB">
        <w:rPr>
          <w:rFonts w:ascii="Calibri" w:hAnsi="Calibri" w:cs="Calibri"/>
        </w:rPr>
        <w:t>for the coming year</w:t>
      </w:r>
      <w:r w:rsidR="009E4057" w:rsidRPr="00A93FAB">
        <w:rPr>
          <w:rFonts w:ascii="Calibri" w:hAnsi="Calibri" w:cs="Calibri"/>
        </w:rPr>
        <w:t xml:space="preserve"> </w:t>
      </w:r>
      <w:r w:rsidR="00521F14" w:rsidRPr="00A93FAB">
        <w:rPr>
          <w:rFonts w:ascii="Calibri" w:hAnsi="Calibri" w:cs="Calibri"/>
        </w:rPr>
        <w:t xml:space="preserve">from various sources </w:t>
      </w:r>
      <w:r w:rsidR="002B2E6D" w:rsidRPr="00A93FAB">
        <w:rPr>
          <w:rFonts w:ascii="Calibri" w:hAnsi="Calibri" w:cs="Calibri"/>
        </w:rPr>
        <w:t>are around the upper bound of the target range</w:t>
      </w:r>
      <w:r w:rsidR="00220741" w:rsidRPr="00A93FAB">
        <w:rPr>
          <w:rFonts w:ascii="Calibri" w:hAnsi="Calibri" w:cs="Calibri"/>
        </w:rPr>
        <w:t xml:space="preserve"> </w:t>
      </w:r>
      <w:r w:rsidR="002919ED" w:rsidRPr="00A93FAB">
        <w:rPr>
          <w:rFonts w:ascii="Calibri" w:hAnsi="Calibri" w:cs="Calibri"/>
        </w:rPr>
        <w:t>(</w:t>
      </w:r>
      <w:r w:rsidR="002919ED" w:rsidRPr="00A93FAB">
        <w:rPr>
          <w:rFonts w:ascii="Calibri" w:hAnsi="Calibri" w:cs="Calibri"/>
          <w:b/>
          <w:bCs/>
        </w:rPr>
        <w:t>Figure 6</w:t>
      </w:r>
      <w:r w:rsidR="00797A81" w:rsidRPr="00A93FAB">
        <w:rPr>
          <w:rFonts w:ascii="Calibri" w:hAnsi="Calibri" w:cs="Calibri"/>
        </w:rPr>
        <w:t>)</w:t>
      </w:r>
      <w:r w:rsidR="002B2E6D" w:rsidRPr="00A93FAB">
        <w:rPr>
          <w:rFonts w:ascii="Calibri" w:hAnsi="Calibri" w:cs="Calibri"/>
        </w:rPr>
        <w:t>.</w:t>
      </w:r>
      <w:r w:rsidR="00797A81" w:rsidRPr="00A93FAB">
        <w:rPr>
          <w:rFonts w:ascii="Calibri" w:hAnsi="Calibri" w:cs="Calibri"/>
        </w:rPr>
        <w:t xml:space="preserve"> </w:t>
      </w:r>
      <w:r w:rsidR="002B2E6D" w:rsidRPr="00A93FAB">
        <w:rPr>
          <w:rFonts w:ascii="Calibri" w:hAnsi="Calibri" w:cs="Calibri"/>
        </w:rPr>
        <w:t>E</w:t>
      </w:r>
      <w:r w:rsidR="00BF4973" w:rsidRPr="00A93FAB">
        <w:rPr>
          <w:rFonts w:ascii="Calibri" w:hAnsi="Calibri" w:cs="Calibri"/>
        </w:rPr>
        <w:t xml:space="preserve">xpectations for the second year and </w:t>
      </w:r>
      <w:r w:rsidR="00521F14" w:rsidRPr="00A93FAB">
        <w:rPr>
          <w:rFonts w:ascii="Calibri" w:hAnsi="Calibri" w:cs="Calibri"/>
        </w:rPr>
        <w:t>forward</w:t>
      </w:r>
      <w:r w:rsidR="00BF4973" w:rsidRPr="00A93FAB">
        <w:rPr>
          <w:rFonts w:ascii="Calibri" w:hAnsi="Calibri" w:cs="Calibri"/>
        </w:rPr>
        <w:t xml:space="preserve"> </w:t>
      </w:r>
      <w:r w:rsidR="002B2E6D" w:rsidRPr="00A93FAB">
        <w:rPr>
          <w:rFonts w:ascii="Calibri" w:hAnsi="Calibri" w:cs="Calibri"/>
        </w:rPr>
        <w:t>are within the target range</w:t>
      </w:r>
      <w:r w:rsidR="00247CB6" w:rsidRPr="00A93FAB">
        <w:rPr>
          <w:rFonts w:ascii="Calibri" w:hAnsi="Calibri" w:cs="Calibri"/>
        </w:rPr>
        <w:t>, in its upper portion</w:t>
      </w:r>
      <w:r w:rsidR="00F33E5A" w:rsidRPr="00A93FAB">
        <w:rPr>
          <w:rFonts w:ascii="Calibri" w:hAnsi="Calibri" w:cs="Calibri"/>
        </w:rPr>
        <w:t xml:space="preserve"> </w:t>
      </w:r>
      <w:r w:rsidR="00BF4973" w:rsidRPr="00A93FAB">
        <w:rPr>
          <w:rFonts w:ascii="Calibri" w:hAnsi="Calibri" w:cs="Calibri"/>
        </w:rPr>
        <w:t>(</w:t>
      </w:r>
      <w:r w:rsidR="00BF4973" w:rsidRPr="00A93FAB">
        <w:rPr>
          <w:rFonts w:ascii="Calibri" w:hAnsi="Calibri" w:cs="Calibri"/>
          <w:b/>
          <w:bCs/>
        </w:rPr>
        <w:t>Figure 7</w:t>
      </w:r>
      <w:r w:rsidR="00BF4973" w:rsidRPr="00A93FAB">
        <w:rPr>
          <w:rFonts w:ascii="Calibri" w:hAnsi="Calibri" w:cs="Calibri"/>
        </w:rPr>
        <w:t>).</w:t>
      </w:r>
      <w:r w:rsidR="00195AC7" w:rsidRPr="00A93FAB">
        <w:rPr>
          <w:rFonts w:ascii="Calibri" w:hAnsi="Calibri" w:cs="Calibri"/>
        </w:rPr>
        <w:t xml:space="preserve"> </w:t>
      </w:r>
      <w:r w:rsidR="00247CB6" w:rsidRPr="00A93FAB">
        <w:rPr>
          <w:rFonts w:ascii="Calibri" w:hAnsi="Calibri" w:cs="Calibri"/>
        </w:rPr>
        <w:t>T</w:t>
      </w:r>
      <w:r w:rsidR="002B2E6D" w:rsidRPr="00A93FAB">
        <w:rPr>
          <w:rFonts w:ascii="Calibri" w:hAnsi="Calibri" w:cs="Calibri"/>
        </w:rPr>
        <w:t xml:space="preserve">he Committee’s assessment is that </w:t>
      </w:r>
      <w:r w:rsidR="00946D2C" w:rsidRPr="00A93FAB">
        <w:rPr>
          <w:rFonts w:ascii="Calibri" w:hAnsi="Calibri" w:cs="Calibri"/>
        </w:rPr>
        <w:t xml:space="preserve">there </w:t>
      </w:r>
      <w:r w:rsidR="000C1D36" w:rsidRPr="00A93FAB">
        <w:rPr>
          <w:rFonts w:ascii="Calibri" w:hAnsi="Calibri" w:cs="Calibri"/>
        </w:rPr>
        <w:t xml:space="preserve">are </w:t>
      </w:r>
      <w:r w:rsidR="00E74F4D" w:rsidRPr="00A93FAB">
        <w:rPr>
          <w:rFonts w:ascii="Calibri" w:hAnsi="Calibri" w:cs="Calibri"/>
        </w:rPr>
        <w:t xml:space="preserve">several </w:t>
      </w:r>
      <w:r w:rsidR="000C1D36" w:rsidRPr="00A93FAB">
        <w:rPr>
          <w:rFonts w:ascii="Calibri" w:hAnsi="Calibri" w:cs="Calibri"/>
        </w:rPr>
        <w:t xml:space="preserve">risks of a potential acceleration in inflation: </w:t>
      </w:r>
      <w:r w:rsidR="00E74F4D" w:rsidRPr="00A93FAB">
        <w:rPr>
          <w:rFonts w:ascii="Calibri" w:hAnsi="Calibri" w:cs="Calibri"/>
        </w:rPr>
        <w:t xml:space="preserve">geopolitical </w:t>
      </w:r>
      <w:r w:rsidR="009E4057" w:rsidRPr="00A93FAB">
        <w:rPr>
          <w:rFonts w:ascii="Calibri" w:hAnsi="Calibri" w:cs="Calibri"/>
        </w:rPr>
        <w:t>development</w:t>
      </w:r>
      <w:r w:rsidR="00E74F4D" w:rsidRPr="00A93FAB">
        <w:rPr>
          <w:rFonts w:ascii="Calibri" w:hAnsi="Calibri" w:cs="Calibri"/>
        </w:rPr>
        <w:t xml:space="preserve">s and their </w:t>
      </w:r>
      <w:r w:rsidR="009E4057" w:rsidRPr="00A93FAB">
        <w:rPr>
          <w:rFonts w:ascii="Calibri" w:hAnsi="Calibri" w:cs="Calibri"/>
        </w:rPr>
        <w:t>effect</w:t>
      </w:r>
      <w:r w:rsidR="00E74F4D" w:rsidRPr="00A93FAB">
        <w:rPr>
          <w:rFonts w:ascii="Calibri" w:hAnsi="Calibri" w:cs="Calibri"/>
        </w:rPr>
        <w:t xml:space="preserve">s </w:t>
      </w:r>
      <w:r w:rsidR="000C1D36" w:rsidRPr="00A93FAB">
        <w:rPr>
          <w:rFonts w:ascii="Calibri" w:hAnsi="Calibri" w:cs="Calibri"/>
        </w:rPr>
        <w:t xml:space="preserve">on economic activity, </w:t>
      </w:r>
      <w:r w:rsidR="009E4057" w:rsidRPr="00A93FAB">
        <w:rPr>
          <w:rFonts w:ascii="Calibri" w:hAnsi="Calibri" w:cs="Calibri"/>
        </w:rPr>
        <w:t xml:space="preserve">a </w:t>
      </w:r>
      <w:r w:rsidR="000C1D36" w:rsidRPr="00A93FAB">
        <w:rPr>
          <w:rFonts w:ascii="Calibri" w:hAnsi="Calibri" w:cs="Calibri"/>
        </w:rPr>
        <w:t xml:space="preserve">depreciation of the shekel, </w:t>
      </w:r>
      <w:r w:rsidR="00E74F4D" w:rsidRPr="00A93FAB">
        <w:rPr>
          <w:rFonts w:ascii="Calibri" w:hAnsi="Calibri" w:cs="Calibri"/>
        </w:rPr>
        <w:t xml:space="preserve">continued supply </w:t>
      </w:r>
      <w:r w:rsidR="009E4057" w:rsidRPr="00A93FAB">
        <w:rPr>
          <w:rFonts w:ascii="Calibri" w:hAnsi="Calibri" w:cs="Calibri"/>
        </w:rPr>
        <w:t xml:space="preserve">constraints on activity in the </w:t>
      </w:r>
      <w:r w:rsidR="00EC2E6D" w:rsidRPr="00A93FAB">
        <w:rPr>
          <w:rFonts w:ascii="Calibri" w:hAnsi="Calibri" w:cs="Calibri"/>
        </w:rPr>
        <w:t>housing market</w:t>
      </w:r>
      <w:r w:rsidR="009E4057" w:rsidRPr="00A93FAB">
        <w:rPr>
          <w:rFonts w:ascii="Calibri" w:hAnsi="Calibri" w:cs="Calibri"/>
        </w:rPr>
        <w:t xml:space="preserve"> </w:t>
      </w:r>
      <w:r w:rsidR="00E74F4D" w:rsidRPr="00A93FAB">
        <w:rPr>
          <w:rFonts w:ascii="Calibri" w:hAnsi="Calibri" w:cs="Calibri"/>
        </w:rPr>
        <w:t>and</w:t>
      </w:r>
      <w:r w:rsidR="00EC2E6D" w:rsidRPr="00A93FAB">
        <w:rPr>
          <w:rFonts w:ascii="Calibri" w:hAnsi="Calibri" w:cs="Calibri"/>
        </w:rPr>
        <w:t xml:space="preserve"> the</w:t>
      </w:r>
      <w:r w:rsidR="00E74F4D" w:rsidRPr="00A93FAB">
        <w:rPr>
          <w:rFonts w:ascii="Calibri" w:hAnsi="Calibri" w:cs="Calibri"/>
        </w:rPr>
        <w:t xml:space="preserve"> air travel </w:t>
      </w:r>
      <w:r w:rsidR="009E4057" w:rsidRPr="00A93FAB">
        <w:rPr>
          <w:rFonts w:ascii="Calibri" w:hAnsi="Calibri" w:cs="Calibri"/>
        </w:rPr>
        <w:t>industr</w:t>
      </w:r>
      <w:r w:rsidR="00EC2E6D" w:rsidRPr="00A93FAB">
        <w:rPr>
          <w:rFonts w:ascii="Calibri" w:hAnsi="Calibri" w:cs="Calibri"/>
        </w:rPr>
        <w:t>y</w:t>
      </w:r>
      <w:r w:rsidR="009E4057" w:rsidRPr="00A93FAB">
        <w:rPr>
          <w:rFonts w:ascii="Calibri" w:hAnsi="Calibri" w:cs="Calibri"/>
        </w:rPr>
        <w:t xml:space="preserve">, </w:t>
      </w:r>
      <w:r w:rsidR="000C1D36" w:rsidRPr="00A93FAB">
        <w:rPr>
          <w:rFonts w:ascii="Calibri" w:hAnsi="Calibri" w:cs="Calibri"/>
        </w:rPr>
        <w:t xml:space="preserve">fiscal </w:t>
      </w:r>
      <w:r w:rsidR="009E4057" w:rsidRPr="00A93FAB">
        <w:rPr>
          <w:rFonts w:ascii="Calibri" w:hAnsi="Calibri" w:cs="Calibri"/>
        </w:rPr>
        <w:t xml:space="preserve">developments, and global </w:t>
      </w:r>
      <w:r w:rsidR="00747346" w:rsidRPr="00A93FAB">
        <w:rPr>
          <w:rFonts w:ascii="Calibri" w:hAnsi="Calibri" w:cs="Calibri"/>
        </w:rPr>
        <w:t xml:space="preserve">oil </w:t>
      </w:r>
      <w:r w:rsidR="009E4057" w:rsidRPr="00A93FAB">
        <w:rPr>
          <w:rFonts w:ascii="Calibri" w:hAnsi="Calibri" w:cs="Calibri"/>
        </w:rPr>
        <w:t>price</w:t>
      </w:r>
      <w:r w:rsidR="00747346" w:rsidRPr="00A93FAB">
        <w:rPr>
          <w:rFonts w:ascii="Calibri" w:hAnsi="Calibri" w:cs="Calibri"/>
        </w:rPr>
        <w:t>s</w:t>
      </w:r>
      <w:r w:rsidR="000C1D36" w:rsidRPr="00A93FAB">
        <w:rPr>
          <w:rFonts w:ascii="Calibri" w:hAnsi="Calibri" w:cs="Calibri"/>
        </w:rPr>
        <w:t>.</w:t>
      </w:r>
    </w:p>
    <w:p w14:paraId="6A4A866E" w14:textId="48140A18" w:rsidR="00ED3EA8" w:rsidRPr="00A93FAB" w:rsidRDefault="00ED3EA8" w:rsidP="00ED3EA8">
      <w:pPr>
        <w:jc w:val="both"/>
        <w:rPr>
          <w:rFonts w:ascii="Calibri" w:hAnsi="Calibri" w:cs="Calibri"/>
        </w:rPr>
      </w:pPr>
    </w:p>
    <w:p w14:paraId="43D41648" w14:textId="37FF1BF2" w:rsidR="00ED3EA8" w:rsidRPr="00A93FAB" w:rsidRDefault="00ED3EA8" w:rsidP="00D97EE1">
      <w:pPr>
        <w:jc w:val="both"/>
        <w:rPr>
          <w:rFonts w:ascii="Calibri" w:hAnsi="Calibri" w:cs="Calibri"/>
        </w:rPr>
      </w:pPr>
      <w:r w:rsidRPr="00A93FAB">
        <w:rPr>
          <w:rFonts w:ascii="Calibri" w:hAnsi="Calibri" w:cs="Calibri"/>
        </w:rPr>
        <w:t xml:space="preserve">Since the previous interest rate decision, the shekel </w:t>
      </w:r>
      <w:r w:rsidR="00EC2E6D" w:rsidRPr="00A93FAB">
        <w:rPr>
          <w:rFonts w:ascii="Calibri" w:hAnsi="Calibri" w:cs="Calibri"/>
        </w:rPr>
        <w:t>depreciated</w:t>
      </w:r>
      <w:r w:rsidR="00D71304" w:rsidRPr="00A93FAB">
        <w:rPr>
          <w:rFonts w:ascii="Calibri" w:hAnsi="Calibri" w:cs="Calibri"/>
        </w:rPr>
        <w:t xml:space="preserve"> </w:t>
      </w:r>
      <w:r w:rsidRPr="00A93FAB">
        <w:rPr>
          <w:rFonts w:ascii="Calibri" w:hAnsi="Calibri" w:cs="Calibri"/>
        </w:rPr>
        <w:t xml:space="preserve">by </w:t>
      </w:r>
      <w:r w:rsidR="002B2E6D" w:rsidRPr="00A93FAB">
        <w:rPr>
          <w:rFonts w:ascii="Calibri" w:hAnsi="Calibri" w:cs="Calibri"/>
        </w:rPr>
        <w:t xml:space="preserve">about </w:t>
      </w:r>
      <w:r w:rsidR="00D71304" w:rsidRPr="00A93FAB">
        <w:rPr>
          <w:rFonts w:ascii="Calibri" w:hAnsi="Calibri" w:cs="Calibri"/>
        </w:rPr>
        <w:t>1.</w:t>
      </w:r>
      <w:r w:rsidR="00EC2E6D" w:rsidRPr="00A93FAB">
        <w:rPr>
          <w:rFonts w:ascii="Calibri" w:hAnsi="Calibri" w:cs="Calibri"/>
        </w:rPr>
        <w:t>3</w:t>
      </w:r>
      <w:r w:rsidR="00D71304" w:rsidRPr="00A93FAB">
        <w:rPr>
          <w:rFonts w:ascii="Calibri" w:hAnsi="Calibri" w:cs="Calibri"/>
        </w:rPr>
        <w:t xml:space="preserve"> </w:t>
      </w:r>
      <w:r w:rsidRPr="00A93FAB">
        <w:rPr>
          <w:rFonts w:ascii="Calibri" w:hAnsi="Calibri" w:cs="Calibri"/>
        </w:rPr>
        <w:t>percent against the US dollar</w:t>
      </w:r>
      <w:r w:rsidR="002B2E6D" w:rsidRPr="00A93FAB">
        <w:rPr>
          <w:rFonts w:ascii="Calibri" w:hAnsi="Calibri" w:cs="Calibri"/>
        </w:rPr>
        <w:t xml:space="preserve"> </w:t>
      </w:r>
      <w:r w:rsidR="007D76E3" w:rsidRPr="00A93FAB">
        <w:rPr>
          <w:rFonts w:ascii="Calibri" w:hAnsi="Calibri" w:cs="Calibri"/>
        </w:rPr>
        <w:t>and</w:t>
      </w:r>
      <w:r w:rsidRPr="00A93FAB">
        <w:rPr>
          <w:rFonts w:ascii="Calibri" w:hAnsi="Calibri" w:cs="Calibri"/>
        </w:rPr>
        <w:t xml:space="preserve"> against the euro</w:t>
      </w:r>
      <w:r w:rsidR="007E212C" w:rsidRPr="00A93FAB">
        <w:rPr>
          <w:rFonts w:ascii="Calibri" w:hAnsi="Calibri" w:cs="Calibri"/>
        </w:rPr>
        <w:t>,</w:t>
      </w:r>
      <w:r w:rsidRPr="00A93FAB">
        <w:rPr>
          <w:rFonts w:ascii="Calibri" w:hAnsi="Calibri" w:cs="Calibri"/>
        </w:rPr>
        <w:t xml:space="preserve"> and by </w:t>
      </w:r>
      <w:r w:rsidR="00D71304" w:rsidRPr="00A93FAB">
        <w:rPr>
          <w:rFonts w:ascii="Calibri" w:hAnsi="Calibri" w:cs="Calibri"/>
        </w:rPr>
        <w:t xml:space="preserve">1 </w:t>
      </w:r>
      <w:r w:rsidRPr="00A93FAB">
        <w:rPr>
          <w:rFonts w:ascii="Calibri" w:hAnsi="Calibri" w:cs="Calibri"/>
        </w:rPr>
        <w:t xml:space="preserve">percent in terms of the </w:t>
      </w:r>
      <w:r w:rsidR="00D71304" w:rsidRPr="00A93FAB">
        <w:rPr>
          <w:rFonts w:ascii="Calibri" w:hAnsi="Calibri" w:cs="Calibri"/>
        </w:rPr>
        <w:t>nominal effective exchange rate</w:t>
      </w:r>
      <w:r w:rsidR="00EC2E6D" w:rsidRPr="00A93FAB">
        <w:rPr>
          <w:rFonts w:ascii="Calibri" w:hAnsi="Calibri" w:cs="Calibri"/>
        </w:rPr>
        <w:t>, with high</w:t>
      </w:r>
      <w:r w:rsidR="007D76E3" w:rsidRPr="00A93FAB">
        <w:rPr>
          <w:rFonts w:ascii="Calibri" w:hAnsi="Calibri" w:cs="Calibri"/>
        </w:rPr>
        <w:t xml:space="preserve"> volatil</w:t>
      </w:r>
      <w:r w:rsidR="00EC2E6D" w:rsidRPr="00A93FAB">
        <w:rPr>
          <w:rFonts w:ascii="Calibri" w:hAnsi="Calibri" w:cs="Calibri"/>
        </w:rPr>
        <w:t>ity</w:t>
      </w:r>
      <w:r w:rsidR="00D71304" w:rsidRPr="00A93FAB">
        <w:rPr>
          <w:rFonts w:ascii="Calibri" w:hAnsi="Calibri" w:cs="Calibri"/>
        </w:rPr>
        <w:t xml:space="preserve"> </w:t>
      </w:r>
      <w:r w:rsidR="007D76E3" w:rsidRPr="00A93FAB">
        <w:rPr>
          <w:rFonts w:ascii="Calibri" w:hAnsi="Calibri" w:cs="Calibri"/>
        </w:rPr>
        <w:t xml:space="preserve">influenced </w:t>
      </w:r>
      <w:r w:rsidR="00D71304" w:rsidRPr="00A93FAB">
        <w:rPr>
          <w:rFonts w:ascii="Calibri" w:hAnsi="Calibri" w:cs="Calibri"/>
        </w:rPr>
        <w:t>by developments</w:t>
      </w:r>
      <w:r w:rsidR="00D97EE1" w:rsidRPr="00A93FAB">
        <w:rPr>
          <w:rFonts w:ascii="Calibri" w:hAnsi="Calibri" w:cs="Calibri"/>
        </w:rPr>
        <w:t xml:space="preserve"> in the war and in the geopolitical environment</w:t>
      </w:r>
      <w:r w:rsidR="00D71304" w:rsidRPr="00A93FAB">
        <w:rPr>
          <w:rFonts w:ascii="Calibri" w:hAnsi="Calibri" w:cs="Calibri"/>
        </w:rPr>
        <w:t>.</w:t>
      </w:r>
    </w:p>
    <w:p w14:paraId="50DFD334" w14:textId="35B645E3" w:rsidR="00D97EE1" w:rsidRPr="00A93FAB" w:rsidRDefault="00D97EE1" w:rsidP="00D97EE1">
      <w:pPr>
        <w:jc w:val="both"/>
        <w:rPr>
          <w:rFonts w:ascii="Calibri" w:hAnsi="Calibri" w:cs="Calibri"/>
        </w:rPr>
      </w:pPr>
    </w:p>
    <w:p w14:paraId="2CA3E0B2" w14:textId="470F1591" w:rsidR="00D97EE1" w:rsidRPr="00A93FAB" w:rsidRDefault="00D97EE1" w:rsidP="00AA7BE6">
      <w:pPr>
        <w:jc w:val="both"/>
        <w:rPr>
          <w:rFonts w:ascii="Calibri" w:hAnsi="Calibri" w:cs="Calibri"/>
        </w:rPr>
      </w:pPr>
      <w:r w:rsidRPr="00A93FAB">
        <w:rPr>
          <w:rFonts w:ascii="Calibri" w:hAnsi="Calibri" w:cs="Calibri"/>
        </w:rPr>
        <w:t xml:space="preserve">The Research Department revised its macroeconomic forecast.  Relative to the previous forecast from April, the Research Department assumes that the war will last at a higher intensity until the end of 2024, and will subside at the beginning of 2025.  The growth forecast </w:t>
      </w:r>
      <w:proofErr w:type="gramStart"/>
      <w:r w:rsidRPr="00A93FAB">
        <w:rPr>
          <w:rFonts w:ascii="Calibri" w:hAnsi="Calibri" w:cs="Calibri"/>
        </w:rPr>
        <w:t>was therefore revised</w:t>
      </w:r>
      <w:proofErr w:type="gramEnd"/>
      <w:r w:rsidRPr="00A93FAB">
        <w:rPr>
          <w:rFonts w:ascii="Calibri" w:hAnsi="Calibri" w:cs="Calibri"/>
        </w:rPr>
        <w:t xml:space="preserve"> downward.  GDP </w:t>
      </w:r>
      <w:proofErr w:type="gramStart"/>
      <w:r w:rsidRPr="00A93FAB">
        <w:rPr>
          <w:rFonts w:ascii="Calibri" w:hAnsi="Calibri" w:cs="Calibri"/>
        </w:rPr>
        <w:t>is expected</w:t>
      </w:r>
      <w:proofErr w:type="gramEnd"/>
      <w:r w:rsidRPr="00A93FAB">
        <w:rPr>
          <w:rFonts w:ascii="Calibri" w:hAnsi="Calibri" w:cs="Calibri"/>
        </w:rPr>
        <w:t xml:space="preserve"> to grow by 1.5 percent in 2024 and by 4.2 percent in 2025 (</w:t>
      </w:r>
      <w:r w:rsidRPr="00A93FAB">
        <w:rPr>
          <w:rFonts w:ascii="Calibri" w:hAnsi="Calibri" w:cs="Calibri"/>
          <w:b/>
          <w:bCs/>
        </w:rPr>
        <w:t>Figure 12</w:t>
      </w:r>
      <w:r w:rsidRPr="00A93FAB">
        <w:rPr>
          <w:rFonts w:ascii="Calibri" w:hAnsi="Calibri" w:cs="Calibri"/>
        </w:rPr>
        <w:t xml:space="preserve">), which is cumulatively 1.3 percentage points lower than in the previous forecast.  The forecast for the broad unemployment rate among the prime working ages (25–64) </w:t>
      </w:r>
      <w:proofErr w:type="gramStart"/>
      <w:r w:rsidRPr="00A93FAB">
        <w:rPr>
          <w:rFonts w:ascii="Calibri" w:hAnsi="Calibri" w:cs="Calibri"/>
        </w:rPr>
        <w:t>was revised</w:t>
      </w:r>
      <w:proofErr w:type="gramEnd"/>
      <w:r w:rsidRPr="00A93FAB">
        <w:rPr>
          <w:rFonts w:ascii="Calibri" w:hAnsi="Calibri" w:cs="Calibri"/>
        </w:rPr>
        <w:t xml:space="preserve"> downward, and is expected to average 4 percent in 2024 and 3.8 percent in 2025.  The annual inflation rate </w:t>
      </w:r>
      <w:proofErr w:type="gramStart"/>
      <w:r w:rsidRPr="00A93FAB">
        <w:rPr>
          <w:rFonts w:ascii="Calibri" w:hAnsi="Calibri" w:cs="Calibri"/>
        </w:rPr>
        <w:t>is expected</w:t>
      </w:r>
      <w:proofErr w:type="gramEnd"/>
      <w:r w:rsidRPr="00A93FAB">
        <w:rPr>
          <w:rFonts w:ascii="Calibri" w:hAnsi="Calibri" w:cs="Calibri"/>
        </w:rPr>
        <w:t xml:space="preserve"> to be higher than the previous forecast, at 3 percent in 2024 and 2.8 percent in 2025.  The forecast was compiled under the working assumption that the government will make adjustments </w:t>
      </w:r>
      <w:r w:rsidR="00AA7BE6" w:rsidRPr="00A93FAB">
        <w:rPr>
          <w:rFonts w:ascii="Calibri" w:hAnsi="Calibri" w:cs="Calibri"/>
        </w:rPr>
        <w:t xml:space="preserve">of a permanent nature </w:t>
      </w:r>
      <w:r w:rsidRPr="00A93FAB">
        <w:rPr>
          <w:rFonts w:ascii="Calibri" w:hAnsi="Calibri" w:cs="Calibri"/>
        </w:rPr>
        <w:t xml:space="preserve">to reduce the deficit in 2025, which will total NIS 30 billion, and that any additional expenditure that the government may decide upon, including a permanent increase in the defense budget, will be balanced by additional measures.  Among other things, these adjustments include taxation measures that will affect the inflation forecast.  Under this assumption, the deficit in the government budget </w:t>
      </w:r>
      <w:proofErr w:type="gramStart"/>
      <w:r w:rsidRPr="00A93FAB">
        <w:rPr>
          <w:rFonts w:ascii="Calibri" w:hAnsi="Calibri" w:cs="Calibri"/>
        </w:rPr>
        <w:t>is expected</w:t>
      </w:r>
      <w:proofErr w:type="gramEnd"/>
      <w:r w:rsidRPr="00A93FAB">
        <w:rPr>
          <w:rFonts w:ascii="Calibri" w:hAnsi="Calibri" w:cs="Calibri"/>
        </w:rPr>
        <w:t xml:space="preserve"> to be 6.6 percent of GDP in 2024 and about 4 percent in 2025.  The debt to GDP ratio </w:t>
      </w:r>
      <w:proofErr w:type="gramStart"/>
      <w:r w:rsidRPr="00A93FAB">
        <w:rPr>
          <w:rFonts w:ascii="Calibri" w:hAnsi="Calibri" w:cs="Calibri"/>
        </w:rPr>
        <w:t>is expected</w:t>
      </w:r>
      <w:proofErr w:type="gramEnd"/>
      <w:r w:rsidRPr="00A93FAB">
        <w:rPr>
          <w:rFonts w:ascii="Calibri" w:hAnsi="Calibri" w:cs="Calibri"/>
        </w:rPr>
        <w:t xml:space="preserve"> to be 67.5 percent </w:t>
      </w:r>
      <w:r w:rsidRPr="00A93FAB">
        <w:rPr>
          <w:rFonts w:ascii="Calibri" w:hAnsi="Calibri" w:cs="Calibri"/>
        </w:rPr>
        <w:lastRenderedPageBreak/>
        <w:t xml:space="preserve">at the end of 2024, and to increase to 68.5 percent in 2025.  Not making such fiscal adjustments may lead to a change in economic </w:t>
      </w:r>
      <w:proofErr w:type="gramStart"/>
      <w:r w:rsidRPr="00A93FAB">
        <w:rPr>
          <w:rFonts w:ascii="Calibri" w:hAnsi="Calibri" w:cs="Calibri"/>
        </w:rPr>
        <w:t>conditions,</w:t>
      </w:r>
      <w:proofErr w:type="gramEnd"/>
      <w:r w:rsidRPr="00A93FAB">
        <w:rPr>
          <w:rFonts w:ascii="Calibri" w:hAnsi="Calibri" w:cs="Calibri"/>
        </w:rPr>
        <w:t xml:space="preserve"> and thereby to adjustments to the forecast.</w:t>
      </w:r>
    </w:p>
    <w:p w14:paraId="52A9C96C" w14:textId="56A111E5" w:rsidR="00D97EE1" w:rsidRPr="00A93FAB" w:rsidRDefault="00D97EE1" w:rsidP="00D97EE1">
      <w:pPr>
        <w:jc w:val="both"/>
        <w:rPr>
          <w:rFonts w:ascii="Calibri" w:hAnsi="Calibri" w:cs="Calibri"/>
        </w:rPr>
      </w:pPr>
    </w:p>
    <w:p w14:paraId="7C3859FA" w14:textId="38505C34" w:rsidR="00D97EE1" w:rsidRPr="00A93FAB" w:rsidRDefault="00D97EE1" w:rsidP="00120CBC">
      <w:pPr>
        <w:jc w:val="both"/>
        <w:rPr>
          <w:rFonts w:ascii="Calibri" w:hAnsi="Calibri" w:cs="Calibri"/>
        </w:rPr>
      </w:pPr>
      <w:r w:rsidRPr="00A93FAB">
        <w:rPr>
          <w:rFonts w:ascii="Calibri" w:hAnsi="Calibri" w:cs="Calibri"/>
        </w:rPr>
        <w:t>Indicators of economic activity show that the growth of activity moderated in the second quarter, following a sharp recovery in the first quarter.  Supply constraints are making it difficult for economic activity to converge to the prewar trend.  The aggregate balance of the Central Bureau of Statistics Business Tendency Survey for June indicate moderate improvement in the financial state of companies (</w:t>
      </w:r>
      <w:r w:rsidRPr="00A93FAB">
        <w:rPr>
          <w:rFonts w:ascii="Calibri" w:hAnsi="Calibri" w:cs="Calibri"/>
          <w:b/>
          <w:bCs/>
        </w:rPr>
        <w:t>Figure 1</w:t>
      </w:r>
      <w:r w:rsidR="00120CBC" w:rsidRPr="00A93FAB">
        <w:rPr>
          <w:rFonts w:ascii="Calibri" w:hAnsi="Calibri" w:cs="Calibri"/>
          <w:b/>
          <w:bCs/>
        </w:rPr>
        <w:t>5</w:t>
      </w:r>
      <w:r w:rsidRPr="00A93FAB">
        <w:rPr>
          <w:rFonts w:ascii="Calibri" w:hAnsi="Calibri" w:cs="Calibri"/>
        </w:rPr>
        <w:t>).</w:t>
      </w:r>
      <w:r w:rsidR="00066322" w:rsidRPr="00A93FAB">
        <w:rPr>
          <w:rFonts w:ascii="Calibri" w:hAnsi="Calibri" w:cs="Calibri"/>
        </w:rPr>
        <w:t xml:space="preserve">  The rate of companies in the services and manufacturing industries that reported a moderate or serious constraint in activity due to a shortage of equipment and raw materials declined, but the level remains higher than before the war.  The equipment constraint in the construction industry remains high (</w:t>
      </w:r>
      <w:r w:rsidR="00066322" w:rsidRPr="00A93FAB">
        <w:rPr>
          <w:rFonts w:ascii="Calibri" w:hAnsi="Calibri" w:cs="Calibri"/>
          <w:b/>
          <w:bCs/>
        </w:rPr>
        <w:t>Figure 1</w:t>
      </w:r>
      <w:r w:rsidR="00120CBC" w:rsidRPr="00A93FAB">
        <w:rPr>
          <w:rFonts w:ascii="Calibri" w:hAnsi="Calibri" w:cs="Calibri"/>
          <w:b/>
          <w:bCs/>
        </w:rPr>
        <w:t>6</w:t>
      </w:r>
      <w:r w:rsidR="00066322" w:rsidRPr="00A93FAB">
        <w:rPr>
          <w:rFonts w:ascii="Calibri" w:hAnsi="Calibri" w:cs="Calibri"/>
        </w:rPr>
        <w:t>).  According to the Survey, the constraint on expanding activity due to difficulty in hiring workers (moderate or serious) remained higher than before the war in most industries.</w:t>
      </w:r>
    </w:p>
    <w:p w14:paraId="651EE8B3" w14:textId="6DD20EB7" w:rsidR="00D71304" w:rsidRPr="00A93FAB" w:rsidRDefault="00D71304" w:rsidP="00D71304">
      <w:pPr>
        <w:jc w:val="both"/>
        <w:rPr>
          <w:rFonts w:ascii="Calibri" w:hAnsi="Calibri" w:cs="Calibri"/>
        </w:rPr>
      </w:pPr>
    </w:p>
    <w:p w14:paraId="5B478F8B" w14:textId="4C1809C3" w:rsidR="002041D4" w:rsidRPr="00A93FAB" w:rsidRDefault="002041D4" w:rsidP="00120CBC">
      <w:pPr>
        <w:spacing w:before="240"/>
        <w:jc w:val="both"/>
        <w:rPr>
          <w:rFonts w:ascii="Calibri" w:hAnsi="Calibri" w:cs="Calibri"/>
        </w:rPr>
      </w:pPr>
      <w:r w:rsidRPr="00A93FAB">
        <w:rPr>
          <w:rFonts w:ascii="Calibri" w:hAnsi="Calibri" w:cs="Calibri"/>
        </w:rPr>
        <w:t xml:space="preserve">Credit card expenditure volume remained </w:t>
      </w:r>
      <w:r w:rsidR="00066322" w:rsidRPr="00A93FAB">
        <w:rPr>
          <w:rFonts w:ascii="Calibri" w:hAnsi="Calibri" w:cs="Calibri"/>
        </w:rPr>
        <w:t>relatively stable in recent months, following the sharp decline at the beginning of the war and the recovery that followed (</w:t>
      </w:r>
      <w:r w:rsidR="00066322" w:rsidRPr="00A93FAB">
        <w:rPr>
          <w:rFonts w:ascii="Calibri" w:hAnsi="Calibri" w:cs="Calibri"/>
          <w:b/>
          <w:bCs/>
        </w:rPr>
        <w:t>Figure 14</w:t>
      </w:r>
      <w:r w:rsidR="00066322" w:rsidRPr="00A93FAB">
        <w:rPr>
          <w:rFonts w:ascii="Calibri" w:hAnsi="Calibri" w:cs="Calibri"/>
        </w:rPr>
        <w:t>).</w:t>
      </w:r>
      <w:r w:rsidRPr="00A93FAB">
        <w:rPr>
          <w:rFonts w:ascii="Calibri" w:hAnsi="Calibri" w:cs="Calibri"/>
        </w:rPr>
        <w:t xml:space="preserve"> </w:t>
      </w:r>
      <w:r w:rsidR="00066322" w:rsidRPr="00A93FAB">
        <w:rPr>
          <w:rFonts w:ascii="Calibri" w:hAnsi="Calibri" w:cs="Calibri"/>
        </w:rPr>
        <w:t xml:space="preserve">Foreign trade data </w:t>
      </w:r>
      <w:r w:rsidR="00120CBC" w:rsidRPr="00A93FAB">
        <w:rPr>
          <w:rFonts w:ascii="Calibri" w:hAnsi="Calibri" w:cs="Calibri"/>
        </w:rPr>
        <w:t>show</w:t>
      </w:r>
      <w:r w:rsidR="00066322" w:rsidRPr="00A93FAB">
        <w:rPr>
          <w:rFonts w:ascii="Calibri" w:hAnsi="Calibri" w:cs="Calibri"/>
        </w:rPr>
        <w:t xml:space="preserve"> a decline in goods exports in May, alongside increases in services exports and in goods imports (</w:t>
      </w:r>
      <w:r w:rsidR="00066322" w:rsidRPr="00A93FAB">
        <w:rPr>
          <w:rFonts w:ascii="Calibri" w:hAnsi="Calibri" w:cs="Calibri"/>
          <w:b/>
          <w:bCs/>
        </w:rPr>
        <w:t>Figures 2</w:t>
      </w:r>
      <w:r w:rsidR="00120CBC" w:rsidRPr="00A93FAB">
        <w:rPr>
          <w:rFonts w:ascii="Calibri" w:hAnsi="Calibri" w:cs="Calibri"/>
          <w:b/>
          <w:bCs/>
        </w:rPr>
        <w:t>2</w:t>
      </w:r>
      <w:r w:rsidR="00066322" w:rsidRPr="00A93FAB">
        <w:rPr>
          <w:rFonts w:ascii="Calibri" w:hAnsi="Calibri" w:cs="Calibri"/>
          <w:b/>
          <w:bCs/>
        </w:rPr>
        <w:t xml:space="preserve"> and 2</w:t>
      </w:r>
      <w:r w:rsidR="00120CBC" w:rsidRPr="00A93FAB">
        <w:rPr>
          <w:rFonts w:ascii="Calibri" w:hAnsi="Calibri" w:cs="Calibri"/>
          <w:b/>
          <w:bCs/>
        </w:rPr>
        <w:t>3</w:t>
      </w:r>
      <w:r w:rsidR="00066322" w:rsidRPr="00A93FAB">
        <w:rPr>
          <w:rFonts w:ascii="Calibri" w:hAnsi="Calibri" w:cs="Calibri"/>
        </w:rPr>
        <w:t xml:space="preserve">).  The most significant increase in imports between March and May </w:t>
      </w:r>
      <w:r w:rsidR="00B54008" w:rsidRPr="00A93FAB">
        <w:rPr>
          <w:rFonts w:ascii="Calibri" w:hAnsi="Calibri" w:cs="Calibri"/>
        </w:rPr>
        <w:t>relative to</w:t>
      </w:r>
      <w:r w:rsidR="00066322" w:rsidRPr="00A93FAB">
        <w:rPr>
          <w:rFonts w:ascii="Calibri" w:hAnsi="Calibri" w:cs="Calibri"/>
        </w:rPr>
        <w:t xml:space="preserve"> the preceding three</w:t>
      </w:r>
      <w:r w:rsidR="00120CBC" w:rsidRPr="00A93FAB">
        <w:rPr>
          <w:rFonts w:ascii="Calibri" w:hAnsi="Calibri" w:cs="Calibri"/>
        </w:rPr>
        <w:t>-</w:t>
      </w:r>
      <w:r w:rsidR="00066322" w:rsidRPr="00A93FAB">
        <w:rPr>
          <w:rFonts w:ascii="Calibri" w:hAnsi="Calibri" w:cs="Calibri"/>
        </w:rPr>
        <w:t>month</w:t>
      </w:r>
      <w:r w:rsidR="00B54008" w:rsidRPr="00A93FAB">
        <w:rPr>
          <w:rFonts w:ascii="Calibri" w:hAnsi="Calibri" w:cs="Calibri"/>
        </w:rPr>
        <w:t xml:space="preserve"> period</w:t>
      </w:r>
      <w:r w:rsidR="00066322" w:rsidRPr="00A93FAB">
        <w:rPr>
          <w:rFonts w:ascii="Calibri" w:hAnsi="Calibri" w:cs="Calibri"/>
        </w:rPr>
        <w:t xml:space="preserve"> was in the import of consumption goods (13 percent).  There was also growth in the import of raw materials (8 percent) and in the import of investment products (2 percent).  The cumulative </w:t>
      </w:r>
      <w:r w:rsidR="00120CBC" w:rsidRPr="00A93FAB">
        <w:rPr>
          <w:rFonts w:ascii="Calibri" w:hAnsi="Calibri" w:cs="Calibri"/>
        </w:rPr>
        <w:t xml:space="preserve">budget </w:t>
      </w:r>
      <w:r w:rsidR="00066322" w:rsidRPr="00A93FAB">
        <w:rPr>
          <w:rFonts w:ascii="Calibri" w:hAnsi="Calibri" w:cs="Calibri"/>
        </w:rPr>
        <w:t>deficit in the past 12 months continued to increase in June, to 7.</w:t>
      </w:r>
      <w:r w:rsidR="00142107" w:rsidRPr="00A93FAB">
        <w:rPr>
          <w:rFonts w:ascii="Calibri" w:hAnsi="Calibri" w:cs="Calibri"/>
        </w:rPr>
        <w:t>6</w:t>
      </w:r>
      <w:r w:rsidR="00066322" w:rsidRPr="00A93FAB">
        <w:rPr>
          <w:rFonts w:ascii="Calibri" w:hAnsi="Calibri" w:cs="Calibri"/>
        </w:rPr>
        <w:t xml:space="preserve"> percent of GDP.  The trend of growth in the deficit </w:t>
      </w:r>
      <w:proofErr w:type="gramStart"/>
      <w:r w:rsidR="00066322" w:rsidRPr="00A93FAB">
        <w:rPr>
          <w:rFonts w:ascii="Calibri" w:hAnsi="Calibri" w:cs="Calibri"/>
        </w:rPr>
        <w:t>is expected</w:t>
      </w:r>
      <w:proofErr w:type="gramEnd"/>
      <w:r w:rsidR="00066322" w:rsidRPr="00A93FAB">
        <w:rPr>
          <w:rFonts w:ascii="Calibri" w:hAnsi="Calibri" w:cs="Calibri"/>
        </w:rPr>
        <w:t xml:space="preserve"> to continue in the coming months, </w:t>
      </w:r>
      <w:r w:rsidR="00AA7BE6" w:rsidRPr="00A93FAB">
        <w:rPr>
          <w:rFonts w:ascii="Calibri" w:hAnsi="Calibri" w:cs="Calibri"/>
        </w:rPr>
        <w:t xml:space="preserve">following which the deficit is expected to decline back </w:t>
      </w:r>
      <w:r w:rsidR="00066322" w:rsidRPr="00A93FAB">
        <w:rPr>
          <w:rFonts w:ascii="Calibri" w:hAnsi="Calibri" w:cs="Calibri"/>
        </w:rPr>
        <w:t>to 6.6 percent</w:t>
      </w:r>
      <w:r w:rsidR="00AA7BE6" w:rsidRPr="00A93FAB">
        <w:rPr>
          <w:rFonts w:ascii="Calibri" w:hAnsi="Calibri" w:cs="Calibri"/>
        </w:rPr>
        <w:t xml:space="preserve"> in the fourth quarter of the year</w:t>
      </w:r>
      <w:r w:rsidR="00066322" w:rsidRPr="00A93FAB">
        <w:rPr>
          <w:rFonts w:ascii="Calibri" w:hAnsi="Calibri" w:cs="Calibri"/>
        </w:rPr>
        <w:t>, as long as defense expenditures d</w:t>
      </w:r>
      <w:r w:rsidR="00120CBC" w:rsidRPr="00A93FAB">
        <w:rPr>
          <w:rFonts w:ascii="Calibri" w:hAnsi="Calibri" w:cs="Calibri"/>
        </w:rPr>
        <w:t>o</w:t>
      </w:r>
      <w:r w:rsidR="00066322" w:rsidRPr="00A93FAB">
        <w:rPr>
          <w:rFonts w:ascii="Calibri" w:hAnsi="Calibri" w:cs="Calibri"/>
        </w:rPr>
        <w:t xml:space="preserve"> not significantly exceed the current path due to the war. </w:t>
      </w:r>
    </w:p>
    <w:p w14:paraId="4B198F0E" w14:textId="68E12D42" w:rsidR="00ED3EA8" w:rsidRPr="00A93FAB" w:rsidRDefault="00ED3EA8" w:rsidP="00ED3EA8">
      <w:pPr>
        <w:jc w:val="both"/>
        <w:rPr>
          <w:rFonts w:ascii="Calibri" w:hAnsi="Calibri" w:cs="Calibri"/>
        </w:rPr>
      </w:pPr>
    </w:p>
    <w:p w14:paraId="5906F200" w14:textId="77777777" w:rsidR="0006797C" w:rsidRPr="00A93FAB" w:rsidRDefault="005E1C22" w:rsidP="000337D1">
      <w:pPr>
        <w:jc w:val="both"/>
        <w:rPr>
          <w:rFonts w:ascii="Calibri" w:hAnsi="Calibri" w:cs="Calibri"/>
        </w:rPr>
      </w:pPr>
      <w:r w:rsidRPr="00A93FAB">
        <w:rPr>
          <w:rFonts w:ascii="Calibri" w:hAnsi="Calibri" w:cs="Calibri"/>
        </w:rPr>
        <w:t xml:space="preserve">The labor market </w:t>
      </w:r>
      <w:r w:rsidR="0006797C" w:rsidRPr="00A93FAB">
        <w:rPr>
          <w:rFonts w:ascii="Calibri" w:hAnsi="Calibri" w:cs="Calibri"/>
        </w:rPr>
        <w:t xml:space="preserve">was stable in recent months, following a rapid recovery in the previous months. </w:t>
      </w:r>
    </w:p>
    <w:p w14:paraId="6BEF837E" w14:textId="4EE67032" w:rsidR="0006797C" w:rsidRPr="00A93FAB" w:rsidRDefault="0006797C" w:rsidP="009530B2">
      <w:pPr>
        <w:jc w:val="both"/>
        <w:rPr>
          <w:rFonts w:ascii="Calibri" w:hAnsi="Calibri" w:cs="Calibri"/>
        </w:rPr>
      </w:pPr>
      <w:r w:rsidRPr="00A93FAB">
        <w:rPr>
          <w:rFonts w:ascii="Calibri" w:hAnsi="Calibri" w:cs="Calibri"/>
        </w:rPr>
        <w:t>The employment rate among those aged 15 and up was 60.7 percent in May, compared with 60.9 percent in April (seasonally adjusted). Following a decline in the broad unemployment rate in the previous months, the rate moderated to 4.1 percent in May from 4.2 percent in April (seasonally adjusted) (</w:t>
      </w:r>
      <w:r w:rsidR="009530B2" w:rsidRPr="00A93FAB">
        <w:rPr>
          <w:rFonts w:ascii="Calibri" w:hAnsi="Calibri" w:cs="Calibri"/>
          <w:b/>
          <w:bCs/>
        </w:rPr>
        <w:t>Figure 2</w:t>
      </w:r>
      <w:r w:rsidR="009530B2" w:rsidRPr="00A93FAB">
        <w:rPr>
          <w:rFonts w:ascii="Calibri" w:hAnsi="Calibri" w:cs="Calibri"/>
          <w:b/>
          <w:bCs/>
          <w:rtl/>
        </w:rPr>
        <w:t>0</w:t>
      </w:r>
      <w:r w:rsidRPr="00A93FAB">
        <w:rPr>
          <w:rFonts w:ascii="Calibri" w:hAnsi="Calibri" w:cs="Calibri"/>
        </w:rPr>
        <w:t xml:space="preserve">).  In April, the trend of improvement in </w:t>
      </w:r>
      <w:r w:rsidR="00554C55" w:rsidRPr="00A93FAB">
        <w:rPr>
          <w:rFonts w:ascii="Calibri" w:hAnsi="Calibri" w:cs="Calibri"/>
        </w:rPr>
        <w:t xml:space="preserve">local workers’ </w:t>
      </w:r>
      <w:r w:rsidRPr="00A93FAB">
        <w:rPr>
          <w:rFonts w:ascii="Calibri" w:hAnsi="Calibri" w:cs="Calibri"/>
        </w:rPr>
        <w:t xml:space="preserve">total labor input (actual work hours) from previous months was halted, and it declined slightly.  In the most recent data, it is 4 percent lower than the third quarter average from 2023.  The job vacancy rate remained 4.4 percent in May, and </w:t>
      </w:r>
      <w:proofErr w:type="gramStart"/>
      <w:r w:rsidRPr="00A93FAB">
        <w:rPr>
          <w:rFonts w:ascii="Calibri" w:hAnsi="Calibri" w:cs="Calibri"/>
        </w:rPr>
        <w:t>is mainly reflected</w:t>
      </w:r>
      <w:proofErr w:type="gramEnd"/>
      <w:r w:rsidRPr="00A93FAB">
        <w:rPr>
          <w:rFonts w:ascii="Calibri" w:hAnsi="Calibri" w:cs="Calibri"/>
        </w:rPr>
        <w:t xml:space="preserve"> in industries where employment declined significantly due to the war, such as construction and hospitality and food services (</w:t>
      </w:r>
      <w:r w:rsidRPr="00A93FAB">
        <w:rPr>
          <w:rFonts w:ascii="Calibri" w:hAnsi="Calibri" w:cs="Calibri"/>
          <w:b/>
          <w:bCs/>
        </w:rPr>
        <w:t>Figure 2</w:t>
      </w:r>
      <w:r w:rsidR="009530B2" w:rsidRPr="00A93FAB">
        <w:rPr>
          <w:rFonts w:ascii="Calibri" w:hAnsi="Calibri" w:cs="Calibri"/>
          <w:b/>
          <w:bCs/>
          <w:rtl/>
        </w:rPr>
        <w:t>4</w:t>
      </w:r>
      <w:r w:rsidRPr="00A93FAB">
        <w:rPr>
          <w:rFonts w:ascii="Calibri" w:hAnsi="Calibri" w:cs="Calibri"/>
        </w:rPr>
        <w:t xml:space="preserve">).  In the past year (even before the war), the pace of increase in the nominal wage per employee post accelerated.  However, this increase </w:t>
      </w:r>
      <w:proofErr w:type="gramStart"/>
      <w:r w:rsidRPr="00A93FAB">
        <w:rPr>
          <w:rFonts w:ascii="Calibri" w:hAnsi="Calibri" w:cs="Calibri"/>
        </w:rPr>
        <w:t>was accompanied</w:t>
      </w:r>
      <w:proofErr w:type="gramEnd"/>
      <w:r w:rsidRPr="00A93FAB">
        <w:rPr>
          <w:rFonts w:ascii="Calibri" w:hAnsi="Calibri" w:cs="Calibri"/>
        </w:rPr>
        <w:t xml:space="preserve"> by significant growth in productivity in the business sector, such that the nominal</w:t>
      </w:r>
      <w:r w:rsidR="00DF478E" w:rsidRPr="00A93FAB">
        <w:rPr>
          <w:rFonts w:ascii="Calibri" w:hAnsi="Calibri" w:cs="Calibri"/>
        </w:rPr>
        <w:t xml:space="preserve"> labor cost per real unit of output increased moderately.  The real wage level is close to its trend line (</w:t>
      </w:r>
      <w:r w:rsidR="00DF478E" w:rsidRPr="00A93FAB">
        <w:rPr>
          <w:rFonts w:ascii="Calibri" w:hAnsi="Calibri" w:cs="Calibri"/>
          <w:b/>
          <w:bCs/>
        </w:rPr>
        <w:t>Figure 2</w:t>
      </w:r>
      <w:r w:rsidR="009530B2" w:rsidRPr="00A93FAB">
        <w:rPr>
          <w:rFonts w:ascii="Calibri" w:hAnsi="Calibri" w:cs="Calibri"/>
          <w:b/>
          <w:bCs/>
        </w:rPr>
        <w:t>5</w:t>
      </w:r>
      <w:r w:rsidR="00DF478E" w:rsidRPr="00A93FAB">
        <w:rPr>
          <w:rFonts w:ascii="Calibri" w:hAnsi="Calibri" w:cs="Calibri"/>
        </w:rPr>
        <w:t>).</w:t>
      </w:r>
    </w:p>
    <w:p w14:paraId="468BE978" w14:textId="00887DBC" w:rsidR="00CE16EF" w:rsidRPr="00A93FAB" w:rsidRDefault="00CE16EF" w:rsidP="00CE16EF">
      <w:pPr>
        <w:jc w:val="both"/>
        <w:rPr>
          <w:rFonts w:ascii="Calibri" w:hAnsi="Calibri" w:cs="Calibri"/>
          <w:rtl/>
        </w:rPr>
      </w:pPr>
    </w:p>
    <w:p w14:paraId="04C9D57A" w14:textId="6A37ECB4" w:rsidR="007B711A" w:rsidRPr="00A93FAB" w:rsidRDefault="00493535" w:rsidP="00554C55">
      <w:pPr>
        <w:jc w:val="both"/>
        <w:rPr>
          <w:rFonts w:ascii="Calibri" w:hAnsi="Calibri" w:cs="Calibri"/>
          <w:rtl/>
        </w:rPr>
      </w:pPr>
      <w:r w:rsidRPr="00A93FAB">
        <w:rPr>
          <w:rFonts w:ascii="Calibri" w:hAnsi="Calibri" w:cs="Calibri"/>
        </w:rPr>
        <w:t>In the housing market,</w:t>
      </w:r>
      <w:r w:rsidR="00A05A01" w:rsidRPr="00A93FAB">
        <w:rPr>
          <w:rFonts w:ascii="Calibri" w:hAnsi="Calibri" w:cs="Calibri"/>
        </w:rPr>
        <w:t xml:space="preserve"> home prices </w:t>
      </w:r>
      <w:r w:rsidR="00254595" w:rsidRPr="00A93FAB">
        <w:rPr>
          <w:rFonts w:ascii="Calibri" w:hAnsi="Calibri" w:cs="Calibri"/>
        </w:rPr>
        <w:t>continue</w:t>
      </w:r>
      <w:r w:rsidR="00DF478E" w:rsidRPr="00A93FAB">
        <w:rPr>
          <w:rFonts w:ascii="Calibri" w:hAnsi="Calibri" w:cs="Calibri"/>
        </w:rPr>
        <w:t>d</w:t>
      </w:r>
      <w:r w:rsidR="00254595" w:rsidRPr="00A93FAB">
        <w:rPr>
          <w:rFonts w:ascii="Calibri" w:hAnsi="Calibri" w:cs="Calibri"/>
        </w:rPr>
        <w:t xml:space="preserve"> to </w:t>
      </w:r>
      <w:r w:rsidRPr="00A93FAB">
        <w:rPr>
          <w:rFonts w:ascii="Calibri" w:hAnsi="Calibri" w:cs="Calibri"/>
        </w:rPr>
        <w:t>increase</w:t>
      </w:r>
      <w:r w:rsidR="00DF478E" w:rsidRPr="00A93FAB">
        <w:rPr>
          <w:rFonts w:ascii="Calibri" w:hAnsi="Calibri" w:cs="Calibri"/>
        </w:rPr>
        <w:t xml:space="preserve"> for the fifth consecutive month (</w:t>
      </w:r>
      <w:r w:rsidR="009530B2" w:rsidRPr="00A93FAB">
        <w:rPr>
          <w:rFonts w:ascii="Calibri" w:hAnsi="Calibri" w:cs="Calibri"/>
          <w:b/>
          <w:bCs/>
        </w:rPr>
        <w:t>Figure 17</w:t>
      </w:r>
      <w:r w:rsidR="00DF478E" w:rsidRPr="00A93FAB">
        <w:rPr>
          <w:rFonts w:ascii="Calibri" w:hAnsi="Calibri" w:cs="Calibri"/>
        </w:rPr>
        <w:t xml:space="preserve">).  According to Central Bureau of Statistics data, building starts </w:t>
      </w:r>
      <w:r w:rsidR="00554C55" w:rsidRPr="00A93FAB">
        <w:rPr>
          <w:rFonts w:ascii="Calibri" w:hAnsi="Calibri" w:cs="Calibri"/>
        </w:rPr>
        <w:t>are in an upward trend and increased by</w:t>
      </w:r>
      <w:r w:rsidR="00DF478E" w:rsidRPr="00A93FAB">
        <w:rPr>
          <w:rFonts w:ascii="Calibri" w:hAnsi="Calibri" w:cs="Calibri"/>
        </w:rPr>
        <w:t xml:space="preserve"> 2.7 percent in the first quarter of 2024 (relative to the first quarter of 2023), while building completions in the first quarter declined by 5.9 percent. </w:t>
      </w:r>
      <w:r w:rsidR="000F00D9" w:rsidRPr="00A93FAB">
        <w:rPr>
          <w:rFonts w:ascii="Calibri" w:hAnsi="Calibri" w:cs="Calibri"/>
        </w:rPr>
        <w:t>In addition, there was a decline of 6.1 percent in the number of permits issued in the first quarter, relative to the first quarter of 2023.  In May, there was an increase in new mortgage borrowing, to NIS 7.8 billion (</w:t>
      </w:r>
      <w:r w:rsidR="009530B2" w:rsidRPr="00A93FAB">
        <w:rPr>
          <w:rFonts w:ascii="Calibri" w:hAnsi="Calibri" w:cs="Calibri"/>
          <w:b/>
          <w:bCs/>
        </w:rPr>
        <w:t>Figure 18</w:t>
      </w:r>
      <w:r w:rsidR="000F00D9" w:rsidRPr="00A93FAB">
        <w:rPr>
          <w:rFonts w:ascii="Calibri" w:hAnsi="Calibri" w:cs="Calibri"/>
        </w:rPr>
        <w:t xml:space="preserve">).  </w:t>
      </w:r>
      <w:r w:rsidR="000F00D9" w:rsidRPr="00A93FAB">
        <w:rPr>
          <w:rFonts w:ascii="Calibri" w:hAnsi="Calibri" w:cs="Calibri"/>
        </w:rPr>
        <w:lastRenderedPageBreak/>
        <w:t>Monthly rents continued to increase in May, by 2.5 percent in annual terms for tenants who renewed their contracts, and by 3.7 percent in annual terms for new tenants.  The owner-occupied housing services component of the Consumer Price Index increased by 1.9 percent in the past year, and the annual pace of increase of the housing component reached 2.6 percent.  Alongside this, activity in the construction industry is recovering gradually, but constraints on activity in the industry in view of the war remain significant.</w:t>
      </w:r>
    </w:p>
    <w:p w14:paraId="5E0A5086" w14:textId="4CC01705" w:rsidR="000E6DF7" w:rsidRPr="00A93FAB" w:rsidRDefault="000E6DF7" w:rsidP="000E6DF7">
      <w:pPr>
        <w:jc w:val="both"/>
        <w:rPr>
          <w:rFonts w:ascii="Calibri" w:hAnsi="Calibri" w:cs="Calibri"/>
        </w:rPr>
      </w:pPr>
    </w:p>
    <w:p w14:paraId="5067CA61" w14:textId="29DA845E" w:rsidR="000E64FA" w:rsidRPr="00A93FAB" w:rsidRDefault="000E6DF7" w:rsidP="009530B2">
      <w:pPr>
        <w:jc w:val="both"/>
        <w:rPr>
          <w:rFonts w:ascii="Calibri" w:hAnsi="Calibri" w:cs="Calibri"/>
        </w:rPr>
      </w:pPr>
      <w:r w:rsidRPr="00A93FAB">
        <w:rPr>
          <w:rFonts w:ascii="Calibri" w:hAnsi="Calibri" w:cs="Calibri"/>
        </w:rPr>
        <w:t xml:space="preserve">In the capital market, local equity indices </w:t>
      </w:r>
      <w:r w:rsidR="000F00D9" w:rsidRPr="00A93FAB">
        <w:rPr>
          <w:rFonts w:ascii="Calibri" w:hAnsi="Calibri" w:cs="Calibri"/>
        </w:rPr>
        <w:t>increased</w:t>
      </w:r>
      <w:r w:rsidR="00AE2FAA" w:rsidRPr="00A93FAB">
        <w:rPr>
          <w:rFonts w:ascii="Calibri" w:hAnsi="Calibri" w:cs="Calibri"/>
        </w:rPr>
        <w:t xml:space="preserve"> during the reviewed period</w:t>
      </w:r>
      <w:r w:rsidR="00171A9A" w:rsidRPr="00A93FAB">
        <w:rPr>
          <w:rFonts w:ascii="Calibri" w:hAnsi="Calibri" w:cs="Calibri"/>
        </w:rPr>
        <w:t>.</w:t>
      </w:r>
      <w:r w:rsidR="00AE2FAA" w:rsidRPr="00A93FAB">
        <w:rPr>
          <w:rFonts w:ascii="Calibri" w:hAnsi="Calibri" w:cs="Calibri"/>
        </w:rPr>
        <w:t xml:space="preserve"> </w:t>
      </w:r>
      <w:r w:rsidR="000F00D9" w:rsidRPr="00A93FAB">
        <w:rPr>
          <w:rFonts w:ascii="Calibri" w:hAnsi="Calibri" w:cs="Calibri"/>
        </w:rPr>
        <w:t>However, t</w:t>
      </w:r>
      <w:r w:rsidRPr="00A93FAB">
        <w:rPr>
          <w:rFonts w:ascii="Calibri" w:hAnsi="Calibri" w:cs="Calibri"/>
        </w:rPr>
        <w:t xml:space="preserve">he underperformance </w:t>
      </w:r>
      <w:r w:rsidR="000A57F1" w:rsidRPr="00A93FAB">
        <w:rPr>
          <w:rFonts w:ascii="Calibri" w:hAnsi="Calibri" w:cs="Calibri"/>
        </w:rPr>
        <w:t xml:space="preserve">of the domestic </w:t>
      </w:r>
      <w:r w:rsidR="000E64FA" w:rsidRPr="00A93FAB">
        <w:rPr>
          <w:rFonts w:ascii="Calibri" w:hAnsi="Calibri" w:cs="Calibri"/>
        </w:rPr>
        <w:t xml:space="preserve">equities </w:t>
      </w:r>
      <w:r w:rsidR="000A57F1" w:rsidRPr="00A93FAB">
        <w:rPr>
          <w:rFonts w:ascii="Calibri" w:hAnsi="Calibri" w:cs="Calibri"/>
        </w:rPr>
        <w:t xml:space="preserve">market </w:t>
      </w:r>
      <w:r w:rsidRPr="00A93FAB">
        <w:rPr>
          <w:rFonts w:ascii="Calibri" w:hAnsi="Calibri" w:cs="Calibri"/>
        </w:rPr>
        <w:t>relative to the</w:t>
      </w:r>
      <w:r w:rsidR="000A57F1" w:rsidRPr="00A93FAB">
        <w:rPr>
          <w:rFonts w:ascii="Calibri" w:hAnsi="Calibri" w:cs="Calibri"/>
        </w:rPr>
        <w:t xml:space="preserve"> global market since</w:t>
      </w:r>
      <w:r w:rsidRPr="00A93FAB">
        <w:rPr>
          <w:rFonts w:ascii="Calibri" w:hAnsi="Calibri" w:cs="Calibri"/>
        </w:rPr>
        <w:t xml:space="preserve"> </w:t>
      </w:r>
      <w:r w:rsidR="00171A9A" w:rsidRPr="00A93FAB">
        <w:rPr>
          <w:rFonts w:ascii="Calibri" w:hAnsi="Calibri" w:cs="Calibri"/>
        </w:rPr>
        <w:t xml:space="preserve">the </w:t>
      </w:r>
      <w:r w:rsidRPr="00A93FAB">
        <w:rPr>
          <w:rFonts w:ascii="Calibri" w:hAnsi="Calibri" w:cs="Calibri"/>
        </w:rPr>
        <w:t xml:space="preserve">start of </w:t>
      </w:r>
      <w:r w:rsidR="00797A81" w:rsidRPr="00A93FAB">
        <w:rPr>
          <w:rFonts w:ascii="Calibri" w:hAnsi="Calibri" w:cs="Calibri"/>
        </w:rPr>
        <w:t>2023</w:t>
      </w:r>
      <w:r w:rsidRPr="00A93FAB">
        <w:rPr>
          <w:rFonts w:ascii="Calibri" w:hAnsi="Calibri" w:cs="Calibri"/>
        </w:rPr>
        <w:t xml:space="preserve"> remains significant</w:t>
      </w:r>
      <w:r w:rsidR="00171A9A" w:rsidRPr="00A93FAB">
        <w:rPr>
          <w:rFonts w:ascii="Calibri" w:hAnsi="Calibri" w:cs="Calibri"/>
        </w:rPr>
        <w:t xml:space="preserve"> </w:t>
      </w:r>
      <w:r w:rsidRPr="00A93FAB">
        <w:rPr>
          <w:rFonts w:ascii="Calibri" w:hAnsi="Calibri" w:cs="Calibri"/>
        </w:rPr>
        <w:t>(</w:t>
      </w:r>
      <w:r w:rsidRPr="00A93FAB">
        <w:rPr>
          <w:rFonts w:ascii="Calibri" w:hAnsi="Calibri" w:cs="Calibri"/>
          <w:b/>
          <w:bCs/>
        </w:rPr>
        <w:t xml:space="preserve">Figure </w:t>
      </w:r>
      <w:r w:rsidR="00C63D55" w:rsidRPr="00A93FAB">
        <w:rPr>
          <w:rFonts w:ascii="Calibri" w:hAnsi="Calibri" w:cs="Calibri"/>
          <w:b/>
          <w:bCs/>
        </w:rPr>
        <w:t>3</w:t>
      </w:r>
      <w:r w:rsidR="009530B2" w:rsidRPr="00A93FAB">
        <w:rPr>
          <w:rFonts w:ascii="Calibri" w:hAnsi="Calibri" w:cs="Calibri"/>
          <w:b/>
          <w:bCs/>
        </w:rPr>
        <w:t>5</w:t>
      </w:r>
      <w:r w:rsidRPr="00A93FAB">
        <w:rPr>
          <w:rFonts w:ascii="Calibri" w:hAnsi="Calibri" w:cs="Calibri"/>
        </w:rPr>
        <w:t xml:space="preserve">). </w:t>
      </w:r>
      <w:r w:rsidR="00AE2FAA" w:rsidRPr="00A93FAB">
        <w:rPr>
          <w:rFonts w:ascii="Calibri" w:hAnsi="Calibri" w:cs="Calibri"/>
        </w:rPr>
        <w:t>G</w:t>
      </w:r>
      <w:r w:rsidRPr="00A93FAB">
        <w:rPr>
          <w:rFonts w:ascii="Calibri" w:hAnsi="Calibri" w:cs="Calibri"/>
        </w:rPr>
        <w:t xml:space="preserve">overnment bond yields </w:t>
      </w:r>
      <w:r w:rsidR="00171A9A" w:rsidRPr="00A93FAB">
        <w:rPr>
          <w:rFonts w:ascii="Calibri" w:hAnsi="Calibri" w:cs="Calibri"/>
        </w:rPr>
        <w:t>increas</w:t>
      </w:r>
      <w:r w:rsidRPr="00A93FAB">
        <w:rPr>
          <w:rFonts w:ascii="Calibri" w:hAnsi="Calibri" w:cs="Calibri"/>
        </w:rPr>
        <w:t>ed</w:t>
      </w:r>
      <w:r w:rsidR="000E64FA" w:rsidRPr="00A93FAB">
        <w:rPr>
          <w:rFonts w:ascii="Calibri" w:hAnsi="Calibri" w:cs="Calibri"/>
        </w:rPr>
        <w:t xml:space="preserve"> </w:t>
      </w:r>
      <w:r w:rsidR="000F00D9" w:rsidRPr="00A93FAB">
        <w:rPr>
          <w:rFonts w:ascii="Calibri" w:hAnsi="Calibri" w:cs="Calibri"/>
        </w:rPr>
        <w:t>during most of the period, with increased volatility, but over the period as a whole, they declined slightly. C</w:t>
      </w:r>
      <w:r w:rsidRPr="00A93FAB">
        <w:rPr>
          <w:rFonts w:ascii="Calibri" w:hAnsi="Calibri" w:cs="Calibri"/>
        </w:rPr>
        <w:t xml:space="preserve">orporate bond spreads </w:t>
      </w:r>
      <w:r w:rsidR="000F00D9" w:rsidRPr="00A93FAB">
        <w:rPr>
          <w:rFonts w:ascii="Calibri" w:hAnsi="Calibri" w:cs="Calibri"/>
        </w:rPr>
        <w:t>remained virtually unchanged, and are below their prewar levels</w:t>
      </w:r>
      <w:r w:rsidR="000E64FA" w:rsidRPr="00A93FAB">
        <w:rPr>
          <w:rFonts w:ascii="Calibri" w:hAnsi="Calibri" w:cs="Calibri"/>
        </w:rPr>
        <w:t xml:space="preserve"> (</w:t>
      </w:r>
      <w:r w:rsidR="000E64FA" w:rsidRPr="00A93FAB">
        <w:rPr>
          <w:rFonts w:ascii="Calibri" w:hAnsi="Calibri" w:cs="Calibri"/>
          <w:b/>
          <w:bCs/>
        </w:rPr>
        <w:t xml:space="preserve">Figure </w:t>
      </w:r>
      <w:r w:rsidR="00C63D55" w:rsidRPr="00A93FAB">
        <w:rPr>
          <w:rFonts w:ascii="Calibri" w:hAnsi="Calibri" w:cs="Calibri"/>
          <w:b/>
          <w:bCs/>
        </w:rPr>
        <w:t>10</w:t>
      </w:r>
      <w:r w:rsidR="000E64FA" w:rsidRPr="00A93FAB">
        <w:rPr>
          <w:rFonts w:ascii="Calibri" w:hAnsi="Calibri" w:cs="Calibri"/>
        </w:rPr>
        <w:t>)</w:t>
      </w:r>
      <w:r w:rsidRPr="00A93FAB">
        <w:rPr>
          <w:rFonts w:ascii="Calibri" w:hAnsi="Calibri" w:cs="Calibri"/>
        </w:rPr>
        <w:t>.</w:t>
      </w:r>
      <w:r w:rsidR="00195AC7" w:rsidRPr="00A93FAB">
        <w:rPr>
          <w:rFonts w:ascii="Calibri" w:hAnsi="Calibri" w:cs="Calibri"/>
        </w:rPr>
        <w:t xml:space="preserve"> </w:t>
      </w:r>
      <w:r w:rsidR="000F00D9" w:rsidRPr="00A93FAB">
        <w:rPr>
          <w:rFonts w:ascii="Calibri" w:hAnsi="Calibri" w:cs="Calibri"/>
        </w:rPr>
        <w:t xml:space="preserve">  Since the beginning of the year, outstanding business credit has expanded, led by credit to large businesses.  There are indications of some increase in the risk level of bank and nonbank credit to the business sector, particularly to the construction industry, and to households.  However, the risk levels are not high relative to the past.  In view of the assistance programs, the difficulty in obtaining credit among large and medium businesses remains low, and there has been some decline in the difficulty among small businesses.</w:t>
      </w:r>
    </w:p>
    <w:p w14:paraId="7FF7B808" w14:textId="27266EE3" w:rsidR="000E64FA" w:rsidRPr="00A93FAB" w:rsidRDefault="000E64FA" w:rsidP="000E64FA">
      <w:pPr>
        <w:jc w:val="both"/>
        <w:rPr>
          <w:rFonts w:ascii="Calibri" w:hAnsi="Calibri" w:cs="Calibri"/>
        </w:rPr>
      </w:pPr>
    </w:p>
    <w:p w14:paraId="3B469ECD" w14:textId="04A9C47E" w:rsidR="00F63649" w:rsidRPr="00A93FAB" w:rsidRDefault="008815B3" w:rsidP="000F00D9">
      <w:pPr>
        <w:jc w:val="both"/>
        <w:rPr>
          <w:rFonts w:ascii="Calibri" w:hAnsi="Calibri" w:cs="Calibri"/>
        </w:rPr>
      </w:pPr>
      <w:r w:rsidRPr="00A93FAB">
        <w:rPr>
          <w:rFonts w:ascii="Calibri" w:hAnsi="Calibri" w:cs="Calibri"/>
        </w:rPr>
        <w:t>Israel’s risk premium as measured by the spread between dollar-denominated Israel gove</w:t>
      </w:r>
      <w:r w:rsidR="000F00D9" w:rsidRPr="00A93FAB">
        <w:rPr>
          <w:rFonts w:ascii="Calibri" w:hAnsi="Calibri" w:cs="Calibri"/>
        </w:rPr>
        <w:t>rnment bonds and US Treasuries remained high, and even increased</w:t>
      </w:r>
      <w:r w:rsidRPr="00A93FAB">
        <w:rPr>
          <w:rFonts w:ascii="Calibri" w:hAnsi="Calibri" w:cs="Calibri"/>
        </w:rPr>
        <w:t xml:space="preserve"> </w:t>
      </w:r>
      <w:r w:rsidR="000F00D9" w:rsidRPr="00A93FAB">
        <w:rPr>
          <w:rFonts w:ascii="Calibri" w:hAnsi="Calibri" w:cs="Calibri"/>
        </w:rPr>
        <w:t>dur</w:t>
      </w:r>
      <w:r w:rsidRPr="00A93FAB">
        <w:rPr>
          <w:rFonts w:ascii="Calibri" w:hAnsi="Calibri" w:cs="Calibri"/>
        </w:rPr>
        <w:t>in</w:t>
      </w:r>
      <w:r w:rsidR="000F00D9" w:rsidRPr="00A93FAB">
        <w:rPr>
          <w:rFonts w:ascii="Calibri" w:hAnsi="Calibri" w:cs="Calibri"/>
        </w:rPr>
        <w:t>g</w:t>
      </w:r>
      <w:r w:rsidRPr="00A93FAB">
        <w:rPr>
          <w:rFonts w:ascii="Calibri" w:hAnsi="Calibri" w:cs="Calibri"/>
        </w:rPr>
        <w:t xml:space="preserve"> the reviewed period. </w:t>
      </w:r>
      <w:r w:rsidR="000F00D9" w:rsidRPr="00A93FAB">
        <w:rPr>
          <w:rFonts w:ascii="Calibri" w:hAnsi="Calibri" w:cs="Calibri"/>
        </w:rPr>
        <w:t>T</w:t>
      </w:r>
      <w:r w:rsidRPr="00A93FAB">
        <w:rPr>
          <w:rFonts w:ascii="Calibri" w:hAnsi="Calibri" w:cs="Calibri"/>
        </w:rPr>
        <w:t xml:space="preserve">he CDS spread </w:t>
      </w:r>
      <w:r w:rsidR="000F00D9" w:rsidRPr="00A93FAB">
        <w:rPr>
          <w:rFonts w:ascii="Calibri" w:hAnsi="Calibri" w:cs="Calibri"/>
        </w:rPr>
        <w:t xml:space="preserve">also increased, and </w:t>
      </w:r>
      <w:r w:rsidRPr="00A93FAB">
        <w:rPr>
          <w:rFonts w:ascii="Calibri" w:hAnsi="Calibri" w:cs="Calibri"/>
        </w:rPr>
        <w:t>remains at high levels.</w:t>
      </w:r>
      <w:r w:rsidR="00F63649" w:rsidRPr="00A93FAB">
        <w:rPr>
          <w:rFonts w:ascii="Calibri" w:hAnsi="Calibri" w:cs="Calibri"/>
        </w:rPr>
        <w:t xml:space="preserve"> </w:t>
      </w:r>
    </w:p>
    <w:p w14:paraId="013240EB" w14:textId="77777777" w:rsidR="00F63649" w:rsidRPr="00A93FAB" w:rsidRDefault="00F63649" w:rsidP="008815B3">
      <w:pPr>
        <w:jc w:val="both"/>
        <w:rPr>
          <w:rFonts w:ascii="Calibri" w:hAnsi="Calibri" w:cs="Calibri"/>
        </w:rPr>
      </w:pPr>
    </w:p>
    <w:p w14:paraId="77C24353" w14:textId="26F84EF3" w:rsidR="00466DE7" w:rsidRPr="00A93FAB" w:rsidRDefault="000F00D9" w:rsidP="009530B2">
      <w:pPr>
        <w:jc w:val="both"/>
        <w:rPr>
          <w:rFonts w:ascii="Calibri" w:hAnsi="Calibri" w:cs="Calibri"/>
        </w:rPr>
      </w:pPr>
      <w:r w:rsidRPr="00A93FAB">
        <w:rPr>
          <w:rFonts w:ascii="Calibri" w:hAnsi="Calibri" w:cs="Calibri"/>
        </w:rPr>
        <w:t>Global economic activity continued to expand, but most recent data indicate a mixed trend in the various blocs.  The investment houses’ global growth forecasts for 2024–2025 remained unchanged (</w:t>
      </w:r>
      <w:r w:rsidRPr="00A93FAB">
        <w:rPr>
          <w:rFonts w:ascii="Calibri" w:hAnsi="Calibri" w:cs="Calibri"/>
          <w:b/>
          <w:bCs/>
        </w:rPr>
        <w:t xml:space="preserve">Figure </w:t>
      </w:r>
      <w:r w:rsidR="009530B2" w:rsidRPr="00A93FAB">
        <w:rPr>
          <w:rFonts w:ascii="Calibri" w:hAnsi="Calibri" w:cs="Calibri"/>
          <w:b/>
          <w:bCs/>
        </w:rPr>
        <w:t>28</w:t>
      </w:r>
      <w:r w:rsidRPr="00A93FAB">
        <w:rPr>
          <w:rFonts w:ascii="Calibri" w:hAnsi="Calibri" w:cs="Calibri"/>
        </w:rPr>
        <w:t xml:space="preserve">).  The </w:t>
      </w:r>
      <w:r w:rsidR="00724452" w:rsidRPr="00A93FAB">
        <w:rPr>
          <w:rFonts w:ascii="Calibri" w:hAnsi="Calibri" w:cs="Calibri"/>
        </w:rPr>
        <w:t>Purchasing Managers Ind</w:t>
      </w:r>
      <w:r w:rsidRPr="00A93FAB">
        <w:rPr>
          <w:rFonts w:ascii="Calibri" w:hAnsi="Calibri" w:cs="Calibri"/>
        </w:rPr>
        <w:t>ices</w:t>
      </w:r>
      <w:r w:rsidR="00724452" w:rsidRPr="00A93FAB">
        <w:rPr>
          <w:rFonts w:ascii="Calibri" w:hAnsi="Calibri" w:cs="Calibri"/>
        </w:rPr>
        <w:t xml:space="preserve"> (PMI) for</w:t>
      </w:r>
      <w:r w:rsidR="00566E19" w:rsidRPr="00A93FAB">
        <w:rPr>
          <w:rFonts w:ascii="Calibri" w:hAnsi="Calibri" w:cs="Calibri"/>
        </w:rPr>
        <w:t xml:space="preserve"> May indicate stronger positive sentiment in the manufacturing component in the US and China, but continued slight weakness in the </w:t>
      </w:r>
      <w:proofErr w:type="spellStart"/>
      <w:r w:rsidR="00566E19" w:rsidRPr="00A93FAB">
        <w:rPr>
          <w:rFonts w:ascii="Calibri" w:hAnsi="Calibri" w:cs="Calibri"/>
        </w:rPr>
        <w:t>eurozone</w:t>
      </w:r>
      <w:proofErr w:type="spellEnd"/>
      <w:r w:rsidR="00566E19" w:rsidRPr="00A93FAB">
        <w:rPr>
          <w:rFonts w:ascii="Calibri" w:hAnsi="Calibri" w:cs="Calibri"/>
        </w:rPr>
        <w:t xml:space="preserve"> countries.</w:t>
      </w:r>
      <w:r w:rsidR="00724452" w:rsidRPr="00A93FAB">
        <w:rPr>
          <w:rFonts w:ascii="Calibri" w:hAnsi="Calibri" w:cs="Calibri"/>
        </w:rPr>
        <w:t xml:space="preserve"> World trade volume </w:t>
      </w:r>
      <w:r w:rsidR="00566E19" w:rsidRPr="00A93FAB">
        <w:rPr>
          <w:rFonts w:ascii="Calibri" w:hAnsi="Calibri" w:cs="Calibri"/>
        </w:rPr>
        <w:t xml:space="preserve">increased by about 0.9 percent in annual terms in April, following </w:t>
      </w:r>
      <w:r w:rsidR="00724452" w:rsidRPr="00A93FAB">
        <w:rPr>
          <w:rFonts w:ascii="Calibri" w:hAnsi="Calibri" w:cs="Calibri"/>
        </w:rPr>
        <w:t>a decline in March</w:t>
      </w:r>
      <w:r w:rsidR="00566E19" w:rsidRPr="00A93FAB">
        <w:rPr>
          <w:rFonts w:ascii="Calibri" w:hAnsi="Calibri" w:cs="Calibri"/>
        </w:rPr>
        <w:t xml:space="preserve">.  In contrast, the index of export orders within the global Purchasing Managers Index in the manufacturing sector for May, which serves as a leading indicator of world trade, returned to indicating contraction in activity. </w:t>
      </w:r>
      <w:r w:rsidR="00724452" w:rsidRPr="00A93FAB">
        <w:rPr>
          <w:rFonts w:ascii="Calibri" w:hAnsi="Calibri" w:cs="Calibri"/>
        </w:rPr>
        <w:t xml:space="preserve"> </w:t>
      </w:r>
      <w:r w:rsidR="003E34BA" w:rsidRPr="00A93FAB">
        <w:rPr>
          <w:rFonts w:ascii="Calibri" w:hAnsi="Calibri" w:cs="Calibri"/>
        </w:rPr>
        <w:t xml:space="preserve">Oil prices </w:t>
      </w:r>
      <w:r w:rsidR="00566E19" w:rsidRPr="00A93FAB">
        <w:rPr>
          <w:rFonts w:ascii="Calibri" w:hAnsi="Calibri" w:cs="Calibri"/>
        </w:rPr>
        <w:t>increas</w:t>
      </w:r>
      <w:r w:rsidR="00AD3B91" w:rsidRPr="00A93FAB">
        <w:rPr>
          <w:rFonts w:ascii="Calibri" w:hAnsi="Calibri" w:cs="Calibri"/>
        </w:rPr>
        <w:t>ed</w:t>
      </w:r>
      <w:r w:rsidR="002F1826" w:rsidRPr="00A93FAB">
        <w:rPr>
          <w:rFonts w:ascii="Calibri" w:hAnsi="Calibri" w:cs="Calibri"/>
        </w:rPr>
        <w:t xml:space="preserve"> slightly</w:t>
      </w:r>
      <w:r w:rsidR="00AD3B91" w:rsidRPr="00A93FAB">
        <w:rPr>
          <w:rFonts w:ascii="Calibri" w:hAnsi="Calibri" w:cs="Calibri"/>
        </w:rPr>
        <w:t xml:space="preserve"> </w:t>
      </w:r>
      <w:r w:rsidR="00566E19" w:rsidRPr="00A93FAB">
        <w:rPr>
          <w:rFonts w:ascii="Calibri" w:hAnsi="Calibri" w:cs="Calibri"/>
        </w:rPr>
        <w:t xml:space="preserve">during the </w:t>
      </w:r>
      <w:r w:rsidR="002F1826" w:rsidRPr="00A93FAB">
        <w:rPr>
          <w:rFonts w:ascii="Calibri" w:hAnsi="Calibri" w:cs="Calibri"/>
        </w:rPr>
        <w:t xml:space="preserve">reviewed </w:t>
      </w:r>
      <w:r w:rsidR="00566E19" w:rsidRPr="00A93FAB">
        <w:rPr>
          <w:rFonts w:ascii="Calibri" w:hAnsi="Calibri" w:cs="Calibri"/>
        </w:rPr>
        <w:t xml:space="preserve">period. </w:t>
      </w:r>
      <w:r w:rsidR="00680DD3" w:rsidRPr="00A93FAB">
        <w:rPr>
          <w:rFonts w:ascii="Calibri" w:hAnsi="Calibri" w:cs="Calibri"/>
        </w:rPr>
        <w:t>In the US,</w:t>
      </w:r>
      <w:r w:rsidR="00744864" w:rsidRPr="00A93FAB">
        <w:rPr>
          <w:rFonts w:ascii="Calibri" w:hAnsi="Calibri" w:cs="Calibri"/>
        </w:rPr>
        <w:t xml:space="preserve"> </w:t>
      </w:r>
      <w:r w:rsidR="00566E19" w:rsidRPr="00A93FAB">
        <w:rPr>
          <w:rFonts w:ascii="Calibri" w:hAnsi="Calibri" w:cs="Calibri"/>
        </w:rPr>
        <w:t>inflation continues to moderate (</w:t>
      </w:r>
      <w:r w:rsidR="00566E19" w:rsidRPr="00A93FAB">
        <w:rPr>
          <w:rFonts w:ascii="Calibri" w:hAnsi="Calibri" w:cs="Calibri"/>
          <w:b/>
          <w:bCs/>
        </w:rPr>
        <w:t>Figure 3</w:t>
      </w:r>
      <w:r w:rsidR="009530B2" w:rsidRPr="00A93FAB">
        <w:rPr>
          <w:rFonts w:ascii="Calibri" w:hAnsi="Calibri" w:cs="Calibri"/>
          <w:b/>
          <w:bCs/>
        </w:rPr>
        <w:t>2</w:t>
      </w:r>
      <w:r w:rsidR="00566E19" w:rsidRPr="00A93FAB">
        <w:rPr>
          <w:rFonts w:ascii="Calibri" w:hAnsi="Calibri" w:cs="Calibri"/>
        </w:rPr>
        <w:t xml:space="preserve">), with declines in May in both </w:t>
      </w:r>
      <w:r w:rsidR="00C615F3" w:rsidRPr="00A93FAB">
        <w:rPr>
          <w:rFonts w:ascii="Calibri" w:hAnsi="Calibri" w:cs="Calibri"/>
        </w:rPr>
        <w:t>t</w:t>
      </w:r>
      <w:r w:rsidR="003C14D6" w:rsidRPr="00A93FAB">
        <w:rPr>
          <w:rFonts w:ascii="Calibri" w:hAnsi="Calibri" w:cs="Calibri"/>
        </w:rPr>
        <w:t>he core PCE ind</w:t>
      </w:r>
      <w:r w:rsidR="00744864" w:rsidRPr="00A93FAB">
        <w:rPr>
          <w:rFonts w:ascii="Calibri" w:hAnsi="Calibri" w:cs="Calibri"/>
        </w:rPr>
        <w:t>ex</w:t>
      </w:r>
      <w:r w:rsidR="003C14D6" w:rsidRPr="00A93FAB">
        <w:rPr>
          <w:rFonts w:ascii="Calibri" w:hAnsi="Calibri" w:cs="Calibri"/>
        </w:rPr>
        <w:t xml:space="preserve"> </w:t>
      </w:r>
      <w:r w:rsidR="00566E19" w:rsidRPr="00A93FAB">
        <w:rPr>
          <w:rFonts w:ascii="Calibri" w:hAnsi="Calibri" w:cs="Calibri"/>
        </w:rPr>
        <w:t>and the general CPI index (with the latter declining from 3.4 percent to 3.3 percent)</w:t>
      </w:r>
      <w:r w:rsidR="003C14D6" w:rsidRPr="00A93FAB">
        <w:rPr>
          <w:rFonts w:ascii="Calibri" w:hAnsi="Calibri" w:cs="Calibri"/>
        </w:rPr>
        <w:t>.</w:t>
      </w:r>
      <w:r w:rsidR="00195AC7" w:rsidRPr="00A93FAB">
        <w:rPr>
          <w:rFonts w:ascii="Calibri" w:hAnsi="Calibri" w:cs="Calibri"/>
        </w:rPr>
        <w:t xml:space="preserve"> </w:t>
      </w:r>
      <w:r w:rsidR="00642D44" w:rsidRPr="00A93FAB">
        <w:rPr>
          <w:rFonts w:ascii="Calibri" w:hAnsi="Calibri" w:cs="Calibri"/>
        </w:rPr>
        <w:t>In</w:t>
      </w:r>
      <w:r w:rsidR="00566E19" w:rsidRPr="00A93FAB">
        <w:rPr>
          <w:rFonts w:ascii="Calibri" w:hAnsi="Calibri" w:cs="Calibri"/>
        </w:rPr>
        <w:t>flation in</w:t>
      </w:r>
      <w:r w:rsidR="00642D44" w:rsidRPr="00A93FAB">
        <w:rPr>
          <w:rFonts w:ascii="Calibri" w:hAnsi="Calibri" w:cs="Calibri"/>
        </w:rPr>
        <w:t xml:space="preserve"> the </w:t>
      </w:r>
      <w:proofErr w:type="spellStart"/>
      <w:r w:rsidR="00642D44" w:rsidRPr="00A93FAB">
        <w:rPr>
          <w:rFonts w:ascii="Calibri" w:hAnsi="Calibri" w:cs="Calibri"/>
        </w:rPr>
        <w:t>eurozone</w:t>
      </w:r>
      <w:proofErr w:type="spellEnd"/>
      <w:r w:rsidR="00642D44" w:rsidRPr="00A93FAB">
        <w:rPr>
          <w:rFonts w:ascii="Calibri" w:hAnsi="Calibri" w:cs="Calibri"/>
        </w:rPr>
        <w:t xml:space="preserve">, </w:t>
      </w:r>
      <w:r w:rsidR="00566E19" w:rsidRPr="00A93FAB">
        <w:rPr>
          <w:rFonts w:ascii="Calibri" w:hAnsi="Calibri" w:cs="Calibri"/>
        </w:rPr>
        <w:t xml:space="preserve">also </w:t>
      </w:r>
      <w:r w:rsidR="00642D44" w:rsidRPr="00A93FAB">
        <w:rPr>
          <w:rFonts w:ascii="Calibri" w:hAnsi="Calibri" w:cs="Calibri"/>
        </w:rPr>
        <w:t>continue</w:t>
      </w:r>
      <w:r w:rsidR="00566E19" w:rsidRPr="00A93FAB">
        <w:rPr>
          <w:rFonts w:ascii="Calibri" w:hAnsi="Calibri" w:cs="Calibri"/>
        </w:rPr>
        <w:t>d</w:t>
      </w:r>
      <w:r w:rsidR="00642D44" w:rsidRPr="00A93FAB">
        <w:rPr>
          <w:rFonts w:ascii="Calibri" w:hAnsi="Calibri" w:cs="Calibri"/>
        </w:rPr>
        <w:t xml:space="preserve"> to moderate</w:t>
      </w:r>
      <w:r w:rsidR="00566E19" w:rsidRPr="00A93FAB">
        <w:rPr>
          <w:rFonts w:ascii="Calibri" w:hAnsi="Calibri" w:cs="Calibri"/>
        </w:rPr>
        <w:t xml:space="preserve">, </w:t>
      </w:r>
      <w:r w:rsidR="006A6036" w:rsidRPr="00A93FAB">
        <w:rPr>
          <w:rFonts w:ascii="Calibri" w:hAnsi="Calibri" w:cs="Calibri"/>
        </w:rPr>
        <w:t>and</w:t>
      </w:r>
      <w:r w:rsidR="00642D44" w:rsidRPr="00A93FAB">
        <w:rPr>
          <w:rFonts w:ascii="Calibri" w:hAnsi="Calibri" w:cs="Calibri"/>
        </w:rPr>
        <w:t xml:space="preserve"> the overall </w:t>
      </w:r>
      <w:r w:rsidR="006A6036" w:rsidRPr="00A93FAB">
        <w:rPr>
          <w:rFonts w:ascii="Calibri" w:hAnsi="Calibri" w:cs="Calibri"/>
        </w:rPr>
        <w:t>index</w:t>
      </w:r>
      <w:r w:rsidR="00D754F8" w:rsidRPr="00A93FAB">
        <w:rPr>
          <w:rFonts w:ascii="Calibri" w:hAnsi="Calibri" w:cs="Calibri"/>
        </w:rPr>
        <w:t xml:space="preserve"> </w:t>
      </w:r>
      <w:r w:rsidR="00566E19" w:rsidRPr="00A93FAB">
        <w:rPr>
          <w:rFonts w:ascii="Calibri" w:hAnsi="Calibri" w:cs="Calibri"/>
        </w:rPr>
        <w:t>declined from 2.6 percent to 2.5 percent in June</w:t>
      </w:r>
      <w:r w:rsidR="002B7096" w:rsidRPr="00A93FAB">
        <w:rPr>
          <w:rFonts w:ascii="Calibri" w:hAnsi="Calibri" w:cs="Calibri"/>
        </w:rPr>
        <w:t>.</w:t>
      </w:r>
      <w:r w:rsidR="00642D44" w:rsidRPr="00A93FAB">
        <w:rPr>
          <w:rFonts w:ascii="Calibri" w:hAnsi="Calibri" w:cs="Calibri"/>
        </w:rPr>
        <w:t xml:space="preserve"> Core </w:t>
      </w:r>
      <w:r w:rsidR="006A6036" w:rsidRPr="00A93FAB">
        <w:rPr>
          <w:rFonts w:ascii="Calibri" w:hAnsi="Calibri" w:cs="Calibri"/>
        </w:rPr>
        <w:t>inflation</w:t>
      </w:r>
      <w:r w:rsidR="00642D44" w:rsidRPr="00A93FAB">
        <w:rPr>
          <w:rFonts w:ascii="Calibri" w:hAnsi="Calibri" w:cs="Calibri"/>
        </w:rPr>
        <w:t xml:space="preserve"> </w:t>
      </w:r>
      <w:r w:rsidR="00566E19" w:rsidRPr="00A93FAB">
        <w:rPr>
          <w:rFonts w:ascii="Calibri" w:hAnsi="Calibri" w:cs="Calibri"/>
        </w:rPr>
        <w:t>remained unchanged</w:t>
      </w:r>
      <w:r w:rsidR="00642D44" w:rsidRPr="00A93FAB">
        <w:rPr>
          <w:rFonts w:ascii="Calibri" w:hAnsi="Calibri" w:cs="Calibri"/>
        </w:rPr>
        <w:t>, at 2.</w:t>
      </w:r>
      <w:r w:rsidR="00566E19" w:rsidRPr="00A93FAB">
        <w:rPr>
          <w:rFonts w:ascii="Calibri" w:hAnsi="Calibri" w:cs="Calibri"/>
        </w:rPr>
        <w:t>9</w:t>
      </w:r>
      <w:r w:rsidR="00642D44" w:rsidRPr="00A93FAB">
        <w:rPr>
          <w:rFonts w:ascii="Calibri" w:hAnsi="Calibri" w:cs="Calibri"/>
        </w:rPr>
        <w:t xml:space="preserve"> percent. </w:t>
      </w:r>
      <w:r w:rsidR="00566E19" w:rsidRPr="00A93FAB">
        <w:rPr>
          <w:rFonts w:ascii="Calibri" w:hAnsi="Calibri" w:cs="Calibri"/>
        </w:rPr>
        <w:t xml:space="preserve">The Federal Reserve left the interest rate unchanged, with continued guidance that the process of lowering the interest rate would be slower than the previous forecast presented in March 2024. </w:t>
      </w:r>
      <w:r w:rsidR="006A6036" w:rsidRPr="00A93FAB">
        <w:rPr>
          <w:rFonts w:ascii="Calibri" w:hAnsi="Calibri" w:cs="Calibri"/>
        </w:rPr>
        <w:t>The</w:t>
      </w:r>
      <w:r w:rsidR="00642D44" w:rsidRPr="00A93FAB">
        <w:rPr>
          <w:rFonts w:ascii="Calibri" w:hAnsi="Calibri" w:cs="Calibri"/>
        </w:rPr>
        <w:t xml:space="preserve"> EC</w:t>
      </w:r>
      <w:r w:rsidR="005D41DE" w:rsidRPr="00A93FAB">
        <w:rPr>
          <w:rFonts w:ascii="Calibri" w:hAnsi="Calibri" w:cs="Calibri"/>
        </w:rPr>
        <w:t>B</w:t>
      </w:r>
      <w:r w:rsidR="00642D44" w:rsidRPr="00A93FAB">
        <w:rPr>
          <w:rFonts w:ascii="Calibri" w:hAnsi="Calibri" w:cs="Calibri"/>
        </w:rPr>
        <w:t xml:space="preserve"> </w:t>
      </w:r>
      <w:r w:rsidR="00566E19" w:rsidRPr="00A93FAB">
        <w:rPr>
          <w:rFonts w:ascii="Calibri" w:hAnsi="Calibri" w:cs="Calibri"/>
        </w:rPr>
        <w:t>lowered its</w:t>
      </w:r>
      <w:r w:rsidR="00642D44" w:rsidRPr="00A93FAB">
        <w:rPr>
          <w:rFonts w:ascii="Calibri" w:hAnsi="Calibri" w:cs="Calibri"/>
        </w:rPr>
        <w:t xml:space="preserve"> interest rate </w:t>
      </w:r>
      <w:r w:rsidR="00566E19" w:rsidRPr="00A93FAB">
        <w:rPr>
          <w:rFonts w:ascii="Calibri" w:hAnsi="Calibri" w:cs="Calibri"/>
        </w:rPr>
        <w:t>by 25 basis points, and revised its inflation forecasts for 2024 and 2025</w:t>
      </w:r>
      <w:r w:rsidR="00642D44" w:rsidRPr="00A93FAB">
        <w:rPr>
          <w:rFonts w:ascii="Calibri" w:hAnsi="Calibri" w:cs="Calibri"/>
        </w:rPr>
        <w:t xml:space="preserve"> </w:t>
      </w:r>
      <w:r w:rsidR="00566E19" w:rsidRPr="00A93FAB">
        <w:rPr>
          <w:rFonts w:ascii="Calibri" w:hAnsi="Calibri" w:cs="Calibri"/>
        </w:rPr>
        <w:t xml:space="preserve">upward. The ECB also noted that it is not committed to a predetermined path of interest rate reductions, and that it will continue with its </w:t>
      </w:r>
      <w:proofErr w:type="gramStart"/>
      <w:r w:rsidR="00566E19" w:rsidRPr="00A93FAB">
        <w:rPr>
          <w:rFonts w:ascii="Calibri" w:hAnsi="Calibri" w:cs="Calibri"/>
        </w:rPr>
        <w:t>data-based</w:t>
      </w:r>
      <w:proofErr w:type="gramEnd"/>
      <w:r w:rsidR="00566E19" w:rsidRPr="00A93FAB">
        <w:rPr>
          <w:rFonts w:ascii="Calibri" w:hAnsi="Calibri" w:cs="Calibri"/>
        </w:rPr>
        <w:t xml:space="preserve"> approach.</w:t>
      </w:r>
    </w:p>
    <w:p w14:paraId="729DC7CD" w14:textId="77777777" w:rsidR="00AD12BC" w:rsidRPr="00A93FAB" w:rsidRDefault="00AD12BC" w:rsidP="00C2592B">
      <w:pPr>
        <w:jc w:val="both"/>
        <w:rPr>
          <w:rFonts w:ascii="Calibri" w:hAnsi="Calibri" w:cs="Calibri"/>
        </w:rPr>
      </w:pPr>
    </w:p>
    <w:p w14:paraId="2A06FF08" w14:textId="77777777" w:rsidR="00AD12BC" w:rsidRPr="00A93FAB" w:rsidRDefault="00AD12BC" w:rsidP="00C2592B">
      <w:pPr>
        <w:jc w:val="both"/>
        <w:rPr>
          <w:rFonts w:ascii="Calibri" w:hAnsi="Calibri" w:cs="Calibri"/>
        </w:rPr>
      </w:pPr>
    </w:p>
    <w:p w14:paraId="6D15635A" w14:textId="14D952D6" w:rsidR="00D26730" w:rsidRPr="00A93FAB" w:rsidRDefault="00D26730" w:rsidP="00566E19">
      <w:pPr>
        <w:jc w:val="both"/>
        <w:rPr>
          <w:rFonts w:ascii="Calibri" w:hAnsi="Calibri" w:cs="Calibri"/>
          <w:rtl/>
        </w:rPr>
      </w:pPr>
      <w:r w:rsidRPr="00A93FAB">
        <w:rPr>
          <w:rFonts w:ascii="Calibri" w:hAnsi="Calibri" w:cs="Calibri"/>
        </w:rPr>
        <w:t xml:space="preserve">The minutes of the monetary discussions prior to this interest rate decision </w:t>
      </w:r>
      <w:proofErr w:type="gramStart"/>
      <w:r w:rsidRPr="00A93FAB">
        <w:rPr>
          <w:rFonts w:ascii="Calibri" w:hAnsi="Calibri" w:cs="Calibri"/>
        </w:rPr>
        <w:t>will be published</w:t>
      </w:r>
      <w:proofErr w:type="gramEnd"/>
      <w:r w:rsidRPr="00A93FAB">
        <w:rPr>
          <w:rFonts w:ascii="Calibri" w:hAnsi="Calibri" w:cs="Calibri"/>
        </w:rPr>
        <w:t xml:space="preserve"> on </w:t>
      </w:r>
      <w:r w:rsidR="00566E19" w:rsidRPr="00A93FAB">
        <w:rPr>
          <w:rFonts w:ascii="Calibri" w:hAnsi="Calibri" w:cs="Calibri"/>
        </w:rPr>
        <w:t>July 22</w:t>
      </w:r>
      <w:r w:rsidR="003511FA" w:rsidRPr="00A93FAB">
        <w:rPr>
          <w:rFonts w:ascii="Calibri" w:hAnsi="Calibri" w:cs="Calibri"/>
        </w:rPr>
        <w:t xml:space="preserve">, </w:t>
      </w:r>
      <w:r w:rsidR="00B16D92" w:rsidRPr="00A93FAB">
        <w:rPr>
          <w:rFonts w:ascii="Calibri" w:hAnsi="Calibri" w:cs="Calibri"/>
        </w:rPr>
        <w:t>2024</w:t>
      </w:r>
      <w:r w:rsidRPr="00A93FAB">
        <w:rPr>
          <w:rFonts w:ascii="Calibri" w:hAnsi="Calibri" w:cs="Calibri"/>
        </w:rPr>
        <w:t xml:space="preserve">. The next decision regarding the interest rate </w:t>
      </w:r>
      <w:proofErr w:type="gramStart"/>
      <w:r w:rsidRPr="00A93FAB">
        <w:rPr>
          <w:rFonts w:ascii="Calibri" w:hAnsi="Calibri" w:cs="Calibri"/>
        </w:rPr>
        <w:t>will be published</w:t>
      </w:r>
      <w:proofErr w:type="gramEnd"/>
      <w:r w:rsidRPr="00A93FAB">
        <w:rPr>
          <w:rFonts w:ascii="Calibri" w:hAnsi="Calibri" w:cs="Calibri"/>
        </w:rPr>
        <w:t xml:space="preserve"> at 16:00 on </w:t>
      </w:r>
      <w:r w:rsidR="00566E19" w:rsidRPr="00A93FAB">
        <w:rPr>
          <w:rFonts w:ascii="Calibri" w:hAnsi="Calibri" w:cs="Calibri"/>
        </w:rPr>
        <w:t>Wednes</w:t>
      </w:r>
      <w:r w:rsidR="005923FA" w:rsidRPr="00A93FAB">
        <w:rPr>
          <w:rFonts w:ascii="Calibri" w:hAnsi="Calibri" w:cs="Calibri"/>
        </w:rPr>
        <w:t xml:space="preserve">day, </w:t>
      </w:r>
      <w:r w:rsidR="00566E19" w:rsidRPr="00A93FAB">
        <w:rPr>
          <w:rFonts w:ascii="Calibri" w:hAnsi="Calibri" w:cs="Calibri"/>
        </w:rPr>
        <w:t>August</w:t>
      </w:r>
      <w:r w:rsidR="003511FA" w:rsidRPr="00A93FAB">
        <w:rPr>
          <w:rFonts w:ascii="Calibri" w:hAnsi="Calibri" w:cs="Calibri"/>
        </w:rPr>
        <w:t xml:space="preserve"> </w:t>
      </w:r>
      <w:r w:rsidR="00566E19" w:rsidRPr="00A93FAB">
        <w:rPr>
          <w:rFonts w:ascii="Calibri" w:hAnsi="Calibri" w:cs="Calibri"/>
        </w:rPr>
        <w:t>2</w:t>
      </w:r>
      <w:r w:rsidR="003511FA" w:rsidRPr="00A93FAB">
        <w:rPr>
          <w:rFonts w:ascii="Calibri" w:hAnsi="Calibri" w:cs="Calibri"/>
        </w:rPr>
        <w:t>8</w:t>
      </w:r>
      <w:r w:rsidR="006D0AB3" w:rsidRPr="00A93FAB">
        <w:rPr>
          <w:rFonts w:ascii="Calibri" w:hAnsi="Calibri" w:cs="Calibri"/>
        </w:rPr>
        <w:t>, 2024</w:t>
      </w:r>
      <w:r w:rsidR="00C615F3" w:rsidRPr="00A93FAB">
        <w:rPr>
          <w:rFonts w:ascii="Calibri" w:hAnsi="Calibri" w:cs="Calibri"/>
        </w:rPr>
        <w:t>.</w:t>
      </w:r>
    </w:p>
    <w:sectPr w:rsidR="00D26730" w:rsidRPr="00A93FAB" w:rsidSect="008A464C">
      <w:headerReference w:type="first" r:id="rId9"/>
      <w:type w:val="continuous"/>
      <w:pgSz w:w="11907" w:h="16839" w:code="9"/>
      <w:pgMar w:top="1701" w:right="1134" w:bottom="1304" w:left="1418" w:header="10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8657" w14:textId="77777777" w:rsidR="00F71C8A" w:rsidRDefault="00F71C8A" w:rsidP="006A415B">
      <w:r>
        <w:separator/>
      </w:r>
    </w:p>
  </w:endnote>
  <w:endnote w:type="continuationSeparator" w:id="0">
    <w:p w14:paraId="7A64444E" w14:textId="77777777" w:rsidR="00F71C8A" w:rsidRDefault="00F71C8A" w:rsidP="006A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C8A65" w14:textId="77777777" w:rsidR="00F71C8A" w:rsidRDefault="00F71C8A" w:rsidP="006A415B">
      <w:r>
        <w:separator/>
      </w:r>
    </w:p>
  </w:footnote>
  <w:footnote w:type="continuationSeparator" w:id="0">
    <w:p w14:paraId="01F50965" w14:textId="77777777" w:rsidR="00F71C8A" w:rsidRDefault="00F71C8A" w:rsidP="006A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6EC1" w14:textId="262D1BAB" w:rsidR="006A415B" w:rsidRDefault="006A415B" w:rsidP="006A415B">
    <w:pPr>
      <w:pStyle w:val="regpar"/>
      <w:spacing w:line="300" w:lineRule="atLeast"/>
      <w:ind w:firstLine="0"/>
      <w:jc w:val="center"/>
      <w:rPr>
        <w:b/>
      </w:rPr>
    </w:pPr>
  </w:p>
  <w:p w14:paraId="48E0C458" w14:textId="77777777" w:rsidR="006A415B" w:rsidRDefault="006A415B" w:rsidP="006A415B">
    <w:pPr>
      <w:pStyle w:val="regpar"/>
      <w:spacing w:line="300" w:lineRule="atLeast"/>
      <w:ind w:firstLine="0"/>
      <w:jc w:val="left"/>
      <w:rPr>
        <w:b/>
      </w:rPr>
    </w:pPr>
  </w:p>
  <w:p w14:paraId="71D942D3" w14:textId="77777777" w:rsidR="000E5444" w:rsidRDefault="000E5444" w:rsidP="006A415B">
    <w:pPr>
      <w:pStyle w:val="regpar"/>
      <w:spacing w:line="300" w:lineRule="atLeast"/>
      <w:ind w:firstLine="0"/>
      <w:jc w:val="center"/>
      <w:rPr>
        <w:b/>
        <w:sz w:val="28"/>
        <w:szCs w:val="28"/>
      </w:rPr>
    </w:pPr>
  </w:p>
  <w:p w14:paraId="4A4E0619" w14:textId="540A3200" w:rsidR="006A415B" w:rsidRDefault="006A415B" w:rsidP="006A415B">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hebrew1"/>
      <w:pStyle w:val="1"/>
      <w:lvlText w:val="%1."/>
      <w:legacy w:legacy="1" w:legacySpace="0" w:legacyIndent="340"/>
      <w:lvlJc w:val="right"/>
      <w:pPr>
        <w:ind w:left="340" w:hanging="340"/>
      </w:pPr>
      <w:rPr>
        <w:rFonts w:ascii="Times New Roman" w:hAnsi="Times New Roman" w:cs="Times New Roman" w:hint="default"/>
        <w:b w:val="0"/>
        <w:i w:val="0"/>
        <w:sz w:val="22"/>
        <w:szCs w:val="24"/>
      </w:rPr>
    </w:lvl>
    <w:lvl w:ilvl="1">
      <w:start w:val="1"/>
      <w:numFmt w:val="decimal"/>
      <w:pStyle w:val="2"/>
      <w:lvlText w:val="%2."/>
      <w:legacy w:legacy="1" w:legacySpace="0" w:legacyIndent="340"/>
      <w:lvlJc w:val="right"/>
      <w:pPr>
        <w:ind w:left="680" w:hanging="340"/>
      </w:pPr>
      <w:rPr>
        <w:rFonts w:ascii="Times New Roman" w:hAnsi="Times New Roman" w:cs="Times New Roman" w:hint="default"/>
        <w:b w:val="0"/>
        <w:i w:val="0"/>
        <w:sz w:val="22"/>
      </w:rPr>
    </w:lvl>
    <w:lvl w:ilvl="2">
      <w:start w:val="1"/>
      <w:numFmt w:val="hebrew1"/>
      <w:pStyle w:val="3"/>
      <w:lvlText w:val="%3)"/>
      <w:legacy w:legacy="1" w:legacySpace="0" w:legacyIndent="340"/>
      <w:lvlJc w:val="right"/>
      <w:pPr>
        <w:ind w:left="1020" w:hanging="340"/>
      </w:pPr>
      <w:rPr>
        <w:rFonts w:ascii="Times New Roman" w:hAnsi="Times New Roman" w:cs="Times New Roman" w:hint="default"/>
        <w:b w:val="0"/>
        <w:i w:val="0"/>
        <w:sz w:val="22"/>
        <w:szCs w:val="24"/>
      </w:rPr>
    </w:lvl>
    <w:lvl w:ilvl="3">
      <w:start w:val="1"/>
      <w:numFmt w:val="decimal"/>
      <w:pStyle w:val="4"/>
      <w:lvlText w:val="(%4)"/>
      <w:legacy w:legacy="1" w:legacySpace="0" w:legacyIndent="340"/>
      <w:lvlJc w:val="right"/>
      <w:pPr>
        <w:ind w:left="1360" w:hanging="340"/>
      </w:pPr>
      <w:rPr>
        <w:rFonts w:ascii="Times New Roman" w:hAnsi="Times New Roman" w:cs="Times New Roman" w:hint="default"/>
        <w:b w:val="0"/>
        <w:i w:val="0"/>
        <w:sz w:val="22"/>
      </w:rPr>
    </w:lvl>
    <w:lvl w:ilvl="4">
      <w:start w:val="1"/>
      <w:numFmt w:val="decimal"/>
      <w:pStyle w:val="5"/>
      <w:lvlText w:val="(%5)"/>
      <w:legacy w:legacy="1" w:legacySpace="0" w:legacyIndent="708"/>
      <w:lvlJc w:val="center"/>
      <w:pPr>
        <w:ind w:left="2068" w:hanging="708"/>
      </w:pPr>
      <w:rPr>
        <w:rFonts w:ascii="Times New Roman" w:hAnsi="Times New Roman" w:cs="Times New Roman"/>
      </w:rPr>
    </w:lvl>
    <w:lvl w:ilvl="5">
      <w:start w:val="1"/>
      <w:numFmt w:val="lowerLetter"/>
      <w:pStyle w:val="6"/>
      <w:lvlText w:val="(%6)"/>
      <w:legacy w:legacy="1" w:legacySpace="0" w:legacyIndent="708"/>
      <w:lvlJc w:val="center"/>
      <w:pPr>
        <w:ind w:left="2776" w:hanging="708"/>
      </w:pPr>
      <w:rPr>
        <w:rFonts w:ascii="Times New Roman" w:hAnsi="Times New Roman" w:cs="Times New Roman"/>
      </w:rPr>
    </w:lvl>
    <w:lvl w:ilvl="6">
      <w:start w:val="1"/>
      <w:numFmt w:val="lowerRoman"/>
      <w:pStyle w:val="7"/>
      <w:lvlText w:val="(%7)"/>
      <w:legacy w:legacy="1" w:legacySpace="0" w:legacyIndent="708"/>
      <w:lvlJc w:val="center"/>
      <w:pPr>
        <w:ind w:left="3484" w:hanging="708"/>
      </w:pPr>
      <w:rPr>
        <w:rFonts w:ascii="Times New Roman" w:hAnsi="Times New Roman" w:cs="Times New Roman"/>
      </w:rPr>
    </w:lvl>
    <w:lvl w:ilvl="7">
      <w:start w:val="1"/>
      <w:numFmt w:val="lowerLetter"/>
      <w:pStyle w:val="8"/>
      <w:lvlText w:val="(%8)"/>
      <w:legacy w:legacy="1" w:legacySpace="0" w:legacyIndent="708"/>
      <w:lvlJc w:val="center"/>
      <w:pPr>
        <w:ind w:left="4192" w:hanging="708"/>
      </w:pPr>
      <w:rPr>
        <w:rFonts w:ascii="Times New Roman" w:hAnsi="Times New Roman" w:cs="Times New Roman"/>
      </w:rPr>
    </w:lvl>
    <w:lvl w:ilvl="8">
      <w:start w:val="1"/>
      <w:numFmt w:val="lowerRoman"/>
      <w:pStyle w:val="9"/>
      <w:lvlText w:val="(%9)"/>
      <w:legacy w:legacy="1" w:legacySpace="0" w:legacyIndent="708"/>
      <w:lvlJc w:val="center"/>
      <w:pPr>
        <w:ind w:left="4900" w:hanging="708"/>
      </w:pPr>
      <w:rPr>
        <w:rFonts w:ascii="Times New Roman" w:hAnsi="Times New Roman" w:cs="Times New Roman"/>
      </w:rPr>
    </w:lvl>
  </w:abstractNum>
  <w:abstractNum w:abstractNumId="1" w15:restartNumberingAfterBreak="0">
    <w:nsid w:val="0542714D"/>
    <w:multiLevelType w:val="hybridMultilevel"/>
    <w:tmpl w:val="EAD21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33779"/>
    <w:multiLevelType w:val="hybridMultilevel"/>
    <w:tmpl w:val="D212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71947"/>
    <w:multiLevelType w:val="hybridMultilevel"/>
    <w:tmpl w:val="DED88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E1775"/>
    <w:multiLevelType w:val="hybridMultilevel"/>
    <w:tmpl w:val="3872C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AB429C"/>
    <w:multiLevelType w:val="hybridMultilevel"/>
    <w:tmpl w:val="5488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75AE7"/>
    <w:multiLevelType w:val="hybridMultilevel"/>
    <w:tmpl w:val="0FE2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C0C10"/>
    <w:multiLevelType w:val="hybridMultilevel"/>
    <w:tmpl w:val="6D109332"/>
    <w:lvl w:ilvl="0" w:tplc="6DA002C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37205B"/>
    <w:multiLevelType w:val="hybridMultilevel"/>
    <w:tmpl w:val="66868FB6"/>
    <w:lvl w:ilvl="0" w:tplc="04090001">
      <w:start w:val="1"/>
      <w:numFmt w:val="bullet"/>
      <w:lvlText w:val=""/>
      <w:lvlJc w:val="left"/>
      <w:pPr>
        <w:ind w:left="5747" w:hanging="360"/>
      </w:pPr>
      <w:rPr>
        <w:rFonts w:ascii="Symbol" w:hAnsi="Symbol" w:hint="default"/>
      </w:rPr>
    </w:lvl>
    <w:lvl w:ilvl="1" w:tplc="04090003" w:tentative="1">
      <w:start w:val="1"/>
      <w:numFmt w:val="bullet"/>
      <w:lvlText w:val="o"/>
      <w:lvlJc w:val="left"/>
      <w:pPr>
        <w:ind w:left="6467" w:hanging="360"/>
      </w:pPr>
      <w:rPr>
        <w:rFonts w:ascii="Courier New" w:hAnsi="Courier New" w:cs="Courier New" w:hint="default"/>
      </w:rPr>
    </w:lvl>
    <w:lvl w:ilvl="2" w:tplc="04090005" w:tentative="1">
      <w:start w:val="1"/>
      <w:numFmt w:val="bullet"/>
      <w:lvlText w:val=""/>
      <w:lvlJc w:val="left"/>
      <w:pPr>
        <w:ind w:left="7187" w:hanging="360"/>
      </w:pPr>
      <w:rPr>
        <w:rFonts w:ascii="Wingdings" w:hAnsi="Wingdings" w:hint="default"/>
      </w:rPr>
    </w:lvl>
    <w:lvl w:ilvl="3" w:tplc="04090001" w:tentative="1">
      <w:start w:val="1"/>
      <w:numFmt w:val="bullet"/>
      <w:lvlText w:val=""/>
      <w:lvlJc w:val="left"/>
      <w:pPr>
        <w:ind w:left="7907" w:hanging="360"/>
      </w:pPr>
      <w:rPr>
        <w:rFonts w:ascii="Symbol" w:hAnsi="Symbol" w:hint="default"/>
      </w:rPr>
    </w:lvl>
    <w:lvl w:ilvl="4" w:tplc="04090003" w:tentative="1">
      <w:start w:val="1"/>
      <w:numFmt w:val="bullet"/>
      <w:lvlText w:val="o"/>
      <w:lvlJc w:val="left"/>
      <w:pPr>
        <w:ind w:left="8627" w:hanging="360"/>
      </w:pPr>
      <w:rPr>
        <w:rFonts w:ascii="Courier New" w:hAnsi="Courier New" w:cs="Courier New" w:hint="default"/>
      </w:rPr>
    </w:lvl>
    <w:lvl w:ilvl="5" w:tplc="04090005" w:tentative="1">
      <w:start w:val="1"/>
      <w:numFmt w:val="bullet"/>
      <w:lvlText w:val=""/>
      <w:lvlJc w:val="left"/>
      <w:pPr>
        <w:ind w:left="9347" w:hanging="360"/>
      </w:pPr>
      <w:rPr>
        <w:rFonts w:ascii="Wingdings" w:hAnsi="Wingdings" w:hint="default"/>
      </w:rPr>
    </w:lvl>
    <w:lvl w:ilvl="6" w:tplc="04090001" w:tentative="1">
      <w:start w:val="1"/>
      <w:numFmt w:val="bullet"/>
      <w:lvlText w:val=""/>
      <w:lvlJc w:val="left"/>
      <w:pPr>
        <w:ind w:left="10067" w:hanging="360"/>
      </w:pPr>
      <w:rPr>
        <w:rFonts w:ascii="Symbol" w:hAnsi="Symbol" w:hint="default"/>
      </w:rPr>
    </w:lvl>
    <w:lvl w:ilvl="7" w:tplc="04090003" w:tentative="1">
      <w:start w:val="1"/>
      <w:numFmt w:val="bullet"/>
      <w:lvlText w:val="o"/>
      <w:lvlJc w:val="left"/>
      <w:pPr>
        <w:ind w:left="10787" w:hanging="360"/>
      </w:pPr>
      <w:rPr>
        <w:rFonts w:ascii="Courier New" w:hAnsi="Courier New" w:cs="Courier New" w:hint="default"/>
      </w:rPr>
    </w:lvl>
    <w:lvl w:ilvl="8" w:tplc="04090005" w:tentative="1">
      <w:start w:val="1"/>
      <w:numFmt w:val="bullet"/>
      <w:lvlText w:val=""/>
      <w:lvlJc w:val="left"/>
      <w:pPr>
        <w:ind w:left="11507" w:hanging="360"/>
      </w:pPr>
      <w:rPr>
        <w:rFonts w:ascii="Wingdings" w:hAnsi="Wingdings" w:hint="default"/>
      </w:rPr>
    </w:lvl>
  </w:abstractNum>
  <w:abstractNum w:abstractNumId="9" w15:restartNumberingAfterBreak="0">
    <w:nsid w:val="7AB960C6"/>
    <w:multiLevelType w:val="hybridMultilevel"/>
    <w:tmpl w:val="A9C69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1"/>
  </w:num>
  <w:num w:numId="6">
    <w:abstractNumId w:val="9"/>
  </w:num>
  <w:num w:numId="7">
    <w:abstractNumId w:val="5"/>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06"/>
    <w:rsid w:val="000009ED"/>
    <w:rsid w:val="000016FE"/>
    <w:rsid w:val="00003FA3"/>
    <w:rsid w:val="0000420E"/>
    <w:rsid w:val="00004259"/>
    <w:rsid w:val="00005040"/>
    <w:rsid w:val="00005212"/>
    <w:rsid w:val="0000579C"/>
    <w:rsid w:val="000057DC"/>
    <w:rsid w:val="0000766C"/>
    <w:rsid w:val="00010568"/>
    <w:rsid w:val="00010C70"/>
    <w:rsid w:val="0001308F"/>
    <w:rsid w:val="00014A23"/>
    <w:rsid w:val="00014EF7"/>
    <w:rsid w:val="0001723D"/>
    <w:rsid w:val="00017C7F"/>
    <w:rsid w:val="00020F9E"/>
    <w:rsid w:val="000247BE"/>
    <w:rsid w:val="0002574D"/>
    <w:rsid w:val="00026557"/>
    <w:rsid w:val="00026692"/>
    <w:rsid w:val="0002762F"/>
    <w:rsid w:val="0003080D"/>
    <w:rsid w:val="00032BD5"/>
    <w:rsid w:val="00032EAA"/>
    <w:rsid w:val="00033062"/>
    <w:rsid w:val="00033326"/>
    <w:rsid w:val="000337D1"/>
    <w:rsid w:val="000359AC"/>
    <w:rsid w:val="0003624A"/>
    <w:rsid w:val="0003644D"/>
    <w:rsid w:val="000368DE"/>
    <w:rsid w:val="0004163E"/>
    <w:rsid w:val="000416AB"/>
    <w:rsid w:val="00041B69"/>
    <w:rsid w:val="00042865"/>
    <w:rsid w:val="00042D5A"/>
    <w:rsid w:val="00043E00"/>
    <w:rsid w:val="00043EF3"/>
    <w:rsid w:val="00044851"/>
    <w:rsid w:val="00044C54"/>
    <w:rsid w:val="000467E1"/>
    <w:rsid w:val="00046F70"/>
    <w:rsid w:val="000504FE"/>
    <w:rsid w:val="00050BD0"/>
    <w:rsid w:val="000512B0"/>
    <w:rsid w:val="000519B9"/>
    <w:rsid w:val="00051F02"/>
    <w:rsid w:val="00053072"/>
    <w:rsid w:val="00053163"/>
    <w:rsid w:val="000538AB"/>
    <w:rsid w:val="00053A86"/>
    <w:rsid w:val="00054956"/>
    <w:rsid w:val="00061166"/>
    <w:rsid w:val="00065057"/>
    <w:rsid w:val="000651F8"/>
    <w:rsid w:val="0006540D"/>
    <w:rsid w:val="00066322"/>
    <w:rsid w:val="000674E1"/>
    <w:rsid w:val="000677A6"/>
    <w:rsid w:val="0006797C"/>
    <w:rsid w:val="000703FF"/>
    <w:rsid w:val="00070DB3"/>
    <w:rsid w:val="00070EC2"/>
    <w:rsid w:val="000717B4"/>
    <w:rsid w:val="000743A2"/>
    <w:rsid w:val="00074B82"/>
    <w:rsid w:val="000769A8"/>
    <w:rsid w:val="000819C4"/>
    <w:rsid w:val="00081DD4"/>
    <w:rsid w:val="0008265B"/>
    <w:rsid w:val="00084BF8"/>
    <w:rsid w:val="000851CE"/>
    <w:rsid w:val="000860E5"/>
    <w:rsid w:val="00086DD2"/>
    <w:rsid w:val="00087055"/>
    <w:rsid w:val="00087A89"/>
    <w:rsid w:val="0009033A"/>
    <w:rsid w:val="00090ABE"/>
    <w:rsid w:val="00091D07"/>
    <w:rsid w:val="00093CBA"/>
    <w:rsid w:val="00093E16"/>
    <w:rsid w:val="00094DC7"/>
    <w:rsid w:val="0009726C"/>
    <w:rsid w:val="000975E0"/>
    <w:rsid w:val="000A02E0"/>
    <w:rsid w:val="000A409C"/>
    <w:rsid w:val="000A4196"/>
    <w:rsid w:val="000A50C6"/>
    <w:rsid w:val="000A577B"/>
    <w:rsid w:val="000A57F1"/>
    <w:rsid w:val="000A7183"/>
    <w:rsid w:val="000A75E1"/>
    <w:rsid w:val="000A7BAF"/>
    <w:rsid w:val="000B00F9"/>
    <w:rsid w:val="000B0812"/>
    <w:rsid w:val="000B0CA3"/>
    <w:rsid w:val="000B10F7"/>
    <w:rsid w:val="000B1666"/>
    <w:rsid w:val="000B288C"/>
    <w:rsid w:val="000B5823"/>
    <w:rsid w:val="000B77C7"/>
    <w:rsid w:val="000B7A80"/>
    <w:rsid w:val="000C0090"/>
    <w:rsid w:val="000C06F5"/>
    <w:rsid w:val="000C1CAB"/>
    <w:rsid w:val="000C1D36"/>
    <w:rsid w:val="000C23B4"/>
    <w:rsid w:val="000C3838"/>
    <w:rsid w:val="000C4DCD"/>
    <w:rsid w:val="000C5920"/>
    <w:rsid w:val="000C5AD8"/>
    <w:rsid w:val="000C5C39"/>
    <w:rsid w:val="000C6506"/>
    <w:rsid w:val="000C79A3"/>
    <w:rsid w:val="000C7D5B"/>
    <w:rsid w:val="000D1004"/>
    <w:rsid w:val="000D1F86"/>
    <w:rsid w:val="000D370E"/>
    <w:rsid w:val="000D3FD7"/>
    <w:rsid w:val="000D41A9"/>
    <w:rsid w:val="000D53EB"/>
    <w:rsid w:val="000D5605"/>
    <w:rsid w:val="000D5687"/>
    <w:rsid w:val="000D57DF"/>
    <w:rsid w:val="000D5952"/>
    <w:rsid w:val="000D623A"/>
    <w:rsid w:val="000D6B8C"/>
    <w:rsid w:val="000D70AC"/>
    <w:rsid w:val="000D74BC"/>
    <w:rsid w:val="000E030C"/>
    <w:rsid w:val="000E0752"/>
    <w:rsid w:val="000E0FBB"/>
    <w:rsid w:val="000E10F6"/>
    <w:rsid w:val="000E1246"/>
    <w:rsid w:val="000E12D2"/>
    <w:rsid w:val="000E168E"/>
    <w:rsid w:val="000E2B1B"/>
    <w:rsid w:val="000E3349"/>
    <w:rsid w:val="000E42A1"/>
    <w:rsid w:val="000E5444"/>
    <w:rsid w:val="000E5F83"/>
    <w:rsid w:val="000E64FA"/>
    <w:rsid w:val="000E674B"/>
    <w:rsid w:val="000E690F"/>
    <w:rsid w:val="000E6DF7"/>
    <w:rsid w:val="000E77BF"/>
    <w:rsid w:val="000E7C33"/>
    <w:rsid w:val="000E7F9B"/>
    <w:rsid w:val="000F00D9"/>
    <w:rsid w:val="000F069A"/>
    <w:rsid w:val="000F10CC"/>
    <w:rsid w:val="000F11D7"/>
    <w:rsid w:val="000F1564"/>
    <w:rsid w:val="000F2AC0"/>
    <w:rsid w:val="000F40FB"/>
    <w:rsid w:val="000F4EBE"/>
    <w:rsid w:val="000F54D5"/>
    <w:rsid w:val="000F5C08"/>
    <w:rsid w:val="000F5F46"/>
    <w:rsid w:val="0010008A"/>
    <w:rsid w:val="00100ED2"/>
    <w:rsid w:val="00101CD9"/>
    <w:rsid w:val="00102273"/>
    <w:rsid w:val="001023DE"/>
    <w:rsid w:val="0010516D"/>
    <w:rsid w:val="0010554B"/>
    <w:rsid w:val="00105C6C"/>
    <w:rsid w:val="001077FE"/>
    <w:rsid w:val="001110C7"/>
    <w:rsid w:val="00111B01"/>
    <w:rsid w:val="00113F78"/>
    <w:rsid w:val="00114A1E"/>
    <w:rsid w:val="00115978"/>
    <w:rsid w:val="001209A1"/>
    <w:rsid w:val="00120A96"/>
    <w:rsid w:val="00120CBC"/>
    <w:rsid w:val="001230AB"/>
    <w:rsid w:val="0012343B"/>
    <w:rsid w:val="00123AAE"/>
    <w:rsid w:val="001246CD"/>
    <w:rsid w:val="00124898"/>
    <w:rsid w:val="00124C58"/>
    <w:rsid w:val="0012539C"/>
    <w:rsid w:val="00127542"/>
    <w:rsid w:val="0013000B"/>
    <w:rsid w:val="0013004C"/>
    <w:rsid w:val="00130AEA"/>
    <w:rsid w:val="00130B18"/>
    <w:rsid w:val="00130FDA"/>
    <w:rsid w:val="001314EF"/>
    <w:rsid w:val="00131DB9"/>
    <w:rsid w:val="00132757"/>
    <w:rsid w:val="00133702"/>
    <w:rsid w:val="00134E52"/>
    <w:rsid w:val="00135719"/>
    <w:rsid w:val="001361C4"/>
    <w:rsid w:val="00136EA2"/>
    <w:rsid w:val="00140663"/>
    <w:rsid w:val="001406C1"/>
    <w:rsid w:val="00142107"/>
    <w:rsid w:val="00145881"/>
    <w:rsid w:val="00145BF6"/>
    <w:rsid w:val="00146CF1"/>
    <w:rsid w:val="00146EEA"/>
    <w:rsid w:val="00146F92"/>
    <w:rsid w:val="00151E99"/>
    <w:rsid w:val="00152120"/>
    <w:rsid w:val="001530AA"/>
    <w:rsid w:val="0015502C"/>
    <w:rsid w:val="001550FB"/>
    <w:rsid w:val="00155630"/>
    <w:rsid w:val="00155BAE"/>
    <w:rsid w:val="00160AD5"/>
    <w:rsid w:val="00161C87"/>
    <w:rsid w:val="00162076"/>
    <w:rsid w:val="00163C3D"/>
    <w:rsid w:val="0016533E"/>
    <w:rsid w:val="00165645"/>
    <w:rsid w:val="00165ECA"/>
    <w:rsid w:val="00165FAB"/>
    <w:rsid w:val="00166110"/>
    <w:rsid w:val="00166DC5"/>
    <w:rsid w:val="00167478"/>
    <w:rsid w:val="00170743"/>
    <w:rsid w:val="001714A4"/>
    <w:rsid w:val="00171888"/>
    <w:rsid w:val="00171A9A"/>
    <w:rsid w:val="00174769"/>
    <w:rsid w:val="001758BE"/>
    <w:rsid w:val="00176852"/>
    <w:rsid w:val="0017762C"/>
    <w:rsid w:val="00177E01"/>
    <w:rsid w:val="001809CC"/>
    <w:rsid w:val="00180B68"/>
    <w:rsid w:val="00183F6B"/>
    <w:rsid w:val="00185B28"/>
    <w:rsid w:val="00185FC3"/>
    <w:rsid w:val="00186C12"/>
    <w:rsid w:val="001870AE"/>
    <w:rsid w:val="00190FC4"/>
    <w:rsid w:val="00191EDC"/>
    <w:rsid w:val="001929CC"/>
    <w:rsid w:val="00193ACF"/>
    <w:rsid w:val="00194663"/>
    <w:rsid w:val="00194A87"/>
    <w:rsid w:val="0019541B"/>
    <w:rsid w:val="00195AC7"/>
    <w:rsid w:val="00195DD8"/>
    <w:rsid w:val="00196720"/>
    <w:rsid w:val="00196FAC"/>
    <w:rsid w:val="001979DB"/>
    <w:rsid w:val="00197CEA"/>
    <w:rsid w:val="001A0731"/>
    <w:rsid w:val="001A1574"/>
    <w:rsid w:val="001A1A27"/>
    <w:rsid w:val="001A1D4C"/>
    <w:rsid w:val="001A20A9"/>
    <w:rsid w:val="001A29FE"/>
    <w:rsid w:val="001A34F4"/>
    <w:rsid w:val="001A3AC8"/>
    <w:rsid w:val="001A404B"/>
    <w:rsid w:val="001A4B79"/>
    <w:rsid w:val="001A503C"/>
    <w:rsid w:val="001A5208"/>
    <w:rsid w:val="001A55F3"/>
    <w:rsid w:val="001A5C00"/>
    <w:rsid w:val="001A5C93"/>
    <w:rsid w:val="001A5EEA"/>
    <w:rsid w:val="001B00BB"/>
    <w:rsid w:val="001B0124"/>
    <w:rsid w:val="001B0F37"/>
    <w:rsid w:val="001B1AC6"/>
    <w:rsid w:val="001B2297"/>
    <w:rsid w:val="001B2918"/>
    <w:rsid w:val="001B414F"/>
    <w:rsid w:val="001B41AF"/>
    <w:rsid w:val="001B430C"/>
    <w:rsid w:val="001B4676"/>
    <w:rsid w:val="001B4D56"/>
    <w:rsid w:val="001B4DD9"/>
    <w:rsid w:val="001B62A8"/>
    <w:rsid w:val="001B719D"/>
    <w:rsid w:val="001C005D"/>
    <w:rsid w:val="001C18C2"/>
    <w:rsid w:val="001C1ABA"/>
    <w:rsid w:val="001C253A"/>
    <w:rsid w:val="001C2F9B"/>
    <w:rsid w:val="001C30D7"/>
    <w:rsid w:val="001C36F1"/>
    <w:rsid w:val="001C5D4D"/>
    <w:rsid w:val="001C6061"/>
    <w:rsid w:val="001C648E"/>
    <w:rsid w:val="001C67AA"/>
    <w:rsid w:val="001C796D"/>
    <w:rsid w:val="001D171B"/>
    <w:rsid w:val="001D1BFB"/>
    <w:rsid w:val="001D3676"/>
    <w:rsid w:val="001D398C"/>
    <w:rsid w:val="001D4181"/>
    <w:rsid w:val="001D42FB"/>
    <w:rsid w:val="001D4FF1"/>
    <w:rsid w:val="001D6C29"/>
    <w:rsid w:val="001D6F20"/>
    <w:rsid w:val="001E0025"/>
    <w:rsid w:val="001E02C6"/>
    <w:rsid w:val="001E2111"/>
    <w:rsid w:val="001E2404"/>
    <w:rsid w:val="001E29C0"/>
    <w:rsid w:val="001E2CC0"/>
    <w:rsid w:val="001E34CC"/>
    <w:rsid w:val="001E389F"/>
    <w:rsid w:val="001E3D28"/>
    <w:rsid w:val="001E59FB"/>
    <w:rsid w:val="001F0639"/>
    <w:rsid w:val="001F07C0"/>
    <w:rsid w:val="001F0BF6"/>
    <w:rsid w:val="001F1315"/>
    <w:rsid w:val="001F1511"/>
    <w:rsid w:val="001F2101"/>
    <w:rsid w:val="001F2855"/>
    <w:rsid w:val="001F2882"/>
    <w:rsid w:val="001F4879"/>
    <w:rsid w:val="001F5492"/>
    <w:rsid w:val="001F579B"/>
    <w:rsid w:val="001F688C"/>
    <w:rsid w:val="001F7599"/>
    <w:rsid w:val="00201608"/>
    <w:rsid w:val="002016D1"/>
    <w:rsid w:val="002019AB"/>
    <w:rsid w:val="0020271C"/>
    <w:rsid w:val="00203AB5"/>
    <w:rsid w:val="002041D4"/>
    <w:rsid w:val="00204ACD"/>
    <w:rsid w:val="00211375"/>
    <w:rsid w:val="00211F00"/>
    <w:rsid w:val="002122F9"/>
    <w:rsid w:val="002127DE"/>
    <w:rsid w:val="002128E9"/>
    <w:rsid w:val="002131B9"/>
    <w:rsid w:val="002150B4"/>
    <w:rsid w:val="0021573C"/>
    <w:rsid w:val="00216193"/>
    <w:rsid w:val="002166E3"/>
    <w:rsid w:val="00217377"/>
    <w:rsid w:val="00220741"/>
    <w:rsid w:val="00221D8C"/>
    <w:rsid w:val="0022201F"/>
    <w:rsid w:val="002224F4"/>
    <w:rsid w:val="00225374"/>
    <w:rsid w:val="00227B40"/>
    <w:rsid w:val="00227DF7"/>
    <w:rsid w:val="00230452"/>
    <w:rsid w:val="00230BCF"/>
    <w:rsid w:val="00231C91"/>
    <w:rsid w:val="00232305"/>
    <w:rsid w:val="00233242"/>
    <w:rsid w:val="00234E8D"/>
    <w:rsid w:val="00235C2C"/>
    <w:rsid w:val="00235C9A"/>
    <w:rsid w:val="002372E6"/>
    <w:rsid w:val="0024000B"/>
    <w:rsid w:val="00240CBE"/>
    <w:rsid w:val="0024158D"/>
    <w:rsid w:val="00242029"/>
    <w:rsid w:val="002427B4"/>
    <w:rsid w:val="00242EA5"/>
    <w:rsid w:val="002439C2"/>
    <w:rsid w:val="00244DF1"/>
    <w:rsid w:val="002454BD"/>
    <w:rsid w:val="00246670"/>
    <w:rsid w:val="00246A77"/>
    <w:rsid w:val="00246AB4"/>
    <w:rsid w:val="00246D60"/>
    <w:rsid w:val="00247CB6"/>
    <w:rsid w:val="00250448"/>
    <w:rsid w:val="0025090B"/>
    <w:rsid w:val="0025241A"/>
    <w:rsid w:val="002530C3"/>
    <w:rsid w:val="00254595"/>
    <w:rsid w:val="002547EA"/>
    <w:rsid w:val="00255BAC"/>
    <w:rsid w:val="00255F78"/>
    <w:rsid w:val="00257C4F"/>
    <w:rsid w:val="002626D3"/>
    <w:rsid w:val="002629F2"/>
    <w:rsid w:val="00262B90"/>
    <w:rsid w:val="002636AB"/>
    <w:rsid w:val="00263FA4"/>
    <w:rsid w:val="00264450"/>
    <w:rsid w:val="002650AB"/>
    <w:rsid w:val="00265177"/>
    <w:rsid w:val="00266932"/>
    <w:rsid w:val="00266A32"/>
    <w:rsid w:val="00267CC5"/>
    <w:rsid w:val="00267CFD"/>
    <w:rsid w:val="00270B0B"/>
    <w:rsid w:val="0027326C"/>
    <w:rsid w:val="00273D1B"/>
    <w:rsid w:val="00274B50"/>
    <w:rsid w:val="00274F4A"/>
    <w:rsid w:val="002752F1"/>
    <w:rsid w:val="0027547C"/>
    <w:rsid w:val="0027653D"/>
    <w:rsid w:val="00276651"/>
    <w:rsid w:val="00277BC5"/>
    <w:rsid w:val="00280053"/>
    <w:rsid w:val="00280A65"/>
    <w:rsid w:val="00282773"/>
    <w:rsid w:val="00282A2B"/>
    <w:rsid w:val="002842CA"/>
    <w:rsid w:val="00286644"/>
    <w:rsid w:val="0028776B"/>
    <w:rsid w:val="0029067D"/>
    <w:rsid w:val="002910D0"/>
    <w:rsid w:val="0029124A"/>
    <w:rsid w:val="002916FD"/>
    <w:rsid w:val="002919ED"/>
    <w:rsid w:val="00291D49"/>
    <w:rsid w:val="00292AE0"/>
    <w:rsid w:val="00293151"/>
    <w:rsid w:val="002934E4"/>
    <w:rsid w:val="00295C50"/>
    <w:rsid w:val="00295D2E"/>
    <w:rsid w:val="00296403"/>
    <w:rsid w:val="00296B48"/>
    <w:rsid w:val="00296CAD"/>
    <w:rsid w:val="00297B01"/>
    <w:rsid w:val="002A2252"/>
    <w:rsid w:val="002A2269"/>
    <w:rsid w:val="002A3047"/>
    <w:rsid w:val="002A305D"/>
    <w:rsid w:val="002A39EA"/>
    <w:rsid w:val="002A4D83"/>
    <w:rsid w:val="002A5070"/>
    <w:rsid w:val="002A545A"/>
    <w:rsid w:val="002A6170"/>
    <w:rsid w:val="002A61E1"/>
    <w:rsid w:val="002A6CAF"/>
    <w:rsid w:val="002B0908"/>
    <w:rsid w:val="002B09B3"/>
    <w:rsid w:val="002B0F0E"/>
    <w:rsid w:val="002B117C"/>
    <w:rsid w:val="002B1C21"/>
    <w:rsid w:val="002B2009"/>
    <w:rsid w:val="002B2038"/>
    <w:rsid w:val="002B234C"/>
    <w:rsid w:val="002B2730"/>
    <w:rsid w:val="002B2A4D"/>
    <w:rsid w:val="002B2E6D"/>
    <w:rsid w:val="002B3DBC"/>
    <w:rsid w:val="002B3E40"/>
    <w:rsid w:val="002B4F55"/>
    <w:rsid w:val="002B6624"/>
    <w:rsid w:val="002B7096"/>
    <w:rsid w:val="002C15F3"/>
    <w:rsid w:val="002C1A7A"/>
    <w:rsid w:val="002C22A9"/>
    <w:rsid w:val="002C2763"/>
    <w:rsid w:val="002C38FD"/>
    <w:rsid w:val="002C445A"/>
    <w:rsid w:val="002C45A1"/>
    <w:rsid w:val="002C487B"/>
    <w:rsid w:val="002C4A6D"/>
    <w:rsid w:val="002C5A95"/>
    <w:rsid w:val="002C7D1A"/>
    <w:rsid w:val="002D0D4E"/>
    <w:rsid w:val="002D0E73"/>
    <w:rsid w:val="002D1444"/>
    <w:rsid w:val="002D1724"/>
    <w:rsid w:val="002D2BC1"/>
    <w:rsid w:val="002D2C82"/>
    <w:rsid w:val="002D338D"/>
    <w:rsid w:val="002D4844"/>
    <w:rsid w:val="002D4B53"/>
    <w:rsid w:val="002D5E24"/>
    <w:rsid w:val="002D7483"/>
    <w:rsid w:val="002D7E55"/>
    <w:rsid w:val="002D7FF2"/>
    <w:rsid w:val="002E01BF"/>
    <w:rsid w:val="002E0A54"/>
    <w:rsid w:val="002E1E8D"/>
    <w:rsid w:val="002E2227"/>
    <w:rsid w:val="002E3534"/>
    <w:rsid w:val="002E392D"/>
    <w:rsid w:val="002E4CFC"/>
    <w:rsid w:val="002E5026"/>
    <w:rsid w:val="002E71EB"/>
    <w:rsid w:val="002E7729"/>
    <w:rsid w:val="002E7AD8"/>
    <w:rsid w:val="002E7B00"/>
    <w:rsid w:val="002E7D48"/>
    <w:rsid w:val="002F016B"/>
    <w:rsid w:val="002F096E"/>
    <w:rsid w:val="002F0E94"/>
    <w:rsid w:val="002F1826"/>
    <w:rsid w:val="002F20BA"/>
    <w:rsid w:val="002F3163"/>
    <w:rsid w:val="002F5E59"/>
    <w:rsid w:val="002F6313"/>
    <w:rsid w:val="002F692E"/>
    <w:rsid w:val="002F753C"/>
    <w:rsid w:val="00301247"/>
    <w:rsid w:val="00302399"/>
    <w:rsid w:val="00302999"/>
    <w:rsid w:val="00303B1E"/>
    <w:rsid w:val="00303DF5"/>
    <w:rsid w:val="00304BBE"/>
    <w:rsid w:val="00304F60"/>
    <w:rsid w:val="00305AB1"/>
    <w:rsid w:val="00305F78"/>
    <w:rsid w:val="00307300"/>
    <w:rsid w:val="00307FBB"/>
    <w:rsid w:val="00311F59"/>
    <w:rsid w:val="0031243C"/>
    <w:rsid w:val="0031276F"/>
    <w:rsid w:val="003131CF"/>
    <w:rsid w:val="0031384F"/>
    <w:rsid w:val="00315ECF"/>
    <w:rsid w:val="00316005"/>
    <w:rsid w:val="00316084"/>
    <w:rsid w:val="00316F56"/>
    <w:rsid w:val="0032005A"/>
    <w:rsid w:val="0032040A"/>
    <w:rsid w:val="0033191B"/>
    <w:rsid w:val="00332296"/>
    <w:rsid w:val="00333AE6"/>
    <w:rsid w:val="00334EE0"/>
    <w:rsid w:val="00335B35"/>
    <w:rsid w:val="003360D7"/>
    <w:rsid w:val="00336550"/>
    <w:rsid w:val="00341553"/>
    <w:rsid w:val="00341661"/>
    <w:rsid w:val="0034326D"/>
    <w:rsid w:val="00343304"/>
    <w:rsid w:val="003443F9"/>
    <w:rsid w:val="00345164"/>
    <w:rsid w:val="003453D7"/>
    <w:rsid w:val="00346351"/>
    <w:rsid w:val="0035072B"/>
    <w:rsid w:val="003507A1"/>
    <w:rsid w:val="003508D2"/>
    <w:rsid w:val="003511FA"/>
    <w:rsid w:val="00352E3F"/>
    <w:rsid w:val="00353570"/>
    <w:rsid w:val="003536F8"/>
    <w:rsid w:val="003550D6"/>
    <w:rsid w:val="00357F0C"/>
    <w:rsid w:val="00357F6D"/>
    <w:rsid w:val="0036318B"/>
    <w:rsid w:val="003631F8"/>
    <w:rsid w:val="003633EB"/>
    <w:rsid w:val="00364B44"/>
    <w:rsid w:val="00364BF6"/>
    <w:rsid w:val="00365600"/>
    <w:rsid w:val="00366EB5"/>
    <w:rsid w:val="003700BC"/>
    <w:rsid w:val="00371435"/>
    <w:rsid w:val="003722F4"/>
    <w:rsid w:val="00373127"/>
    <w:rsid w:val="00373778"/>
    <w:rsid w:val="00375488"/>
    <w:rsid w:val="003768AB"/>
    <w:rsid w:val="003768CB"/>
    <w:rsid w:val="003768D8"/>
    <w:rsid w:val="00376B9A"/>
    <w:rsid w:val="0037798D"/>
    <w:rsid w:val="00380EDD"/>
    <w:rsid w:val="00380FDA"/>
    <w:rsid w:val="00381848"/>
    <w:rsid w:val="003818F5"/>
    <w:rsid w:val="003826AF"/>
    <w:rsid w:val="00384D6F"/>
    <w:rsid w:val="00384FC9"/>
    <w:rsid w:val="00385FA7"/>
    <w:rsid w:val="003862E1"/>
    <w:rsid w:val="0038792F"/>
    <w:rsid w:val="00390733"/>
    <w:rsid w:val="00390BF8"/>
    <w:rsid w:val="00391453"/>
    <w:rsid w:val="00392CF9"/>
    <w:rsid w:val="003934A4"/>
    <w:rsid w:val="00394043"/>
    <w:rsid w:val="0039492F"/>
    <w:rsid w:val="0039501C"/>
    <w:rsid w:val="0039541D"/>
    <w:rsid w:val="003A0BC8"/>
    <w:rsid w:val="003A0C4B"/>
    <w:rsid w:val="003A0D02"/>
    <w:rsid w:val="003A111B"/>
    <w:rsid w:val="003A1F21"/>
    <w:rsid w:val="003A24A5"/>
    <w:rsid w:val="003A2DEE"/>
    <w:rsid w:val="003A31E7"/>
    <w:rsid w:val="003A329C"/>
    <w:rsid w:val="003A5885"/>
    <w:rsid w:val="003A6413"/>
    <w:rsid w:val="003A67E8"/>
    <w:rsid w:val="003A79DF"/>
    <w:rsid w:val="003B03F8"/>
    <w:rsid w:val="003B124D"/>
    <w:rsid w:val="003B13C5"/>
    <w:rsid w:val="003B1FB7"/>
    <w:rsid w:val="003B230E"/>
    <w:rsid w:val="003B4D81"/>
    <w:rsid w:val="003B66C0"/>
    <w:rsid w:val="003C11FB"/>
    <w:rsid w:val="003C14D6"/>
    <w:rsid w:val="003C2445"/>
    <w:rsid w:val="003C30FD"/>
    <w:rsid w:val="003C3233"/>
    <w:rsid w:val="003C3925"/>
    <w:rsid w:val="003C44C1"/>
    <w:rsid w:val="003C4778"/>
    <w:rsid w:val="003C58CD"/>
    <w:rsid w:val="003C5B37"/>
    <w:rsid w:val="003D0C09"/>
    <w:rsid w:val="003D0C5C"/>
    <w:rsid w:val="003D0E9E"/>
    <w:rsid w:val="003D10A7"/>
    <w:rsid w:val="003D2376"/>
    <w:rsid w:val="003D2D9D"/>
    <w:rsid w:val="003D31BB"/>
    <w:rsid w:val="003D3CF4"/>
    <w:rsid w:val="003D3D44"/>
    <w:rsid w:val="003D3EDE"/>
    <w:rsid w:val="003D440A"/>
    <w:rsid w:val="003D6310"/>
    <w:rsid w:val="003D673B"/>
    <w:rsid w:val="003D68CD"/>
    <w:rsid w:val="003E0BB8"/>
    <w:rsid w:val="003E12C9"/>
    <w:rsid w:val="003E248A"/>
    <w:rsid w:val="003E2E4B"/>
    <w:rsid w:val="003E2FB9"/>
    <w:rsid w:val="003E34BA"/>
    <w:rsid w:val="003E6363"/>
    <w:rsid w:val="003E769A"/>
    <w:rsid w:val="003F03DD"/>
    <w:rsid w:val="003F131B"/>
    <w:rsid w:val="003F2864"/>
    <w:rsid w:val="003F30E7"/>
    <w:rsid w:val="003F4249"/>
    <w:rsid w:val="003F4673"/>
    <w:rsid w:val="003F4ABC"/>
    <w:rsid w:val="003F53EA"/>
    <w:rsid w:val="003F6AAA"/>
    <w:rsid w:val="003F749D"/>
    <w:rsid w:val="003F7641"/>
    <w:rsid w:val="003F7E41"/>
    <w:rsid w:val="0040015E"/>
    <w:rsid w:val="00403695"/>
    <w:rsid w:val="004039C7"/>
    <w:rsid w:val="00403F5E"/>
    <w:rsid w:val="00404947"/>
    <w:rsid w:val="00405263"/>
    <w:rsid w:val="004071C8"/>
    <w:rsid w:val="00407BA2"/>
    <w:rsid w:val="00411275"/>
    <w:rsid w:val="00411CA3"/>
    <w:rsid w:val="0041296A"/>
    <w:rsid w:val="00412F81"/>
    <w:rsid w:val="00412FED"/>
    <w:rsid w:val="00413311"/>
    <w:rsid w:val="00414674"/>
    <w:rsid w:val="00414BFB"/>
    <w:rsid w:val="00416B45"/>
    <w:rsid w:val="00416FEB"/>
    <w:rsid w:val="0041770E"/>
    <w:rsid w:val="0041799D"/>
    <w:rsid w:val="004211B9"/>
    <w:rsid w:val="0042192F"/>
    <w:rsid w:val="004237A9"/>
    <w:rsid w:val="00423CCE"/>
    <w:rsid w:val="004251A7"/>
    <w:rsid w:val="0042578E"/>
    <w:rsid w:val="004279C7"/>
    <w:rsid w:val="0043004F"/>
    <w:rsid w:val="004301DE"/>
    <w:rsid w:val="00432AB8"/>
    <w:rsid w:val="00433BC0"/>
    <w:rsid w:val="0043408B"/>
    <w:rsid w:val="00435E85"/>
    <w:rsid w:val="00437866"/>
    <w:rsid w:val="0044026A"/>
    <w:rsid w:val="004406F8"/>
    <w:rsid w:val="004415F9"/>
    <w:rsid w:val="00441BDC"/>
    <w:rsid w:val="0044265F"/>
    <w:rsid w:val="0044617E"/>
    <w:rsid w:val="004462FB"/>
    <w:rsid w:val="00446FBD"/>
    <w:rsid w:val="00447D98"/>
    <w:rsid w:val="004509EB"/>
    <w:rsid w:val="00451259"/>
    <w:rsid w:val="00451D5D"/>
    <w:rsid w:val="0045242F"/>
    <w:rsid w:val="00452FC5"/>
    <w:rsid w:val="00453F91"/>
    <w:rsid w:val="004545D6"/>
    <w:rsid w:val="00454621"/>
    <w:rsid w:val="004554B0"/>
    <w:rsid w:val="00456CD0"/>
    <w:rsid w:val="0046248B"/>
    <w:rsid w:val="00466706"/>
    <w:rsid w:val="00466DE7"/>
    <w:rsid w:val="00467791"/>
    <w:rsid w:val="00471C49"/>
    <w:rsid w:val="004720BD"/>
    <w:rsid w:val="00473DE2"/>
    <w:rsid w:val="00477B53"/>
    <w:rsid w:val="00477FA3"/>
    <w:rsid w:val="00480DE5"/>
    <w:rsid w:val="004823D2"/>
    <w:rsid w:val="00482F11"/>
    <w:rsid w:val="004845A4"/>
    <w:rsid w:val="00485AFA"/>
    <w:rsid w:val="0048603E"/>
    <w:rsid w:val="00492335"/>
    <w:rsid w:val="00493428"/>
    <w:rsid w:val="00493535"/>
    <w:rsid w:val="004937CC"/>
    <w:rsid w:val="004941E7"/>
    <w:rsid w:val="004954F3"/>
    <w:rsid w:val="00495650"/>
    <w:rsid w:val="0049621A"/>
    <w:rsid w:val="00496256"/>
    <w:rsid w:val="00496B98"/>
    <w:rsid w:val="00496E15"/>
    <w:rsid w:val="00497FEB"/>
    <w:rsid w:val="004A075E"/>
    <w:rsid w:val="004A1061"/>
    <w:rsid w:val="004A1246"/>
    <w:rsid w:val="004A147A"/>
    <w:rsid w:val="004A1D7D"/>
    <w:rsid w:val="004A3665"/>
    <w:rsid w:val="004A3D86"/>
    <w:rsid w:val="004A438B"/>
    <w:rsid w:val="004A44BB"/>
    <w:rsid w:val="004A45B0"/>
    <w:rsid w:val="004A4F50"/>
    <w:rsid w:val="004A5CA3"/>
    <w:rsid w:val="004A6965"/>
    <w:rsid w:val="004A74F3"/>
    <w:rsid w:val="004A7BC6"/>
    <w:rsid w:val="004B3AB0"/>
    <w:rsid w:val="004B3DEE"/>
    <w:rsid w:val="004B45B9"/>
    <w:rsid w:val="004B4906"/>
    <w:rsid w:val="004B4DF5"/>
    <w:rsid w:val="004B5BEA"/>
    <w:rsid w:val="004B64E5"/>
    <w:rsid w:val="004B738F"/>
    <w:rsid w:val="004C06DE"/>
    <w:rsid w:val="004C08F2"/>
    <w:rsid w:val="004C135E"/>
    <w:rsid w:val="004C142D"/>
    <w:rsid w:val="004C15B8"/>
    <w:rsid w:val="004C207B"/>
    <w:rsid w:val="004C251C"/>
    <w:rsid w:val="004C38BF"/>
    <w:rsid w:val="004C39EA"/>
    <w:rsid w:val="004C4007"/>
    <w:rsid w:val="004C438E"/>
    <w:rsid w:val="004C5400"/>
    <w:rsid w:val="004D01A3"/>
    <w:rsid w:val="004D021A"/>
    <w:rsid w:val="004D063B"/>
    <w:rsid w:val="004D12F9"/>
    <w:rsid w:val="004D1888"/>
    <w:rsid w:val="004D19CD"/>
    <w:rsid w:val="004D1AA3"/>
    <w:rsid w:val="004D23D7"/>
    <w:rsid w:val="004D3423"/>
    <w:rsid w:val="004D3B1A"/>
    <w:rsid w:val="004D497B"/>
    <w:rsid w:val="004D4A81"/>
    <w:rsid w:val="004D5D02"/>
    <w:rsid w:val="004D6766"/>
    <w:rsid w:val="004E013E"/>
    <w:rsid w:val="004E1E4C"/>
    <w:rsid w:val="004E3B82"/>
    <w:rsid w:val="004E6D36"/>
    <w:rsid w:val="004E7DBB"/>
    <w:rsid w:val="004F1693"/>
    <w:rsid w:val="004F1812"/>
    <w:rsid w:val="004F22BA"/>
    <w:rsid w:val="004F2418"/>
    <w:rsid w:val="004F3A38"/>
    <w:rsid w:val="004F4C8C"/>
    <w:rsid w:val="004F5E20"/>
    <w:rsid w:val="004F5F16"/>
    <w:rsid w:val="004F6212"/>
    <w:rsid w:val="004F73DF"/>
    <w:rsid w:val="00500737"/>
    <w:rsid w:val="005010B3"/>
    <w:rsid w:val="00501441"/>
    <w:rsid w:val="00502AD0"/>
    <w:rsid w:val="00503C89"/>
    <w:rsid w:val="00503D3C"/>
    <w:rsid w:val="005051A4"/>
    <w:rsid w:val="0050586D"/>
    <w:rsid w:val="0050630F"/>
    <w:rsid w:val="005102FC"/>
    <w:rsid w:val="00510833"/>
    <w:rsid w:val="005110A6"/>
    <w:rsid w:val="005138B6"/>
    <w:rsid w:val="00514240"/>
    <w:rsid w:val="0051464A"/>
    <w:rsid w:val="005150D5"/>
    <w:rsid w:val="0051551F"/>
    <w:rsid w:val="0051645D"/>
    <w:rsid w:val="0051794D"/>
    <w:rsid w:val="00517C6A"/>
    <w:rsid w:val="00520147"/>
    <w:rsid w:val="0052048D"/>
    <w:rsid w:val="00521336"/>
    <w:rsid w:val="00521E60"/>
    <w:rsid w:val="00521F14"/>
    <w:rsid w:val="0052292D"/>
    <w:rsid w:val="00523694"/>
    <w:rsid w:val="0052369B"/>
    <w:rsid w:val="00524B45"/>
    <w:rsid w:val="00525C16"/>
    <w:rsid w:val="00526BC5"/>
    <w:rsid w:val="00526D3A"/>
    <w:rsid w:val="00526E2A"/>
    <w:rsid w:val="0052723D"/>
    <w:rsid w:val="00527E6F"/>
    <w:rsid w:val="005311E8"/>
    <w:rsid w:val="005331B9"/>
    <w:rsid w:val="00533FE6"/>
    <w:rsid w:val="005348A9"/>
    <w:rsid w:val="00534F19"/>
    <w:rsid w:val="005352E7"/>
    <w:rsid w:val="00537745"/>
    <w:rsid w:val="00537EDF"/>
    <w:rsid w:val="00540451"/>
    <w:rsid w:val="005407ED"/>
    <w:rsid w:val="00540C23"/>
    <w:rsid w:val="00542B79"/>
    <w:rsid w:val="00542C3E"/>
    <w:rsid w:val="00546183"/>
    <w:rsid w:val="00546A27"/>
    <w:rsid w:val="005471C8"/>
    <w:rsid w:val="0055060B"/>
    <w:rsid w:val="00550BAA"/>
    <w:rsid w:val="00551BCE"/>
    <w:rsid w:val="00552983"/>
    <w:rsid w:val="0055298E"/>
    <w:rsid w:val="005529B6"/>
    <w:rsid w:val="00553766"/>
    <w:rsid w:val="0055401F"/>
    <w:rsid w:val="005544D4"/>
    <w:rsid w:val="0055453F"/>
    <w:rsid w:val="00554C55"/>
    <w:rsid w:val="005551BD"/>
    <w:rsid w:val="00555366"/>
    <w:rsid w:val="00557817"/>
    <w:rsid w:val="00560CDB"/>
    <w:rsid w:val="00562685"/>
    <w:rsid w:val="0056369C"/>
    <w:rsid w:val="005663FF"/>
    <w:rsid w:val="00566E19"/>
    <w:rsid w:val="0056707E"/>
    <w:rsid w:val="00567536"/>
    <w:rsid w:val="0057034B"/>
    <w:rsid w:val="00570519"/>
    <w:rsid w:val="005710B0"/>
    <w:rsid w:val="00571488"/>
    <w:rsid w:val="005720F3"/>
    <w:rsid w:val="00573E1B"/>
    <w:rsid w:val="00573F41"/>
    <w:rsid w:val="00575563"/>
    <w:rsid w:val="00576274"/>
    <w:rsid w:val="00576794"/>
    <w:rsid w:val="00576C94"/>
    <w:rsid w:val="00576D35"/>
    <w:rsid w:val="00577A92"/>
    <w:rsid w:val="005804FF"/>
    <w:rsid w:val="00580760"/>
    <w:rsid w:val="0058128B"/>
    <w:rsid w:val="00581855"/>
    <w:rsid w:val="00581EC6"/>
    <w:rsid w:val="00582771"/>
    <w:rsid w:val="00582DD7"/>
    <w:rsid w:val="00583F50"/>
    <w:rsid w:val="00584883"/>
    <w:rsid w:val="0058494B"/>
    <w:rsid w:val="00584A5F"/>
    <w:rsid w:val="00584D01"/>
    <w:rsid w:val="0058524B"/>
    <w:rsid w:val="005855AF"/>
    <w:rsid w:val="00585AFD"/>
    <w:rsid w:val="00586B18"/>
    <w:rsid w:val="00586C4D"/>
    <w:rsid w:val="0058713A"/>
    <w:rsid w:val="005900CF"/>
    <w:rsid w:val="005901DA"/>
    <w:rsid w:val="005905BC"/>
    <w:rsid w:val="00591020"/>
    <w:rsid w:val="005922D0"/>
    <w:rsid w:val="005923FA"/>
    <w:rsid w:val="00593356"/>
    <w:rsid w:val="00593803"/>
    <w:rsid w:val="00595507"/>
    <w:rsid w:val="0059624C"/>
    <w:rsid w:val="0059632B"/>
    <w:rsid w:val="00596C08"/>
    <w:rsid w:val="00597111"/>
    <w:rsid w:val="00597119"/>
    <w:rsid w:val="005971B0"/>
    <w:rsid w:val="00597AA7"/>
    <w:rsid w:val="005A01DB"/>
    <w:rsid w:val="005A16EE"/>
    <w:rsid w:val="005A1FE3"/>
    <w:rsid w:val="005A298A"/>
    <w:rsid w:val="005A34A1"/>
    <w:rsid w:val="005A4282"/>
    <w:rsid w:val="005A50CD"/>
    <w:rsid w:val="005A595D"/>
    <w:rsid w:val="005A5DD3"/>
    <w:rsid w:val="005A68B7"/>
    <w:rsid w:val="005A7B96"/>
    <w:rsid w:val="005B1A5D"/>
    <w:rsid w:val="005B48AC"/>
    <w:rsid w:val="005B48F7"/>
    <w:rsid w:val="005B4F92"/>
    <w:rsid w:val="005B6E03"/>
    <w:rsid w:val="005C245E"/>
    <w:rsid w:val="005C36E7"/>
    <w:rsid w:val="005C426F"/>
    <w:rsid w:val="005C4360"/>
    <w:rsid w:val="005D07A1"/>
    <w:rsid w:val="005D0B28"/>
    <w:rsid w:val="005D1C73"/>
    <w:rsid w:val="005D1D68"/>
    <w:rsid w:val="005D257C"/>
    <w:rsid w:val="005D2B90"/>
    <w:rsid w:val="005D331D"/>
    <w:rsid w:val="005D3750"/>
    <w:rsid w:val="005D3898"/>
    <w:rsid w:val="005D41DE"/>
    <w:rsid w:val="005D50D4"/>
    <w:rsid w:val="005D57A4"/>
    <w:rsid w:val="005D6524"/>
    <w:rsid w:val="005D74FD"/>
    <w:rsid w:val="005D7745"/>
    <w:rsid w:val="005E0C50"/>
    <w:rsid w:val="005E1316"/>
    <w:rsid w:val="005E14FE"/>
    <w:rsid w:val="005E1622"/>
    <w:rsid w:val="005E1B97"/>
    <w:rsid w:val="005E1C22"/>
    <w:rsid w:val="005E40A9"/>
    <w:rsid w:val="005E5173"/>
    <w:rsid w:val="005E5CF0"/>
    <w:rsid w:val="005E63F4"/>
    <w:rsid w:val="005E721B"/>
    <w:rsid w:val="005E7284"/>
    <w:rsid w:val="005E72D1"/>
    <w:rsid w:val="005F051E"/>
    <w:rsid w:val="005F0EF0"/>
    <w:rsid w:val="005F116C"/>
    <w:rsid w:val="005F187B"/>
    <w:rsid w:val="005F3B09"/>
    <w:rsid w:val="005F5132"/>
    <w:rsid w:val="005F54EF"/>
    <w:rsid w:val="005F5E21"/>
    <w:rsid w:val="005F743B"/>
    <w:rsid w:val="00601375"/>
    <w:rsid w:val="00603B2B"/>
    <w:rsid w:val="00603C96"/>
    <w:rsid w:val="00604869"/>
    <w:rsid w:val="00605AC3"/>
    <w:rsid w:val="00607D9E"/>
    <w:rsid w:val="00611613"/>
    <w:rsid w:val="006125F0"/>
    <w:rsid w:val="00612AEA"/>
    <w:rsid w:val="00614AFC"/>
    <w:rsid w:val="006157DB"/>
    <w:rsid w:val="006158DB"/>
    <w:rsid w:val="00615C20"/>
    <w:rsid w:val="00615F7D"/>
    <w:rsid w:val="006172E6"/>
    <w:rsid w:val="00620B48"/>
    <w:rsid w:val="00620E2D"/>
    <w:rsid w:val="00621015"/>
    <w:rsid w:val="00621353"/>
    <w:rsid w:val="00622FB3"/>
    <w:rsid w:val="00623253"/>
    <w:rsid w:val="00623854"/>
    <w:rsid w:val="00624616"/>
    <w:rsid w:val="006253E4"/>
    <w:rsid w:val="00625F38"/>
    <w:rsid w:val="00625F8E"/>
    <w:rsid w:val="0063121C"/>
    <w:rsid w:val="00633254"/>
    <w:rsid w:val="00633683"/>
    <w:rsid w:val="00633738"/>
    <w:rsid w:val="006342C1"/>
    <w:rsid w:val="00634FD4"/>
    <w:rsid w:val="00636349"/>
    <w:rsid w:val="006374A9"/>
    <w:rsid w:val="0064051A"/>
    <w:rsid w:val="00642392"/>
    <w:rsid w:val="00642917"/>
    <w:rsid w:val="00642D44"/>
    <w:rsid w:val="006435A0"/>
    <w:rsid w:val="00643F05"/>
    <w:rsid w:val="006453DC"/>
    <w:rsid w:val="00645835"/>
    <w:rsid w:val="00645A0E"/>
    <w:rsid w:val="00646176"/>
    <w:rsid w:val="0064690A"/>
    <w:rsid w:val="00647A20"/>
    <w:rsid w:val="00647DEE"/>
    <w:rsid w:val="0065018E"/>
    <w:rsid w:val="00650BE8"/>
    <w:rsid w:val="00650C10"/>
    <w:rsid w:val="00650CFB"/>
    <w:rsid w:val="00651B09"/>
    <w:rsid w:val="00652028"/>
    <w:rsid w:val="00653985"/>
    <w:rsid w:val="006564B8"/>
    <w:rsid w:val="0066010C"/>
    <w:rsid w:val="0066125E"/>
    <w:rsid w:val="00661521"/>
    <w:rsid w:val="006616A7"/>
    <w:rsid w:val="006620D9"/>
    <w:rsid w:val="00663F68"/>
    <w:rsid w:val="006661A7"/>
    <w:rsid w:val="00666482"/>
    <w:rsid w:val="006700ED"/>
    <w:rsid w:val="006704D5"/>
    <w:rsid w:val="0067190B"/>
    <w:rsid w:val="00671D55"/>
    <w:rsid w:val="00671EDC"/>
    <w:rsid w:val="00680DD3"/>
    <w:rsid w:val="0068113A"/>
    <w:rsid w:val="00685749"/>
    <w:rsid w:val="0068610F"/>
    <w:rsid w:val="006870F5"/>
    <w:rsid w:val="00687473"/>
    <w:rsid w:val="0068764D"/>
    <w:rsid w:val="00690045"/>
    <w:rsid w:val="006900D5"/>
    <w:rsid w:val="00691041"/>
    <w:rsid w:val="0069226D"/>
    <w:rsid w:val="006922D6"/>
    <w:rsid w:val="00692C44"/>
    <w:rsid w:val="00693629"/>
    <w:rsid w:val="00694282"/>
    <w:rsid w:val="00694650"/>
    <w:rsid w:val="00694F7F"/>
    <w:rsid w:val="00695938"/>
    <w:rsid w:val="006972A6"/>
    <w:rsid w:val="00697A72"/>
    <w:rsid w:val="006A2746"/>
    <w:rsid w:val="006A3B72"/>
    <w:rsid w:val="006A415B"/>
    <w:rsid w:val="006A5916"/>
    <w:rsid w:val="006A6036"/>
    <w:rsid w:val="006A702D"/>
    <w:rsid w:val="006A7396"/>
    <w:rsid w:val="006A7BE3"/>
    <w:rsid w:val="006B0918"/>
    <w:rsid w:val="006B0BE6"/>
    <w:rsid w:val="006B0C38"/>
    <w:rsid w:val="006B189E"/>
    <w:rsid w:val="006B1E5F"/>
    <w:rsid w:val="006B256D"/>
    <w:rsid w:val="006B2C60"/>
    <w:rsid w:val="006B2CA3"/>
    <w:rsid w:val="006B2FAE"/>
    <w:rsid w:val="006B51D0"/>
    <w:rsid w:val="006B5844"/>
    <w:rsid w:val="006B5DF4"/>
    <w:rsid w:val="006B6414"/>
    <w:rsid w:val="006B706A"/>
    <w:rsid w:val="006C0116"/>
    <w:rsid w:val="006C2728"/>
    <w:rsid w:val="006C3156"/>
    <w:rsid w:val="006C74F0"/>
    <w:rsid w:val="006D0AB3"/>
    <w:rsid w:val="006D0F2C"/>
    <w:rsid w:val="006D1284"/>
    <w:rsid w:val="006D18B5"/>
    <w:rsid w:val="006D4892"/>
    <w:rsid w:val="006D4BE2"/>
    <w:rsid w:val="006D6899"/>
    <w:rsid w:val="006D7FC2"/>
    <w:rsid w:val="006E1084"/>
    <w:rsid w:val="006E3D57"/>
    <w:rsid w:val="006E5D42"/>
    <w:rsid w:val="006E6CA5"/>
    <w:rsid w:val="006E7625"/>
    <w:rsid w:val="006F0D0B"/>
    <w:rsid w:val="006F18D3"/>
    <w:rsid w:val="006F1B26"/>
    <w:rsid w:val="006F399B"/>
    <w:rsid w:val="006F45DE"/>
    <w:rsid w:val="006F57C6"/>
    <w:rsid w:val="00700528"/>
    <w:rsid w:val="00701421"/>
    <w:rsid w:val="00701781"/>
    <w:rsid w:val="00701B1F"/>
    <w:rsid w:val="00702066"/>
    <w:rsid w:val="007029D4"/>
    <w:rsid w:val="007031DB"/>
    <w:rsid w:val="00704368"/>
    <w:rsid w:val="00705ABB"/>
    <w:rsid w:val="00706EB7"/>
    <w:rsid w:val="00706ED4"/>
    <w:rsid w:val="007110DC"/>
    <w:rsid w:val="007111EC"/>
    <w:rsid w:val="00711648"/>
    <w:rsid w:val="0071187C"/>
    <w:rsid w:val="0071231F"/>
    <w:rsid w:val="00713504"/>
    <w:rsid w:val="00716AA8"/>
    <w:rsid w:val="0072011B"/>
    <w:rsid w:val="007205E2"/>
    <w:rsid w:val="00720C78"/>
    <w:rsid w:val="00722066"/>
    <w:rsid w:val="0072226A"/>
    <w:rsid w:val="00722EB7"/>
    <w:rsid w:val="0072302E"/>
    <w:rsid w:val="00724025"/>
    <w:rsid w:val="00724351"/>
    <w:rsid w:val="00724452"/>
    <w:rsid w:val="00725D4F"/>
    <w:rsid w:val="0072792C"/>
    <w:rsid w:val="0073084D"/>
    <w:rsid w:val="00730D72"/>
    <w:rsid w:val="00731365"/>
    <w:rsid w:val="007328B8"/>
    <w:rsid w:val="0073301E"/>
    <w:rsid w:val="007336D4"/>
    <w:rsid w:val="007343B7"/>
    <w:rsid w:val="00741624"/>
    <w:rsid w:val="007420E7"/>
    <w:rsid w:val="00742C56"/>
    <w:rsid w:val="0074329C"/>
    <w:rsid w:val="00743BA3"/>
    <w:rsid w:val="007441D8"/>
    <w:rsid w:val="007445FC"/>
    <w:rsid w:val="00744864"/>
    <w:rsid w:val="00746F29"/>
    <w:rsid w:val="00747277"/>
    <w:rsid w:val="00747346"/>
    <w:rsid w:val="00750F77"/>
    <w:rsid w:val="00751646"/>
    <w:rsid w:val="007521B2"/>
    <w:rsid w:val="007535D6"/>
    <w:rsid w:val="0075413E"/>
    <w:rsid w:val="0075475A"/>
    <w:rsid w:val="00754E89"/>
    <w:rsid w:val="00755CA9"/>
    <w:rsid w:val="00756D44"/>
    <w:rsid w:val="00760246"/>
    <w:rsid w:val="00760D13"/>
    <w:rsid w:val="007610BA"/>
    <w:rsid w:val="00761407"/>
    <w:rsid w:val="007632DF"/>
    <w:rsid w:val="007635B7"/>
    <w:rsid w:val="007649FF"/>
    <w:rsid w:val="00764D24"/>
    <w:rsid w:val="00765998"/>
    <w:rsid w:val="00766B23"/>
    <w:rsid w:val="00767115"/>
    <w:rsid w:val="00770194"/>
    <w:rsid w:val="00771C15"/>
    <w:rsid w:val="007724F6"/>
    <w:rsid w:val="00772CCD"/>
    <w:rsid w:val="00773125"/>
    <w:rsid w:val="00773B22"/>
    <w:rsid w:val="00773CE1"/>
    <w:rsid w:val="0077477E"/>
    <w:rsid w:val="00781B74"/>
    <w:rsid w:val="00783A4D"/>
    <w:rsid w:val="00784DC8"/>
    <w:rsid w:val="00785CA1"/>
    <w:rsid w:val="00786B8D"/>
    <w:rsid w:val="007905BF"/>
    <w:rsid w:val="00791E89"/>
    <w:rsid w:val="007924D0"/>
    <w:rsid w:val="007934C5"/>
    <w:rsid w:val="0079354A"/>
    <w:rsid w:val="007950FC"/>
    <w:rsid w:val="00795714"/>
    <w:rsid w:val="00795E82"/>
    <w:rsid w:val="00797A81"/>
    <w:rsid w:val="00797F9B"/>
    <w:rsid w:val="007A0F00"/>
    <w:rsid w:val="007A1138"/>
    <w:rsid w:val="007A25CE"/>
    <w:rsid w:val="007A3AB9"/>
    <w:rsid w:val="007A4A3C"/>
    <w:rsid w:val="007A504D"/>
    <w:rsid w:val="007A52B0"/>
    <w:rsid w:val="007A54C6"/>
    <w:rsid w:val="007A6F4C"/>
    <w:rsid w:val="007A7B73"/>
    <w:rsid w:val="007B18C3"/>
    <w:rsid w:val="007B1987"/>
    <w:rsid w:val="007B4C78"/>
    <w:rsid w:val="007B5771"/>
    <w:rsid w:val="007B61AE"/>
    <w:rsid w:val="007B6F7A"/>
    <w:rsid w:val="007B711A"/>
    <w:rsid w:val="007C0782"/>
    <w:rsid w:val="007C129F"/>
    <w:rsid w:val="007C3793"/>
    <w:rsid w:val="007C4697"/>
    <w:rsid w:val="007C4E6F"/>
    <w:rsid w:val="007C72C8"/>
    <w:rsid w:val="007D0D11"/>
    <w:rsid w:val="007D164E"/>
    <w:rsid w:val="007D3943"/>
    <w:rsid w:val="007D44E2"/>
    <w:rsid w:val="007D5000"/>
    <w:rsid w:val="007D5D5F"/>
    <w:rsid w:val="007D6A82"/>
    <w:rsid w:val="007D7218"/>
    <w:rsid w:val="007D76E3"/>
    <w:rsid w:val="007E11A9"/>
    <w:rsid w:val="007E1D88"/>
    <w:rsid w:val="007E212C"/>
    <w:rsid w:val="007E2272"/>
    <w:rsid w:val="007E27C9"/>
    <w:rsid w:val="007E3E7D"/>
    <w:rsid w:val="007E50D6"/>
    <w:rsid w:val="007E5AB0"/>
    <w:rsid w:val="007E64C8"/>
    <w:rsid w:val="007E6F89"/>
    <w:rsid w:val="007E788A"/>
    <w:rsid w:val="007F036E"/>
    <w:rsid w:val="007F18F2"/>
    <w:rsid w:val="007F290D"/>
    <w:rsid w:val="007F2E58"/>
    <w:rsid w:val="007F30C5"/>
    <w:rsid w:val="007F37D0"/>
    <w:rsid w:val="007F3891"/>
    <w:rsid w:val="007F3A06"/>
    <w:rsid w:val="007F3AEE"/>
    <w:rsid w:val="007F525D"/>
    <w:rsid w:val="007F55BD"/>
    <w:rsid w:val="007F67D1"/>
    <w:rsid w:val="007F7712"/>
    <w:rsid w:val="00800AC4"/>
    <w:rsid w:val="00803140"/>
    <w:rsid w:val="00803F7D"/>
    <w:rsid w:val="008043AD"/>
    <w:rsid w:val="00806171"/>
    <w:rsid w:val="0080704C"/>
    <w:rsid w:val="0081114B"/>
    <w:rsid w:val="00814507"/>
    <w:rsid w:val="008148A4"/>
    <w:rsid w:val="00815186"/>
    <w:rsid w:val="008155A5"/>
    <w:rsid w:val="00815B72"/>
    <w:rsid w:val="0082043A"/>
    <w:rsid w:val="0082220F"/>
    <w:rsid w:val="00822A08"/>
    <w:rsid w:val="00822A13"/>
    <w:rsid w:val="00822F9B"/>
    <w:rsid w:val="00823339"/>
    <w:rsid w:val="00825194"/>
    <w:rsid w:val="00825C42"/>
    <w:rsid w:val="00825DEC"/>
    <w:rsid w:val="00826972"/>
    <w:rsid w:val="008278C6"/>
    <w:rsid w:val="00827C7C"/>
    <w:rsid w:val="008312B2"/>
    <w:rsid w:val="00831D23"/>
    <w:rsid w:val="00831DB1"/>
    <w:rsid w:val="00833D7E"/>
    <w:rsid w:val="00833E7F"/>
    <w:rsid w:val="0083406F"/>
    <w:rsid w:val="00834534"/>
    <w:rsid w:val="00835BB5"/>
    <w:rsid w:val="008376EE"/>
    <w:rsid w:val="00841953"/>
    <w:rsid w:val="008422E2"/>
    <w:rsid w:val="0084232C"/>
    <w:rsid w:val="0084269A"/>
    <w:rsid w:val="00842759"/>
    <w:rsid w:val="008430BB"/>
    <w:rsid w:val="0084359E"/>
    <w:rsid w:val="00843EF5"/>
    <w:rsid w:val="00843FE9"/>
    <w:rsid w:val="0084580D"/>
    <w:rsid w:val="00846AE2"/>
    <w:rsid w:val="00851499"/>
    <w:rsid w:val="00851F97"/>
    <w:rsid w:val="00853451"/>
    <w:rsid w:val="00854A5A"/>
    <w:rsid w:val="008569A1"/>
    <w:rsid w:val="00861E00"/>
    <w:rsid w:val="00862C10"/>
    <w:rsid w:val="00862E1F"/>
    <w:rsid w:val="00863182"/>
    <w:rsid w:val="008650C7"/>
    <w:rsid w:val="00866706"/>
    <w:rsid w:val="00867E0E"/>
    <w:rsid w:val="008707FF"/>
    <w:rsid w:val="00871152"/>
    <w:rsid w:val="0087128E"/>
    <w:rsid w:val="008723B2"/>
    <w:rsid w:val="00872EFA"/>
    <w:rsid w:val="008731D7"/>
    <w:rsid w:val="00873E01"/>
    <w:rsid w:val="00873E69"/>
    <w:rsid w:val="00874916"/>
    <w:rsid w:val="008751C7"/>
    <w:rsid w:val="00877E61"/>
    <w:rsid w:val="008806BD"/>
    <w:rsid w:val="00880874"/>
    <w:rsid w:val="0088111D"/>
    <w:rsid w:val="008815B3"/>
    <w:rsid w:val="0088184E"/>
    <w:rsid w:val="0088309B"/>
    <w:rsid w:val="00884FFA"/>
    <w:rsid w:val="0088510D"/>
    <w:rsid w:val="008871B5"/>
    <w:rsid w:val="008900D0"/>
    <w:rsid w:val="008916D5"/>
    <w:rsid w:val="008935C8"/>
    <w:rsid w:val="00893696"/>
    <w:rsid w:val="00893E32"/>
    <w:rsid w:val="0089407F"/>
    <w:rsid w:val="008A0B91"/>
    <w:rsid w:val="008A0D4B"/>
    <w:rsid w:val="008A201D"/>
    <w:rsid w:val="008A353D"/>
    <w:rsid w:val="008A3AEF"/>
    <w:rsid w:val="008A464C"/>
    <w:rsid w:val="008A467E"/>
    <w:rsid w:val="008A51A7"/>
    <w:rsid w:val="008B0A9F"/>
    <w:rsid w:val="008B3012"/>
    <w:rsid w:val="008B3355"/>
    <w:rsid w:val="008B3814"/>
    <w:rsid w:val="008B3915"/>
    <w:rsid w:val="008B4202"/>
    <w:rsid w:val="008B50D5"/>
    <w:rsid w:val="008B54AE"/>
    <w:rsid w:val="008B71BC"/>
    <w:rsid w:val="008B7D3B"/>
    <w:rsid w:val="008C06C3"/>
    <w:rsid w:val="008C16E9"/>
    <w:rsid w:val="008C1D6C"/>
    <w:rsid w:val="008C27AB"/>
    <w:rsid w:val="008C370E"/>
    <w:rsid w:val="008C378B"/>
    <w:rsid w:val="008C387E"/>
    <w:rsid w:val="008C3D5D"/>
    <w:rsid w:val="008C5261"/>
    <w:rsid w:val="008C5DBD"/>
    <w:rsid w:val="008C68EF"/>
    <w:rsid w:val="008C7149"/>
    <w:rsid w:val="008D0417"/>
    <w:rsid w:val="008D0F4A"/>
    <w:rsid w:val="008D1814"/>
    <w:rsid w:val="008D4333"/>
    <w:rsid w:val="008D532E"/>
    <w:rsid w:val="008D54D2"/>
    <w:rsid w:val="008D5EB4"/>
    <w:rsid w:val="008D78E5"/>
    <w:rsid w:val="008D7B8C"/>
    <w:rsid w:val="008D7BE9"/>
    <w:rsid w:val="008E0444"/>
    <w:rsid w:val="008E0AB0"/>
    <w:rsid w:val="008E0C18"/>
    <w:rsid w:val="008E0FAF"/>
    <w:rsid w:val="008E1D3D"/>
    <w:rsid w:val="008E27B1"/>
    <w:rsid w:val="008E4869"/>
    <w:rsid w:val="008E5A07"/>
    <w:rsid w:val="008E5F00"/>
    <w:rsid w:val="008E6183"/>
    <w:rsid w:val="008E6784"/>
    <w:rsid w:val="008F13AF"/>
    <w:rsid w:val="008F1E1C"/>
    <w:rsid w:val="008F265F"/>
    <w:rsid w:val="008F5D9C"/>
    <w:rsid w:val="008F6742"/>
    <w:rsid w:val="008F67E8"/>
    <w:rsid w:val="008F6F5B"/>
    <w:rsid w:val="009021F6"/>
    <w:rsid w:val="00902FE3"/>
    <w:rsid w:val="009038F2"/>
    <w:rsid w:val="009043CF"/>
    <w:rsid w:val="00905255"/>
    <w:rsid w:val="00905B35"/>
    <w:rsid w:val="00906438"/>
    <w:rsid w:val="0090654F"/>
    <w:rsid w:val="00910241"/>
    <w:rsid w:val="00910993"/>
    <w:rsid w:val="00910A2C"/>
    <w:rsid w:val="00910D4E"/>
    <w:rsid w:val="00911F87"/>
    <w:rsid w:val="00912442"/>
    <w:rsid w:val="00913678"/>
    <w:rsid w:val="0091491F"/>
    <w:rsid w:val="0091571E"/>
    <w:rsid w:val="009158C7"/>
    <w:rsid w:val="009160FA"/>
    <w:rsid w:val="009161E6"/>
    <w:rsid w:val="0091712A"/>
    <w:rsid w:val="00920340"/>
    <w:rsid w:val="0092114B"/>
    <w:rsid w:val="0092218C"/>
    <w:rsid w:val="0092358F"/>
    <w:rsid w:val="00923AE1"/>
    <w:rsid w:val="00925045"/>
    <w:rsid w:val="0092728F"/>
    <w:rsid w:val="00930D4A"/>
    <w:rsid w:val="00930FE6"/>
    <w:rsid w:val="009313DD"/>
    <w:rsid w:val="00931497"/>
    <w:rsid w:val="009314BB"/>
    <w:rsid w:val="00937D43"/>
    <w:rsid w:val="009412E7"/>
    <w:rsid w:val="00941D4D"/>
    <w:rsid w:val="00943AF1"/>
    <w:rsid w:val="00945227"/>
    <w:rsid w:val="00946D2C"/>
    <w:rsid w:val="00946DE0"/>
    <w:rsid w:val="00950DA4"/>
    <w:rsid w:val="00951119"/>
    <w:rsid w:val="009530B2"/>
    <w:rsid w:val="00954D97"/>
    <w:rsid w:val="0095501E"/>
    <w:rsid w:val="009564F1"/>
    <w:rsid w:val="00956641"/>
    <w:rsid w:val="00963346"/>
    <w:rsid w:val="0096366A"/>
    <w:rsid w:val="0096380C"/>
    <w:rsid w:val="00965E25"/>
    <w:rsid w:val="00966233"/>
    <w:rsid w:val="00966369"/>
    <w:rsid w:val="009665AD"/>
    <w:rsid w:val="00967437"/>
    <w:rsid w:val="009677AB"/>
    <w:rsid w:val="00967B33"/>
    <w:rsid w:val="009716C7"/>
    <w:rsid w:val="00971E10"/>
    <w:rsid w:val="00971E31"/>
    <w:rsid w:val="0097232D"/>
    <w:rsid w:val="00973E49"/>
    <w:rsid w:val="00975303"/>
    <w:rsid w:val="00975391"/>
    <w:rsid w:val="00975AC8"/>
    <w:rsid w:val="00976E9F"/>
    <w:rsid w:val="00976F6F"/>
    <w:rsid w:val="009772C5"/>
    <w:rsid w:val="00981AE0"/>
    <w:rsid w:val="00982430"/>
    <w:rsid w:val="009826E2"/>
    <w:rsid w:val="00984545"/>
    <w:rsid w:val="00984AE2"/>
    <w:rsid w:val="00986174"/>
    <w:rsid w:val="009869F7"/>
    <w:rsid w:val="00987139"/>
    <w:rsid w:val="00987520"/>
    <w:rsid w:val="009906F2"/>
    <w:rsid w:val="0099183C"/>
    <w:rsid w:val="0099296F"/>
    <w:rsid w:val="00992FF9"/>
    <w:rsid w:val="0099673E"/>
    <w:rsid w:val="00996925"/>
    <w:rsid w:val="00997E06"/>
    <w:rsid w:val="00997E53"/>
    <w:rsid w:val="009A1677"/>
    <w:rsid w:val="009A1B5F"/>
    <w:rsid w:val="009A1E2F"/>
    <w:rsid w:val="009A1E70"/>
    <w:rsid w:val="009A43C2"/>
    <w:rsid w:val="009A6DB9"/>
    <w:rsid w:val="009A7C10"/>
    <w:rsid w:val="009B1018"/>
    <w:rsid w:val="009B1F02"/>
    <w:rsid w:val="009B28E0"/>
    <w:rsid w:val="009B3109"/>
    <w:rsid w:val="009B3484"/>
    <w:rsid w:val="009B41D5"/>
    <w:rsid w:val="009B49BA"/>
    <w:rsid w:val="009B568C"/>
    <w:rsid w:val="009B7AF1"/>
    <w:rsid w:val="009B7B44"/>
    <w:rsid w:val="009C0123"/>
    <w:rsid w:val="009C059A"/>
    <w:rsid w:val="009C0708"/>
    <w:rsid w:val="009C08CB"/>
    <w:rsid w:val="009C1610"/>
    <w:rsid w:val="009C1B47"/>
    <w:rsid w:val="009C2D55"/>
    <w:rsid w:val="009C3678"/>
    <w:rsid w:val="009C3D2E"/>
    <w:rsid w:val="009C3EB2"/>
    <w:rsid w:val="009C5D44"/>
    <w:rsid w:val="009C5E35"/>
    <w:rsid w:val="009C7283"/>
    <w:rsid w:val="009C76DD"/>
    <w:rsid w:val="009D058C"/>
    <w:rsid w:val="009D090E"/>
    <w:rsid w:val="009D0EA5"/>
    <w:rsid w:val="009D128B"/>
    <w:rsid w:val="009D2E23"/>
    <w:rsid w:val="009D5198"/>
    <w:rsid w:val="009D7291"/>
    <w:rsid w:val="009D73AC"/>
    <w:rsid w:val="009E0C06"/>
    <w:rsid w:val="009E0D57"/>
    <w:rsid w:val="009E2471"/>
    <w:rsid w:val="009E30C6"/>
    <w:rsid w:val="009E4057"/>
    <w:rsid w:val="009E4723"/>
    <w:rsid w:val="009E580A"/>
    <w:rsid w:val="009E6E9A"/>
    <w:rsid w:val="009E7887"/>
    <w:rsid w:val="009F0F17"/>
    <w:rsid w:val="009F1C13"/>
    <w:rsid w:val="009F3788"/>
    <w:rsid w:val="009F4EE9"/>
    <w:rsid w:val="009F5BA7"/>
    <w:rsid w:val="009F6C2A"/>
    <w:rsid w:val="009F7B6C"/>
    <w:rsid w:val="009F7FCF"/>
    <w:rsid w:val="00A00E0C"/>
    <w:rsid w:val="00A01487"/>
    <w:rsid w:val="00A023F4"/>
    <w:rsid w:val="00A02995"/>
    <w:rsid w:val="00A04148"/>
    <w:rsid w:val="00A042E0"/>
    <w:rsid w:val="00A04928"/>
    <w:rsid w:val="00A04AAA"/>
    <w:rsid w:val="00A05A01"/>
    <w:rsid w:val="00A05EEA"/>
    <w:rsid w:val="00A065B6"/>
    <w:rsid w:val="00A06DD4"/>
    <w:rsid w:val="00A103CB"/>
    <w:rsid w:val="00A11981"/>
    <w:rsid w:val="00A12265"/>
    <w:rsid w:val="00A12956"/>
    <w:rsid w:val="00A14070"/>
    <w:rsid w:val="00A141C9"/>
    <w:rsid w:val="00A143B4"/>
    <w:rsid w:val="00A14502"/>
    <w:rsid w:val="00A14AFB"/>
    <w:rsid w:val="00A15401"/>
    <w:rsid w:val="00A15DB4"/>
    <w:rsid w:val="00A15E89"/>
    <w:rsid w:val="00A16834"/>
    <w:rsid w:val="00A2024E"/>
    <w:rsid w:val="00A20358"/>
    <w:rsid w:val="00A21908"/>
    <w:rsid w:val="00A21A31"/>
    <w:rsid w:val="00A2268E"/>
    <w:rsid w:val="00A256FF"/>
    <w:rsid w:val="00A25F53"/>
    <w:rsid w:val="00A2604E"/>
    <w:rsid w:val="00A275D5"/>
    <w:rsid w:val="00A30B19"/>
    <w:rsid w:val="00A30B37"/>
    <w:rsid w:val="00A30BAD"/>
    <w:rsid w:val="00A321A4"/>
    <w:rsid w:val="00A32278"/>
    <w:rsid w:val="00A3304A"/>
    <w:rsid w:val="00A37BEF"/>
    <w:rsid w:val="00A4000D"/>
    <w:rsid w:val="00A40936"/>
    <w:rsid w:val="00A41536"/>
    <w:rsid w:val="00A41E8C"/>
    <w:rsid w:val="00A420A7"/>
    <w:rsid w:val="00A44016"/>
    <w:rsid w:val="00A454D7"/>
    <w:rsid w:val="00A4586D"/>
    <w:rsid w:val="00A464CA"/>
    <w:rsid w:val="00A50DC3"/>
    <w:rsid w:val="00A50E20"/>
    <w:rsid w:val="00A51ADB"/>
    <w:rsid w:val="00A5220B"/>
    <w:rsid w:val="00A52A71"/>
    <w:rsid w:val="00A5309B"/>
    <w:rsid w:val="00A53C1A"/>
    <w:rsid w:val="00A53D07"/>
    <w:rsid w:val="00A54646"/>
    <w:rsid w:val="00A56C52"/>
    <w:rsid w:val="00A57341"/>
    <w:rsid w:val="00A57563"/>
    <w:rsid w:val="00A57B74"/>
    <w:rsid w:val="00A60E11"/>
    <w:rsid w:val="00A60F36"/>
    <w:rsid w:val="00A61118"/>
    <w:rsid w:val="00A6208A"/>
    <w:rsid w:val="00A625B1"/>
    <w:rsid w:val="00A63260"/>
    <w:rsid w:val="00A634C5"/>
    <w:rsid w:val="00A70443"/>
    <w:rsid w:val="00A713DF"/>
    <w:rsid w:val="00A71F2F"/>
    <w:rsid w:val="00A72AFB"/>
    <w:rsid w:val="00A7319A"/>
    <w:rsid w:val="00A732BF"/>
    <w:rsid w:val="00A743DC"/>
    <w:rsid w:val="00A74559"/>
    <w:rsid w:val="00A7460B"/>
    <w:rsid w:val="00A75BCC"/>
    <w:rsid w:val="00A76781"/>
    <w:rsid w:val="00A77E2B"/>
    <w:rsid w:val="00A80B4F"/>
    <w:rsid w:val="00A814B5"/>
    <w:rsid w:val="00A825B6"/>
    <w:rsid w:val="00A83D9F"/>
    <w:rsid w:val="00A84E94"/>
    <w:rsid w:val="00A8685D"/>
    <w:rsid w:val="00A86CB9"/>
    <w:rsid w:val="00A86ED4"/>
    <w:rsid w:val="00A90A03"/>
    <w:rsid w:val="00A91834"/>
    <w:rsid w:val="00A93BF8"/>
    <w:rsid w:val="00A93FAB"/>
    <w:rsid w:val="00A96683"/>
    <w:rsid w:val="00AA1389"/>
    <w:rsid w:val="00AA1963"/>
    <w:rsid w:val="00AA2E3D"/>
    <w:rsid w:val="00AA3137"/>
    <w:rsid w:val="00AA4062"/>
    <w:rsid w:val="00AA4509"/>
    <w:rsid w:val="00AA47AD"/>
    <w:rsid w:val="00AA55FA"/>
    <w:rsid w:val="00AA55FD"/>
    <w:rsid w:val="00AA56B0"/>
    <w:rsid w:val="00AA65B5"/>
    <w:rsid w:val="00AA7BE6"/>
    <w:rsid w:val="00AB0CC5"/>
    <w:rsid w:val="00AB1AB5"/>
    <w:rsid w:val="00AB23BD"/>
    <w:rsid w:val="00AB38AB"/>
    <w:rsid w:val="00AB495B"/>
    <w:rsid w:val="00AB6337"/>
    <w:rsid w:val="00AC21BC"/>
    <w:rsid w:val="00AC221E"/>
    <w:rsid w:val="00AC6C6F"/>
    <w:rsid w:val="00AC77FE"/>
    <w:rsid w:val="00AD026E"/>
    <w:rsid w:val="00AD12BC"/>
    <w:rsid w:val="00AD1880"/>
    <w:rsid w:val="00AD1B36"/>
    <w:rsid w:val="00AD213D"/>
    <w:rsid w:val="00AD223F"/>
    <w:rsid w:val="00AD2B18"/>
    <w:rsid w:val="00AD3409"/>
    <w:rsid w:val="00AD34AB"/>
    <w:rsid w:val="00AD3B91"/>
    <w:rsid w:val="00AD3ED5"/>
    <w:rsid w:val="00AD431C"/>
    <w:rsid w:val="00AD5390"/>
    <w:rsid w:val="00AD692D"/>
    <w:rsid w:val="00AE0889"/>
    <w:rsid w:val="00AE08EC"/>
    <w:rsid w:val="00AE0F90"/>
    <w:rsid w:val="00AE25B5"/>
    <w:rsid w:val="00AE2FAA"/>
    <w:rsid w:val="00AE3BBE"/>
    <w:rsid w:val="00AE4ECB"/>
    <w:rsid w:val="00AE7482"/>
    <w:rsid w:val="00AE7A3F"/>
    <w:rsid w:val="00AF040C"/>
    <w:rsid w:val="00AF0D66"/>
    <w:rsid w:val="00AF176C"/>
    <w:rsid w:val="00AF1AC4"/>
    <w:rsid w:val="00AF215A"/>
    <w:rsid w:val="00AF26A2"/>
    <w:rsid w:val="00AF2AC8"/>
    <w:rsid w:val="00AF6FB3"/>
    <w:rsid w:val="00AF7343"/>
    <w:rsid w:val="00AF799B"/>
    <w:rsid w:val="00AF7BDE"/>
    <w:rsid w:val="00AF7DC8"/>
    <w:rsid w:val="00AF7F04"/>
    <w:rsid w:val="00B001AB"/>
    <w:rsid w:val="00B0046F"/>
    <w:rsid w:val="00B008CC"/>
    <w:rsid w:val="00B00D0F"/>
    <w:rsid w:val="00B012AC"/>
    <w:rsid w:val="00B013D5"/>
    <w:rsid w:val="00B0166C"/>
    <w:rsid w:val="00B02C2E"/>
    <w:rsid w:val="00B0583E"/>
    <w:rsid w:val="00B06A1D"/>
    <w:rsid w:val="00B06F91"/>
    <w:rsid w:val="00B101B6"/>
    <w:rsid w:val="00B1253F"/>
    <w:rsid w:val="00B126F0"/>
    <w:rsid w:val="00B12B12"/>
    <w:rsid w:val="00B12C37"/>
    <w:rsid w:val="00B13CF3"/>
    <w:rsid w:val="00B13ED2"/>
    <w:rsid w:val="00B1477C"/>
    <w:rsid w:val="00B14B7A"/>
    <w:rsid w:val="00B14C6C"/>
    <w:rsid w:val="00B15DE6"/>
    <w:rsid w:val="00B16D92"/>
    <w:rsid w:val="00B170A1"/>
    <w:rsid w:val="00B1748B"/>
    <w:rsid w:val="00B20D7B"/>
    <w:rsid w:val="00B218DD"/>
    <w:rsid w:val="00B21A5B"/>
    <w:rsid w:val="00B22A42"/>
    <w:rsid w:val="00B23900"/>
    <w:rsid w:val="00B241E7"/>
    <w:rsid w:val="00B268A6"/>
    <w:rsid w:val="00B26F56"/>
    <w:rsid w:val="00B26FE8"/>
    <w:rsid w:val="00B27B1A"/>
    <w:rsid w:val="00B32A27"/>
    <w:rsid w:val="00B33102"/>
    <w:rsid w:val="00B34AF7"/>
    <w:rsid w:val="00B3572B"/>
    <w:rsid w:val="00B36007"/>
    <w:rsid w:val="00B375CE"/>
    <w:rsid w:val="00B4001D"/>
    <w:rsid w:val="00B41882"/>
    <w:rsid w:val="00B423C0"/>
    <w:rsid w:val="00B42B94"/>
    <w:rsid w:val="00B446F9"/>
    <w:rsid w:val="00B44C22"/>
    <w:rsid w:val="00B46F04"/>
    <w:rsid w:val="00B51BA8"/>
    <w:rsid w:val="00B524A5"/>
    <w:rsid w:val="00B5256F"/>
    <w:rsid w:val="00B535E9"/>
    <w:rsid w:val="00B54008"/>
    <w:rsid w:val="00B54222"/>
    <w:rsid w:val="00B54CF1"/>
    <w:rsid w:val="00B5527F"/>
    <w:rsid w:val="00B55414"/>
    <w:rsid w:val="00B57F92"/>
    <w:rsid w:val="00B6025D"/>
    <w:rsid w:val="00B60C62"/>
    <w:rsid w:val="00B612B3"/>
    <w:rsid w:val="00B62748"/>
    <w:rsid w:val="00B636D0"/>
    <w:rsid w:val="00B660F7"/>
    <w:rsid w:val="00B67E75"/>
    <w:rsid w:val="00B70BA0"/>
    <w:rsid w:val="00B71946"/>
    <w:rsid w:val="00B72875"/>
    <w:rsid w:val="00B7367F"/>
    <w:rsid w:val="00B74095"/>
    <w:rsid w:val="00B74B41"/>
    <w:rsid w:val="00B74C0F"/>
    <w:rsid w:val="00B755D8"/>
    <w:rsid w:val="00B80A54"/>
    <w:rsid w:val="00B80DF5"/>
    <w:rsid w:val="00B843DA"/>
    <w:rsid w:val="00B856EC"/>
    <w:rsid w:val="00B90B74"/>
    <w:rsid w:val="00B91C2A"/>
    <w:rsid w:val="00B93994"/>
    <w:rsid w:val="00B93E56"/>
    <w:rsid w:val="00B94242"/>
    <w:rsid w:val="00B96836"/>
    <w:rsid w:val="00BA018E"/>
    <w:rsid w:val="00BA0B90"/>
    <w:rsid w:val="00BA1241"/>
    <w:rsid w:val="00BA1FB9"/>
    <w:rsid w:val="00BA24BD"/>
    <w:rsid w:val="00BA42A9"/>
    <w:rsid w:val="00BA46D4"/>
    <w:rsid w:val="00BA5309"/>
    <w:rsid w:val="00BA535F"/>
    <w:rsid w:val="00BA5742"/>
    <w:rsid w:val="00BB0137"/>
    <w:rsid w:val="00BB0D24"/>
    <w:rsid w:val="00BB2A84"/>
    <w:rsid w:val="00BB4AAD"/>
    <w:rsid w:val="00BB58C7"/>
    <w:rsid w:val="00BB5B28"/>
    <w:rsid w:val="00BB5E56"/>
    <w:rsid w:val="00BB7D74"/>
    <w:rsid w:val="00BC04AA"/>
    <w:rsid w:val="00BC06A3"/>
    <w:rsid w:val="00BC088A"/>
    <w:rsid w:val="00BC2DFE"/>
    <w:rsid w:val="00BC33C1"/>
    <w:rsid w:val="00BC3E94"/>
    <w:rsid w:val="00BC3F25"/>
    <w:rsid w:val="00BC67CC"/>
    <w:rsid w:val="00BD008B"/>
    <w:rsid w:val="00BD0C39"/>
    <w:rsid w:val="00BD0F8E"/>
    <w:rsid w:val="00BD3656"/>
    <w:rsid w:val="00BD41D1"/>
    <w:rsid w:val="00BD71DA"/>
    <w:rsid w:val="00BD7799"/>
    <w:rsid w:val="00BD7EFB"/>
    <w:rsid w:val="00BE0D4A"/>
    <w:rsid w:val="00BE1021"/>
    <w:rsid w:val="00BE1941"/>
    <w:rsid w:val="00BE233F"/>
    <w:rsid w:val="00BE243F"/>
    <w:rsid w:val="00BE26C8"/>
    <w:rsid w:val="00BE37D7"/>
    <w:rsid w:val="00BE37EF"/>
    <w:rsid w:val="00BE4458"/>
    <w:rsid w:val="00BE61BA"/>
    <w:rsid w:val="00BE7F4C"/>
    <w:rsid w:val="00BF0761"/>
    <w:rsid w:val="00BF18F1"/>
    <w:rsid w:val="00BF1D5A"/>
    <w:rsid w:val="00BF347D"/>
    <w:rsid w:val="00BF4973"/>
    <w:rsid w:val="00BF669F"/>
    <w:rsid w:val="00BF78F9"/>
    <w:rsid w:val="00BF7CA9"/>
    <w:rsid w:val="00BF7CD8"/>
    <w:rsid w:val="00C00510"/>
    <w:rsid w:val="00C0080B"/>
    <w:rsid w:val="00C01426"/>
    <w:rsid w:val="00C02C89"/>
    <w:rsid w:val="00C03137"/>
    <w:rsid w:val="00C03729"/>
    <w:rsid w:val="00C03917"/>
    <w:rsid w:val="00C03B5E"/>
    <w:rsid w:val="00C04309"/>
    <w:rsid w:val="00C048D3"/>
    <w:rsid w:val="00C04BCB"/>
    <w:rsid w:val="00C05010"/>
    <w:rsid w:val="00C0646B"/>
    <w:rsid w:val="00C064E6"/>
    <w:rsid w:val="00C068BC"/>
    <w:rsid w:val="00C0773C"/>
    <w:rsid w:val="00C122D0"/>
    <w:rsid w:val="00C13566"/>
    <w:rsid w:val="00C13569"/>
    <w:rsid w:val="00C1469C"/>
    <w:rsid w:val="00C146D6"/>
    <w:rsid w:val="00C155D7"/>
    <w:rsid w:val="00C15621"/>
    <w:rsid w:val="00C15BCF"/>
    <w:rsid w:val="00C15C22"/>
    <w:rsid w:val="00C1628A"/>
    <w:rsid w:val="00C16323"/>
    <w:rsid w:val="00C16BDC"/>
    <w:rsid w:val="00C16FCA"/>
    <w:rsid w:val="00C1707B"/>
    <w:rsid w:val="00C17F5D"/>
    <w:rsid w:val="00C201FC"/>
    <w:rsid w:val="00C20571"/>
    <w:rsid w:val="00C2216E"/>
    <w:rsid w:val="00C225C1"/>
    <w:rsid w:val="00C23D3F"/>
    <w:rsid w:val="00C23EC5"/>
    <w:rsid w:val="00C24768"/>
    <w:rsid w:val="00C24C87"/>
    <w:rsid w:val="00C25861"/>
    <w:rsid w:val="00C2592B"/>
    <w:rsid w:val="00C25BC5"/>
    <w:rsid w:val="00C25D70"/>
    <w:rsid w:val="00C27432"/>
    <w:rsid w:val="00C30D47"/>
    <w:rsid w:val="00C31CEC"/>
    <w:rsid w:val="00C33F6D"/>
    <w:rsid w:val="00C342D3"/>
    <w:rsid w:val="00C3442D"/>
    <w:rsid w:val="00C3524A"/>
    <w:rsid w:val="00C35971"/>
    <w:rsid w:val="00C35E6B"/>
    <w:rsid w:val="00C36431"/>
    <w:rsid w:val="00C36979"/>
    <w:rsid w:val="00C36C7B"/>
    <w:rsid w:val="00C36DE3"/>
    <w:rsid w:val="00C40AB6"/>
    <w:rsid w:val="00C40C43"/>
    <w:rsid w:val="00C40C58"/>
    <w:rsid w:val="00C42FD3"/>
    <w:rsid w:val="00C44404"/>
    <w:rsid w:val="00C460F1"/>
    <w:rsid w:val="00C46295"/>
    <w:rsid w:val="00C46823"/>
    <w:rsid w:val="00C470B8"/>
    <w:rsid w:val="00C47B3A"/>
    <w:rsid w:val="00C50586"/>
    <w:rsid w:val="00C506AD"/>
    <w:rsid w:val="00C519CA"/>
    <w:rsid w:val="00C51ECE"/>
    <w:rsid w:val="00C52627"/>
    <w:rsid w:val="00C52B42"/>
    <w:rsid w:val="00C52F04"/>
    <w:rsid w:val="00C532F6"/>
    <w:rsid w:val="00C54266"/>
    <w:rsid w:val="00C54433"/>
    <w:rsid w:val="00C5490A"/>
    <w:rsid w:val="00C5500C"/>
    <w:rsid w:val="00C55233"/>
    <w:rsid w:val="00C55399"/>
    <w:rsid w:val="00C55AF2"/>
    <w:rsid w:val="00C56BC3"/>
    <w:rsid w:val="00C605F8"/>
    <w:rsid w:val="00C611EE"/>
    <w:rsid w:val="00C615F3"/>
    <w:rsid w:val="00C61BF8"/>
    <w:rsid w:val="00C627B2"/>
    <w:rsid w:val="00C63086"/>
    <w:rsid w:val="00C632A3"/>
    <w:rsid w:val="00C63D55"/>
    <w:rsid w:val="00C63E3E"/>
    <w:rsid w:val="00C64083"/>
    <w:rsid w:val="00C64458"/>
    <w:rsid w:val="00C65B6D"/>
    <w:rsid w:val="00C65D79"/>
    <w:rsid w:val="00C67056"/>
    <w:rsid w:val="00C67208"/>
    <w:rsid w:val="00C67DB0"/>
    <w:rsid w:val="00C72679"/>
    <w:rsid w:val="00C730A6"/>
    <w:rsid w:val="00C732F0"/>
    <w:rsid w:val="00C736C1"/>
    <w:rsid w:val="00C74D03"/>
    <w:rsid w:val="00C74FB6"/>
    <w:rsid w:val="00C764C7"/>
    <w:rsid w:val="00C8240A"/>
    <w:rsid w:val="00C82AB3"/>
    <w:rsid w:val="00C82B91"/>
    <w:rsid w:val="00C833A5"/>
    <w:rsid w:val="00C83AAF"/>
    <w:rsid w:val="00C85D3E"/>
    <w:rsid w:val="00C90392"/>
    <w:rsid w:val="00C90DDC"/>
    <w:rsid w:val="00C934C4"/>
    <w:rsid w:val="00C93E34"/>
    <w:rsid w:val="00C94B58"/>
    <w:rsid w:val="00C96E60"/>
    <w:rsid w:val="00CA1380"/>
    <w:rsid w:val="00CA1A90"/>
    <w:rsid w:val="00CA3997"/>
    <w:rsid w:val="00CA3EA8"/>
    <w:rsid w:val="00CA3ED1"/>
    <w:rsid w:val="00CA597B"/>
    <w:rsid w:val="00CA6DAA"/>
    <w:rsid w:val="00CA7BAE"/>
    <w:rsid w:val="00CA7CA2"/>
    <w:rsid w:val="00CB01C0"/>
    <w:rsid w:val="00CB04ED"/>
    <w:rsid w:val="00CB0688"/>
    <w:rsid w:val="00CB0786"/>
    <w:rsid w:val="00CB0A1F"/>
    <w:rsid w:val="00CB10FE"/>
    <w:rsid w:val="00CB168D"/>
    <w:rsid w:val="00CB325A"/>
    <w:rsid w:val="00CB38D1"/>
    <w:rsid w:val="00CB5669"/>
    <w:rsid w:val="00CB5CEE"/>
    <w:rsid w:val="00CB7AAA"/>
    <w:rsid w:val="00CC0780"/>
    <w:rsid w:val="00CC0AC5"/>
    <w:rsid w:val="00CC0B66"/>
    <w:rsid w:val="00CC1B10"/>
    <w:rsid w:val="00CC3A8B"/>
    <w:rsid w:val="00CC4100"/>
    <w:rsid w:val="00CC5E28"/>
    <w:rsid w:val="00CC6B2B"/>
    <w:rsid w:val="00CC7B21"/>
    <w:rsid w:val="00CC7DDF"/>
    <w:rsid w:val="00CD0A13"/>
    <w:rsid w:val="00CD0E63"/>
    <w:rsid w:val="00CD11AD"/>
    <w:rsid w:val="00CD315E"/>
    <w:rsid w:val="00CD41F4"/>
    <w:rsid w:val="00CD47FB"/>
    <w:rsid w:val="00CD4A8B"/>
    <w:rsid w:val="00CD54E1"/>
    <w:rsid w:val="00CD579F"/>
    <w:rsid w:val="00CD76C2"/>
    <w:rsid w:val="00CD7DBF"/>
    <w:rsid w:val="00CE16EF"/>
    <w:rsid w:val="00CE2C39"/>
    <w:rsid w:val="00CE348F"/>
    <w:rsid w:val="00CE3F6C"/>
    <w:rsid w:val="00CE42CD"/>
    <w:rsid w:val="00CE4477"/>
    <w:rsid w:val="00CE4490"/>
    <w:rsid w:val="00CE53FE"/>
    <w:rsid w:val="00CE67A8"/>
    <w:rsid w:val="00CE7103"/>
    <w:rsid w:val="00CF1487"/>
    <w:rsid w:val="00CF3288"/>
    <w:rsid w:val="00CF35CB"/>
    <w:rsid w:val="00CF629A"/>
    <w:rsid w:val="00CF688C"/>
    <w:rsid w:val="00D00A87"/>
    <w:rsid w:val="00D010B8"/>
    <w:rsid w:val="00D01982"/>
    <w:rsid w:val="00D04EBE"/>
    <w:rsid w:val="00D063D7"/>
    <w:rsid w:val="00D07CCE"/>
    <w:rsid w:val="00D1294D"/>
    <w:rsid w:val="00D12BFC"/>
    <w:rsid w:val="00D12E23"/>
    <w:rsid w:val="00D12F70"/>
    <w:rsid w:val="00D135AF"/>
    <w:rsid w:val="00D13760"/>
    <w:rsid w:val="00D15494"/>
    <w:rsid w:val="00D157B5"/>
    <w:rsid w:val="00D201E0"/>
    <w:rsid w:val="00D20C04"/>
    <w:rsid w:val="00D20F45"/>
    <w:rsid w:val="00D216F0"/>
    <w:rsid w:val="00D22C3C"/>
    <w:rsid w:val="00D22CE3"/>
    <w:rsid w:val="00D23FEE"/>
    <w:rsid w:val="00D25B59"/>
    <w:rsid w:val="00D26136"/>
    <w:rsid w:val="00D2662A"/>
    <w:rsid w:val="00D26730"/>
    <w:rsid w:val="00D26B8D"/>
    <w:rsid w:val="00D271CF"/>
    <w:rsid w:val="00D275CE"/>
    <w:rsid w:val="00D30D2E"/>
    <w:rsid w:val="00D32145"/>
    <w:rsid w:val="00D32B87"/>
    <w:rsid w:val="00D34164"/>
    <w:rsid w:val="00D34761"/>
    <w:rsid w:val="00D34CA7"/>
    <w:rsid w:val="00D358CE"/>
    <w:rsid w:val="00D373FE"/>
    <w:rsid w:val="00D37BAD"/>
    <w:rsid w:val="00D4063F"/>
    <w:rsid w:val="00D41304"/>
    <w:rsid w:val="00D42155"/>
    <w:rsid w:val="00D42969"/>
    <w:rsid w:val="00D42DE2"/>
    <w:rsid w:val="00D43032"/>
    <w:rsid w:val="00D43925"/>
    <w:rsid w:val="00D4452F"/>
    <w:rsid w:val="00D45441"/>
    <w:rsid w:val="00D464F5"/>
    <w:rsid w:val="00D467D5"/>
    <w:rsid w:val="00D47F18"/>
    <w:rsid w:val="00D50869"/>
    <w:rsid w:val="00D50AFA"/>
    <w:rsid w:val="00D50B50"/>
    <w:rsid w:val="00D51727"/>
    <w:rsid w:val="00D517F7"/>
    <w:rsid w:val="00D51809"/>
    <w:rsid w:val="00D51A31"/>
    <w:rsid w:val="00D537A8"/>
    <w:rsid w:val="00D5418F"/>
    <w:rsid w:val="00D56B3F"/>
    <w:rsid w:val="00D574AD"/>
    <w:rsid w:val="00D57833"/>
    <w:rsid w:val="00D5796F"/>
    <w:rsid w:val="00D57BF2"/>
    <w:rsid w:val="00D60F28"/>
    <w:rsid w:val="00D612DA"/>
    <w:rsid w:val="00D627EA"/>
    <w:rsid w:val="00D62DB4"/>
    <w:rsid w:val="00D631B0"/>
    <w:rsid w:val="00D632DC"/>
    <w:rsid w:val="00D634C1"/>
    <w:rsid w:val="00D65B5A"/>
    <w:rsid w:val="00D663AC"/>
    <w:rsid w:val="00D70379"/>
    <w:rsid w:val="00D71304"/>
    <w:rsid w:val="00D7159F"/>
    <w:rsid w:val="00D71FD7"/>
    <w:rsid w:val="00D73BA7"/>
    <w:rsid w:val="00D74198"/>
    <w:rsid w:val="00D7490A"/>
    <w:rsid w:val="00D74C8D"/>
    <w:rsid w:val="00D754F8"/>
    <w:rsid w:val="00D75979"/>
    <w:rsid w:val="00D7600E"/>
    <w:rsid w:val="00D76919"/>
    <w:rsid w:val="00D77291"/>
    <w:rsid w:val="00D77B85"/>
    <w:rsid w:val="00D817D9"/>
    <w:rsid w:val="00D81CBD"/>
    <w:rsid w:val="00D838EC"/>
    <w:rsid w:val="00D83BBC"/>
    <w:rsid w:val="00D83FCE"/>
    <w:rsid w:val="00D843F1"/>
    <w:rsid w:val="00D84EE9"/>
    <w:rsid w:val="00D86422"/>
    <w:rsid w:val="00D86A07"/>
    <w:rsid w:val="00D86D7C"/>
    <w:rsid w:val="00D872F0"/>
    <w:rsid w:val="00D91A4B"/>
    <w:rsid w:val="00D91BFA"/>
    <w:rsid w:val="00D92106"/>
    <w:rsid w:val="00D92ED4"/>
    <w:rsid w:val="00D93D35"/>
    <w:rsid w:val="00D94096"/>
    <w:rsid w:val="00D94E0E"/>
    <w:rsid w:val="00D96FBA"/>
    <w:rsid w:val="00D97DD2"/>
    <w:rsid w:val="00D97EE1"/>
    <w:rsid w:val="00DA1A36"/>
    <w:rsid w:val="00DA1CE9"/>
    <w:rsid w:val="00DA30D0"/>
    <w:rsid w:val="00DA4482"/>
    <w:rsid w:val="00DA768C"/>
    <w:rsid w:val="00DA7D93"/>
    <w:rsid w:val="00DB01C3"/>
    <w:rsid w:val="00DB03F7"/>
    <w:rsid w:val="00DB0D4B"/>
    <w:rsid w:val="00DB116A"/>
    <w:rsid w:val="00DB372C"/>
    <w:rsid w:val="00DB494B"/>
    <w:rsid w:val="00DB5218"/>
    <w:rsid w:val="00DB5D55"/>
    <w:rsid w:val="00DB5EEC"/>
    <w:rsid w:val="00DB5EFC"/>
    <w:rsid w:val="00DB79A4"/>
    <w:rsid w:val="00DC0C36"/>
    <w:rsid w:val="00DC1A7E"/>
    <w:rsid w:val="00DC1E42"/>
    <w:rsid w:val="00DC429A"/>
    <w:rsid w:val="00DC504E"/>
    <w:rsid w:val="00DC51DA"/>
    <w:rsid w:val="00DC59DD"/>
    <w:rsid w:val="00DC6722"/>
    <w:rsid w:val="00DC77E4"/>
    <w:rsid w:val="00DC7CC8"/>
    <w:rsid w:val="00DC7EEA"/>
    <w:rsid w:val="00DC7F8C"/>
    <w:rsid w:val="00DD0401"/>
    <w:rsid w:val="00DD0C09"/>
    <w:rsid w:val="00DD0F58"/>
    <w:rsid w:val="00DD17AD"/>
    <w:rsid w:val="00DD1850"/>
    <w:rsid w:val="00DD2240"/>
    <w:rsid w:val="00DD2EFD"/>
    <w:rsid w:val="00DD322E"/>
    <w:rsid w:val="00DD3CF8"/>
    <w:rsid w:val="00DD5A9A"/>
    <w:rsid w:val="00DD617E"/>
    <w:rsid w:val="00DE14B7"/>
    <w:rsid w:val="00DE1CBE"/>
    <w:rsid w:val="00DE3566"/>
    <w:rsid w:val="00DE38C2"/>
    <w:rsid w:val="00DE47EE"/>
    <w:rsid w:val="00DE5970"/>
    <w:rsid w:val="00DE5B0C"/>
    <w:rsid w:val="00DE7E84"/>
    <w:rsid w:val="00DF12FB"/>
    <w:rsid w:val="00DF1564"/>
    <w:rsid w:val="00DF2CCB"/>
    <w:rsid w:val="00DF3816"/>
    <w:rsid w:val="00DF3986"/>
    <w:rsid w:val="00DF3AD2"/>
    <w:rsid w:val="00DF42B7"/>
    <w:rsid w:val="00DF478E"/>
    <w:rsid w:val="00DF56EA"/>
    <w:rsid w:val="00DF60FF"/>
    <w:rsid w:val="00DF61F5"/>
    <w:rsid w:val="00DF7497"/>
    <w:rsid w:val="00E002A5"/>
    <w:rsid w:val="00E0312A"/>
    <w:rsid w:val="00E04BC5"/>
    <w:rsid w:val="00E04C2A"/>
    <w:rsid w:val="00E069CE"/>
    <w:rsid w:val="00E079DC"/>
    <w:rsid w:val="00E07FB6"/>
    <w:rsid w:val="00E10420"/>
    <w:rsid w:val="00E134D3"/>
    <w:rsid w:val="00E136FD"/>
    <w:rsid w:val="00E15BC5"/>
    <w:rsid w:val="00E15CDB"/>
    <w:rsid w:val="00E16439"/>
    <w:rsid w:val="00E16589"/>
    <w:rsid w:val="00E201E3"/>
    <w:rsid w:val="00E20E0F"/>
    <w:rsid w:val="00E23622"/>
    <w:rsid w:val="00E238AC"/>
    <w:rsid w:val="00E23F0D"/>
    <w:rsid w:val="00E25CA4"/>
    <w:rsid w:val="00E2713F"/>
    <w:rsid w:val="00E276D5"/>
    <w:rsid w:val="00E278C2"/>
    <w:rsid w:val="00E31B33"/>
    <w:rsid w:val="00E32EEE"/>
    <w:rsid w:val="00E333AF"/>
    <w:rsid w:val="00E33B5B"/>
    <w:rsid w:val="00E3434F"/>
    <w:rsid w:val="00E35244"/>
    <w:rsid w:val="00E35314"/>
    <w:rsid w:val="00E35E0E"/>
    <w:rsid w:val="00E3603B"/>
    <w:rsid w:val="00E37C4C"/>
    <w:rsid w:val="00E37FEF"/>
    <w:rsid w:val="00E434E4"/>
    <w:rsid w:val="00E43741"/>
    <w:rsid w:val="00E45BED"/>
    <w:rsid w:val="00E46037"/>
    <w:rsid w:val="00E463F9"/>
    <w:rsid w:val="00E46748"/>
    <w:rsid w:val="00E47F27"/>
    <w:rsid w:val="00E51039"/>
    <w:rsid w:val="00E53C13"/>
    <w:rsid w:val="00E5457F"/>
    <w:rsid w:val="00E55A69"/>
    <w:rsid w:val="00E5731A"/>
    <w:rsid w:val="00E57A8A"/>
    <w:rsid w:val="00E57A9E"/>
    <w:rsid w:val="00E60287"/>
    <w:rsid w:val="00E629C8"/>
    <w:rsid w:val="00E63DBF"/>
    <w:rsid w:val="00E66BD7"/>
    <w:rsid w:val="00E66DD5"/>
    <w:rsid w:val="00E679A3"/>
    <w:rsid w:val="00E710EB"/>
    <w:rsid w:val="00E719EB"/>
    <w:rsid w:val="00E72481"/>
    <w:rsid w:val="00E72923"/>
    <w:rsid w:val="00E732DB"/>
    <w:rsid w:val="00E73E6C"/>
    <w:rsid w:val="00E74B34"/>
    <w:rsid w:val="00E74F4D"/>
    <w:rsid w:val="00E762F8"/>
    <w:rsid w:val="00E76692"/>
    <w:rsid w:val="00E81C62"/>
    <w:rsid w:val="00E83EC0"/>
    <w:rsid w:val="00E84781"/>
    <w:rsid w:val="00E84B02"/>
    <w:rsid w:val="00E901FE"/>
    <w:rsid w:val="00E9188F"/>
    <w:rsid w:val="00E91AB9"/>
    <w:rsid w:val="00E936DC"/>
    <w:rsid w:val="00EA0BAE"/>
    <w:rsid w:val="00EA2B1E"/>
    <w:rsid w:val="00EA2DE3"/>
    <w:rsid w:val="00EA4027"/>
    <w:rsid w:val="00EA654E"/>
    <w:rsid w:val="00EA6E7C"/>
    <w:rsid w:val="00EA746B"/>
    <w:rsid w:val="00EA76F0"/>
    <w:rsid w:val="00EB176E"/>
    <w:rsid w:val="00EB2517"/>
    <w:rsid w:val="00EB27CA"/>
    <w:rsid w:val="00EB2829"/>
    <w:rsid w:val="00EB2942"/>
    <w:rsid w:val="00EB2CBE"/>
    <w:rsid w:val="00EB39B6"/>
    <w:rsid w:val="00EB39DF"/>
    <w:rsid w:val="00EB48BB"/>
    <w:rsid w:val="00EB7A6A"/>
    <w:rsid w:val="00EC015C"/>
    <w:rsid w:val="00EC08AA"/>
    <w:rsid w:val="00EC2606"/>
    <w:rsid w:val="00EC2AD6"/>
    <w:rsid w:val="00EC2E6D"/>
    <w:rsid w:val="00EC31C8"/>
    <w:rsid w:val="00EC43CA"/>
    <w:rsid w:val="00EC4B58"/>
    <w:rsid w:val="00EC5556"/>
    <w:rsid w:val="00ED0833"/>
    <w:rsid w:val="00ED1877"/>
    <w:rsid w:val="00ED3261"/>
    <w:rsid w:val="00ED3EA8"/>
    <w:rsid w:val="00ED4C18"/>
    <w:rsid w:val="00ED52E2"/>
    <w:rsid w:val="00ED5DB5"/>
    <w:rsid w:val="00ED67C8"/>
    <w:rsid w:val="00ED6CB5"/>
    <w:rsid w:val="00ED7FC6"/>
    <w:rsid w:val="00EE09FB"/>
    <w:rsid w:val="00EE12B3"/>
    <w:rsid w:val="00EE15CD"/>
    <w:rsid w:val="00EE1EC1"/>
    <w:rsid w:val="00EE2344"/>
    <w:rsid w:val="00EE2D33"/>
    <w:rsid w:val="00EE3919"/>
    <w:rsid w:val="00EE3D55"/>
    <w:rsid w:val="00EE4762"/>
    <w:rsid w:val="00EE49AE"/>
    <w:rsid w:val="00EE5264"/>
    <w:rsid w:val="00EE558E"/>
    <w:rsid w:val="00EE590A"/>
    <w:rsid w:val="00EE63AC"/>
    <w:rsid w:val="00EE7A3E"/>
    <w:rsid w:val="00EF1F51"/>
    <w:rsid w:val="00EF213E"/>
    <w:rsid w:val="00EF2220"/>
    <w:rsid w:val="00EF3113"/>
    <w:rsid w:val="00EF3846"/>
    <w:rsid w:val="00EF4FFF"/>
    <w:rsid w:val="00EF60A8"/>
    <w:rsid w:val="00EF60C5"/>
    <w:rsid w:val="00EF6291"/>
    <w:rsid w:val="00EF6394"/>
    <w:rsid w:val="00EF792B"/>
    <w:rsid w:val="00F00E89"/>
    <w:rsid w:val="00F01866"/>
    <w:rsid w:val="00F02C58"/>
    <w:rsid w:val="00F056C9"/>
    <w:rsid w:val="00F056E9"/>
    <w:rsid w:val="00F076AB"/>
    <w:rsid w:val="00F107B6"/>
    <w:rsid w:val="00F11D58"/>
    <w:rsid w:val="00F13F26"/>
    <w:rsid w:val="00F144B5"/>
    <w:rsid w:val="00F14869"/>
    <w:rsid w:val="00F14B6D"/>
    <w:rsid w:val="00F15FC4"/>
    <w:rsid w:val="00F20B0A"/>
    <w:rsid w:val="00F219A9"/>
    <w:rsid w:val="00F22008"/>
    <w:rsid w:val="00F221E8"/>
    <w:rsid w:val="00F23297"/>
    <w:rsid w:val="00F2678C"/>
    <w:rsid w:val="00F271F0"/>
    <w:rsid w:val="00F3026C"/>
    <w:rsid w:val="00F3028E"/>
    <w:rsid w:val="00F303E9"/>
    <w:rsid w:val="00F3046D"/>
    <w:rsid w:val="00F30946"/>
    <w:rsid w:val="00F33E5A"/>
    <w:rsid w:val="00F35150"/>
    <w:rsid w:val="00F35D09"/>
    <w:rsid w:val="00F365E8"/>
    <w:rsid w:val="00F36A3E"/>
    <w:rsid w:val="00F40974"/>
    <w:rsid w:val="00F4129B"/>
    <w:rsid w:val="00F42DD6"/>
    <w:rsid w:val="00F4333E"/>
    <w:rsid w:val="00F445BB"/>
    <w:rsid w:val="00F4641A"/>
    <w:rsid w:val="00F53197"/>
    <w:rsid w:val="00F53528"/>
    <w:rsid w:val="00F53F4F"/>
    <w:rsid w:val="00F542B2"/>
    <w:rsid w:val="00F54A0F"/>
    <w:rsid w:val="00F61D9C"/>
    <w:rsid w:val="00F623FB"/>
    <w:rsid w:val="00F63649"/>
    <w:rsid w:val="00F638B4"/>
    <w:rsid w:val="00F6429B"/>
    <w:rsid w:val="00F6454B"/>
    <w:rsid w:val="00F65803"/>
    <w:rsid w:val="00F65A44"/>
    <w:rsid w:val="00F65C5C"/>
    <w:rsid w:val="00F6659F"/>
    <w:rsid w:val="00F679AA"/>
    <w:rsid w:val="00F71C42"/>
    <w:rsid w:val="00F71C8A"/>
    <w:rsid w:val="00F727F3"/>
    <w:rsid w:val="00F74256"/>
    <w:rsid w:val="00F74EDF"/>
    <w:rsid w:val="00F75065"/>
    <w:rsid w:val="00F7647A"/>
    <w:rsid w:val="00F76D8F"/>
    <w:rsid w:val="00F76E75"/>
    <w:rsid w:val="00F77435"/>
    <w:rsid w:val="00F80349"/>
    <w:rsid w:val="00F81C3C"/>
    <w:rsid w:val="00F81F98"/>
    <w:rsid w:val="00F85B5C"/>
    <w:rsid w:val="00F866A9"/>
    <w:rsid w:val="00F9016E"/>
    <w:rsid w:val="00F903CC"/>
    <w:rsid w:val="00F907EA"/>
    <w:rsid w:val="00F90CDA"/>
    <w:rsid w:val="00F90E66"/>
    <w:rsid w:val="00F91719"/>
    <w:rsid w:val="00F92C34"/>
    <w:rsid w:val="00F93D60"/>
    <w:rsid w:val="00F93D91"/>
    <w:rsid w:val="00F93FDA"/>
    <w:rsid w:val="00F95267"/>
    <w:rsid w:val="00F953F7"/>
    <w:rsid w:val="00FA095B"/>
    <w:rsid w:val="00FA0BA0"/>
    <w:rsid w:val="00FA2B58"/>
    <w:rsid w:val="00FA2D07"/>
    <w:rsid w:val="00FA2DB5"/>
    <w:rsid w:val="00FA352E"/>
    <w:rsid w:val="00FA3D1F"/>
    <w:rsid w:val="00FA5CE5"/>
    <w:rsid w:val="00FA7930"/>
    <w:rsid w:val="00FB0EF8"/>
    <w:rsid w:val="00FB1340"/>
    <w:rsid w:val="00FB14CE"/>
    <w:rsid w:val="00FB33EE"/>
    <w:rsid w:val="00FB48A8"/>
    <w:rsid w:val="00FB55F8"/>
    <w:rsid w:val="00FB5739"/>
    <w:rsid w:val="00FC0A6D"/>
    <w:rsid w:val="00FC0D24"/>
    <w:rsid w:val="00FC15BB"/>
    <w:rsid w:val="00FC1ADF"/>
    <w:rsid w:val="00FC2CA0"/>
    <w:rsid w:val="00FC33E5"/>
    <w:rsid w:val="00FC3A86"/>
    <w:rsid w:val="00FC3B1D"/>
    <w:rsid w:val="00FC558B"/>
    <w:rsid w:val="00FC6163"/>
    <w:rsid w:val="00FC64AD"/>
    <w:rsid w:val="00FC6682"/>
    <w:rsid w:val="00FC6ECD"/>
    <w:rsid w:val="00FC6FFC"/>
    <w:rsid w:val="00FC7165"/>
    <w:rsid w:val="00FC7A06"/>
    <w:rsid w:val="00FD0F1B"/>
    <w:rsid w:val="00FD0FDC"/>
    <w:rsid w:val="00FD1CEB"/>
    <w:rsid w:val="00FD1E13"/>
    <w:rsid w:val="00FD27E9"/>
    <w:rsid w:val="00FD36DA"/>
    <w:rsid w:val="00FD374F"/>
    <w:rsid w:val="00FD40CE"/>
    <w:rsid w:val="00FD41AF"/>
    <w:rsid w:val="00FD4DB4"/>
    <w:rsid w:val="00FD53E7"/>
    <w:rsid w:val="00FD58F7"/>
    <w:rsid w:val="00FD5FF6"/>
    <w:rsid w:val="00FD7F86"/>
    <w:rsid w:val="00FE22B6"/>
    <w:rsid w:val="00FE27A0"/>
    <w:rsid w:val="00FE3696"/>
    <w:rsid w:val="00FE36C0"/>
    <w:rsid w:val="00FE5291"/>
    <w:rsid w:val="00FE52C4"/>
    <w:rsid w:val="00FE5AD9"/>
    <w:rsid w:val="00FE6052"/>
    <w:rsid w:val="00FE6F54"/>
    <w:rsid w:val="00FF0696"/>
    <w:rsid w:val="00FF070A"/>
    <w:rsid w:val="00FF080F"/>
    <w:rsid w:val="00FF15E1"/>
    <w:rsid w:val="00FF33FD"/>
    <w:rsid w:val="00FF3644"/>
    <w:rsid w:val="00FF3CBD"/>
    <w:rsid w:val="00FF48BB"/>
    <w:rsid w:val="00FF505B"/>
    <w:rsid w:val="00FF5226"/>
    <w:rsid w:val="00FF59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06BCE"/>
  <w15:docId w15:val="{8F791C12-6A68-406B-86A0-A7D22C06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6A2"/>
    <w:pPr>
      <w:spacing w:after="0" w:line="240" w:lineRule="auto"/>
    </w:pPr>
    <w:rPr>
      <w:rFonts w:asciiTheme="majorBidi" w:hAnsiTheme="majorBidi"/>
      <w:sz w:val="24"/>
      <w:szCs w:val="24"/>
    </w:rPr>
  </w:style>
  <w:style w:type="paragraph" w:styleId="1">
    <w:name w:val="heading 1"/>
    <w:aliases w:val=" תו"/>
    <w:basedOn w:val="a"/>
    <w:link w:val="10"/>
    <w:qFormat/>
    <w:rsid w:val="006A415B"/>
    <w:pPr>
      <w:numPr>
        <w:numId w:val="1"/>
      </w:numPr>
      <w:bidi/>
      <w:spacing w:line="360" w:lineRule="auto"/>
      <w:ind w:right="340"/>
      <w:jc w:val="both"/>
      <w:outlineLvl w:val="0"/>
    </w:pPr>
    <w:rPr>
      <w:rFonts w:ascii="Times New Roman" w:eastAsia="Times New Roman" w:hAnsi="Times New Roman" w:cs="David"/>
      <w:kern w:val="28"/>
      <w:lang w:eastAsia="he-IL"/>
    </w:rPr>
  </w:style>
  <w:style w:type="paragraph" w:styleId="2">
    <w:name w:val="heading 2"/>
    <w:basedOn w:val="1"/>
    <w:link w:val="20"/>
    <w:qFormat/>
    <w:rsid w:val="006A415B"/>
    <w:pPr>
      <w:numPr>
        <w:ilvl w:val="1"/>
      </w:numPr>
      <w:tabs>
        <w:tab w:val="num" w:pos="360"/>
      </w:tabs>
      <w:ind w:right="680"/>
      <w:outlineLvl w:val="1"/>
    </w:pPr>
  </w:style>
  <w:style w:type="paragraph" w:styleId="3">
    <w:name w:val="heading 3"/>
    <w:basedOn w:val="2"/>
    <w:link w:val="30"/>
    <w:qFormat/>
    <w:rsid w:val="006A415B"/>
    <w:pPr>
      <w:keepNext/>
      <w:numPr>
        <w:ilvl w:val="2"/>
      </w:numPr>
      <w:tabs>
        <w:tab w:val="num" w:pos="360"/>
      </w:tabs>
      <w:ind w:right="1020"/>
      <w:outlineLvl w:val="2"/>
    </w:pPr>
  </w:style>
  <w:style w:type="paragraph" w:styleId="4">
    <w:name w:val="heading 4"/>
    <w:basedOn w:val="3"/>
    <w:link w:val="40"/>
    <w:qFormat/>
    <w:rsid w:val="006A415B"/>
    <w:pPr>
      <w:keepNext w:val="0"/>
      <w:numPr>
        <w:ilvl w:val="3"/>
      </w:numPr>
      <w:tabs>
        <w:tab w:val="num" w:pos="360"/>
      </w:tabs>
      <w:ind w:right="1360"/>
      <w:outlineLvl w:val="3"/>
    </w:pPr>
  </w:style>
  <w:style w:type="paragraph" w:styleId="5">
    <w:name w:val="heading 5"/>
    <w:basedOn w:val="4"/>
    <w:link w:val="50"/>
    <w:qFormat/>
    <w:rsid w:val="006A415B"/>
    <w:pPr>
      <w:numPr>
        <w:ilvl w:val="4"/>
      </w:numPr>
      <w:tabs>
        <w:tab w:val="num" w:pos="360"/>
      </w:tabs>
      <w:ind w:right="2068"/>
      <w:outlineLvl w:val="4"/>
    </w:pPr>
  </w:style>
  <w:style w:type="paragraph" w:styleId="6">
    <w:name w:val="heading 6"/>
    <w:basedOn w:val="a"/>
    <w:next w:val="a"/>
    <w:link w:val="60"/>
    <w:qFormat/>
    <w:rsid w:val="006A415B"/>
    <w:pPr>
      <w:numPr>
        <w:ilvl w:val="5"/>
        <w:numId w:val="1"/>
      </w:numPr>
      <w:bidi/>
      <w:spacing w:before="240" w:after="60" w:line="360" w:lineRule="auto"/>
      <w:ind w:right="2776"/>
      <w:jc w:val="both"/>
      <w:outlineLvl w:val="5"/>
    </w:pPr>
    <w:rPr>
      <w:rFonts w:ascii="Arial" w:eastAsia="Times New Roman" w:hAnsi="Arial" w:cs="Arial"/>
      <w:i/>
      <w:iCs/>
      <w:szCs w:val="22"/>
      <w:lang w:eastAsia="he-IL"/>
    </w:rPr>
  </w:style>
  <w:style w:type="paragraph" w:styleId="7">
    <w:name w:val="heading 7"/>
    <w:basedOn w:val="a"/>
    <w:next w:val="a"/>
    <w:link w:val="70"/>
    <w:qFormat/>
    <w:rsid w:val="006A415B"/>
    <w:pPr>
      <w:numPr>
        <w:ilvl w:val="6"/>
        <w:numId w:val="1"/>
      </w:numPr>
      <w:bidi/>
      <w:spacing w:before="240" w:after="60" w:line="360" w:lineRule="auto"/>
      <w:ind w:right="3484"/>
      <w:jc w:val="both"/>
      <w:outlineLvl w:val="6"/>
    </w:pPr>
    <w:rPr>
      <w:rFonts w:ascii="Arial" w:eastAsia="Times New Roman" w:hAnsi="Arial" w:cs="Arial"/>
      <w:sz w:val="20"/>
      <w:szCs w:val="20"/>
      <w:lang w:eastAsia="he-IL"/>
    </w:rPr>
  </w:style>
  <w:style w:type="paragraph" w:styleId="8">
    <w:name w:val="heading 8"/>
    <w:basedOn w:val="a"/>
    <w:next w:val="a"/>
    <w:link w:val="80"/>
    <w:qFormat/>
    <w:rsid w:val="006A415B"/>
    <w:pPr>
      <w:numPr>
        <w:ilvl w:val="7"/>
        <w:numId w:val="1"/>
      </w:numPr>
      <w:bidi/>
      <w:spacing w:before="240" w:after="60" w:line="360" w:lineRule="auto"/>
      <w:ind w:right="4192"/>
      <w:jc w:val="both"/>
      <w:outlineLvl w:val="7"/>
    </w:pPr>
    <w:rPr>
      <w:rFonts w:ascii="Arial" w:eastAsia="Times New Roman" w:hAnsi="Arial" w:cs="Arial"/>
      <w:i/>
      <w:iCs/>
      <w:sz w:val="20"/>
      <w:szCs w:val="20"/>
      <w:lang w:eastAsia="he-IL"/>
    </w:rPr>
  </w:style>
  <w:style w:type="paragraph" w:styleId="9">
    <w:name w:val="heading 9"/>
    <w:basedOn w:val="a"/>
    <w:next w:val="a"/>
    <w:link w:val="90"/>
    <w:qFormat/>
    <w:rsid w:val="006A415B"/>
    <w:pPr>
      <w:numPr>
        <w:ilvl w:val="8"/>
        <w:numId w:val="1"/>
      </w:numPr>
      <w:bidi/>
      <w:spacing w:before="240" w:after="60" w:line="360" w:lineRule="auto"/>
      <w:ind w:right="4900"/>
      <w:jc w:val="both"/>
      <w:outlineLvl w:val="8"/>
    </w:pPr>
    <w:rPr>
      <w:rFonts w:ascii="Arial" w:eastAsia="Times New Roman" w:hAnsi="Arial" w:cs="Arial"/>
      <w:i/>
      <w:iCs/>
      <w:sz w:val="18"/>
      <w:szCs w:val="1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DEE"/>
    <w:rPr>
      <w:rFonts w:ascii="Tahoma" w:hAnsi="Tahoma" w:cs="Tahoma"/>
      <w:sz w:val="16"/>
      <w:szCs w:val="16"/>
    </w:rPr>
  </w:style>
  <w:style w:type="character" w:customStyle="1" w:styleId="a4">
    <w:name w:val="טקסט בלונים תו"/>
    <w:basedOn w:val="a0"/>
    <w:link w:val="a3"/>
    <w:uiPriority w:val="99"/>
    <w:semiHidden/>
    <w:rsid w:val="003A2DEE"/>
    <w:rPr>
      <w:rFonts w:ascii="Tahoma" w:hAnsi="Tahoma" w:cs="Tahoma"/>
      <w:sz w:val="16"/>
      <w:szCs w:val="16"/>
    </w:rPr>
  </w:style>
  <w:style w:type="character" w:styleId="a5">
    <w:name w:val="annotation reference"/>
    <w:basedOn w:val="a0"/>
    <w:uiPriority w:val="99"/>
    <w:semiHidden/>
    <w:unhideWhenUsed/>
    <w:rsid w:val="009021F6"/>
    <w:rPr>
      <w:sz w:val="16"/>
      <w:szCs w:val="16"/>
    </w:rPr>
  </w:style>
  <w:style w:type="paragraph" w:styleId="a6">
    <w:name w:val="annotation text"/>
    <w:basedOn w:val="a"/>
    <w:link w:val="a7"/>
    <w:uiPriority w:val="99"/>
    <w:semiHidden/>
    <w:unhideWhenUsed/>
    <w:rsid w:val="009021F6"/>
    <w:rPr>
      <w:sz w:val="20"/>
      <w:szCs w:val="20"/>
    </w:rPr>
  </w:style>
  <w:style w:type="character" w:customStyle="1" w:styleId="a7">
    <w:name w:val="טקסט הערה תו"/>
    <w:basedOn w:val="a0"/>
    <w:link w:val="a6"/>
    <w:uiPriority w:val="99"/>
    <w:semiHidden/>
    <w:rsid w:val="009021F6"/>
    <w:rPr>
      <w:rFonts w:asciiTheme="majorBidi" w:hAnsiTheme="majorBidi"/>
      <w:sz w:val="20"/>
      <w:szCs w:val="20"/>
    </w:rPr>
  </w:style>
  <w:style w:type="paragraph" w:styleId="a8">
    <w:name w:val="annotation subject"/>
    <w:basedOn w:val="a6"/>
    <w:next w:val="a6"/>
    <w:link w:val="a9"/>
    <w:uiPriority w:val="99"/>
    <w:semiHidden/>
    <w:unhideWhenUsed/>
    <w:rsid w:val="009021F6"/>
    <w:rPr>
      <w:b/>
      <w:bCs/>
    </w:rPr>
  </w:style>
  <w:style w:type="character" w:customStyle="1" w:styleId="a9">
    <w:name w:val="נושא הערה תו"/>
    <w:basedOn w:val="a7"/>
    <w:link w:val="a8"/>
    <w:uiPriority w:val="99"/>
    <w:semiHidden/>
    <w:rsid w:val="009021F6"/>
    <w:rPr>
      <w:rFonts w:asciiTheme="majorBidi" w:hAnsiTheme="majorBidi"/>
      <w:b/>
      <w:bCs/>
      <w:sz w:val="20"/>
      <w:szCs w:val="20"/>
    </w:rPr>
  </w:style>
  <w:style w:type="character" w:customStyle="1" w:styleId="10">
    <w:name w:val="כותרת 1 תו"/>
    <w:aliases w:val=" תו תו"/>
    <w:basedOn w:val="a0"/>
    <w:link w:val="1"/>
    <w:rsid w:val="006A415B"/>
    <w:rPr>
      <w:rFonts w:ascii="Times New Roman" w:eastAsia="Times New Roman" w:hAnsi="Times New Roman" w:cs="David"/>
      <w:kern w:val="28"/>
      <w:sz w:val="24"/>
      <w:szCs w:val="24"/>
      <w:lang w:eastAsia="he-IL"/>
    </w:rPr>
  </w:style>
  <w:style w:type="character" w:customStyle="1" w:styleId="20">
    <w:name w:val="כותרת 2 תו"/>
    <w:basedOn w:val="a0"/>
    <w:link w:val="2"/>
    <w:rsid w:val="006A415B"/>
    <w:rPr>
      <w:rFonts w:ascii="Times New Roman" w:eastAsia="Times New Roman" w:hAnsi="Times New Roman" w:cs="David"/>
      <w:kern w:val="28"/>
      <w:sz w:val="24"/>
      <w:szCs w:val="24"/>
      <w:lang w:eastAsia="he-IL"/>
    </w:rPr>
  </w:style>
  <w:style w:type="character" w:customStyle="1" w:styleId="30">
    <w:name w:val="כותרת 3 תו"/>
    <w:basedOn w:val="a0"/>
    <w:link w:val="3"/>
    <w:rsid w:val="006A415B"/>
    <w:rPr>
      <w:rFonts w:ascii="Times New Roman" w:eastAsia="Times New Roman" w:hAnsi="Times New Roman" w:cs="David"/>
      <w:kern w:val="28"/>
      <w:sz w:val="24"/>
      <w:szCs w:val="24"/>
      <w:lang w:eastAsia="he-IL"/>
    </w:rPr>
  </w:style>
  <w:style w:type="character" w:customStyle="1" w:styleId="40">
    <w:name w:val="כותרת 4 תו"/>
    <w:basedOn w:val="a0"/>
    <w:link w:val="4"/>
    <w:rsid w:val="006A415B"/>
    <w:rPr>
      <w:rFonts w:ascii="Times New Roman" w:eastAsia="Times New Roman" w:hAnsi="Times New Roman" w:cs="David"/>
      <w:kern w:val="28"/>
      <w:sz w:val="24"/>
      <w:szCs w:val="24"/>
      <w:lang w:eastAsia="he-IL"/>
    </w:rPr>
  </w:style>
  <w:style w:type="character" w:customStyle="1" w:styleId="50">
    <w:name w:val="כותרת 5 תו"/>
    <w:basedOn w:val="a0"/>
    <w:link w:val="5"/>
    <w:rsid w:val="006A415B"/>
    <w:rPr>
      <w:rFonts w:ascii="Times New Roman" w:eastAsia="Times New Roman" w:hAnsi="Times New Roman" w:cs="David"/>
      <w:kern w:val="28"/>
      <w:sz w:val="24"/>
      <w:szCs w:val="24"/>
      <w:lang w:eastAsia="he-IL"/>
    </w:rPr>
  </w:style>
  <w:style w:type="character" w:customStyle="1" w:styleId="60">
    <w:name w:val="כותרת 6 תו"/>
    <w:basedOn w:val="a0"/>
    <w:link w:val="6"/>
    <w:rsid w:val="006A415B"/>
    <w:rPr>
      <w:rFonts w:ascii="Arial" w:eastAsia="Times New Roman" w:hAnsi="Arial" w:cs="Arial"/>
      <w:i/>
      <w:iCs/>
      <w:sz w:val="24"/>
      <w:lang w:eastAsia="he-IL"/>
    </w:rPr>
  </w:style>
  <w:style w:type="character" w:customStyle="1" w:styleId="70">
    <w:name w:val="כותרת 7 תו"/>
    <w:basedOn w:val="a0"/>
    <w:link w:val="7"/>
    <w:rsid w:val="006A415B"/>
    <w:rPr>
      <w:rFonts w:ascii="Arial" w:eastAsia="Times New Roman" w:hAnsi="Arial" w:cs="Arial"/>
      <w:sz w:val="20"/>
      <w:szCs w:val="20"/>
      <w:lang w:eastAsia="he-IL"/>
    </w:rPr>
  </w:style>
  <w:style w:type="character" w:customStyle="1" w:styleId="80">
    <w:name w:val="כותרת 8 תו"/>
    <w:basedOn w:val="a0"/>
    <w:link w:val="8"/>
    <w:rsid w:val="006A415B"/>
    <w:rPr>
      <w:rFonts w:ascii="Arial" w:eastAsia="Times New Roman" w:hAnsi="Arial" w:cs="Arial"/>
      <w:i/>
      <w:iCs/>
      <w:sz w:val="20"/>
      <w:szCs w:val="20"/>
      <w:lang w:eastAsia="he-IL"/>
    </w:rPr>
  </w:style>
  <w:style w:type="character" w:customStyle="1" w:styleId="90">
    <w:name w:val="כותרת 9 תו"/>
    <w:basedOn w:val="a0"/>
    <w:link w:val="9"/>
    <w:rsid w:val="006A415B"/>
    <w:rPr>
      <w:rFonts w:ascii="Arial" w:eastAsia="Times New Roman" w:hAnsi="Arial" w:cs="Arial"/>
      <w:i/>
      <w:iCs/>
      <w:sz w:val="18"/>
      <w:szCs w:val="18"/>
      <w:lang w:eastAsia="he-IL"/>
    </w:rPr>
  </w:style>
  <w:style w:type="paragraph" w:styleId="aa">
    <w:name w:val="header"/>
    <w:basedOn w:val="a"/>
    <w:link w:val="ab"/>
    <w:rsid w:val="006A415B"/>
    <w:pPr>
      <w:tabs>
        <w:tab w:val="center" w:pos="4153"/>
        <w:tab w:val="right" w:pos="8306"/>
      </w:tabs>
      <w:bidi/>
      <w:spacing w:line="360" w:lineRule="auto"/>
      <w:jc w:val="both"/>
    </w:pPr>
    <w:rPr>
      <w:rFonts w:ascii="Times New Roman" w:eastAsia="Times New Roman" w:hAnsi="Times New Roman" w:cs="David"/>
      <w:lang w:eastAsia="he-IL"/>
    </w:rPr>
  </w:style>
  <w:style w:type="character" w:customStyle="1" w:styleId="ab">
    <w:name w:val="כותרת עליונה תו"/>
    <w:basedOn w:val="a0"/>
    <w:link w:val="aa"/>
    <w:rsid w:val="006A415B"/>
    <w:rPr>
      <w:rFonts w:ascii="Times New Roman" w:eastAsia="Times New Roman" w:hAnsi="Times New Roman" w:cs="David"/>
      <w:sz w:val="24"/>
      <w:szCs w:val="24"/>
      <w:lang w:eastAsia="he-IL"/>
    </w:rPr>
  </w:style>
  <w:style w:type="paragraph" w:styleId="ac">
    <w:name w:val="List Paragraph"/>
    <w:basedOn w:val="a"/>
    <w:uiPriority w:val="34"/>
    <w:qFormat/>
    <w:rsid w:val="006A415B"/>
    <w:pPr>
      <w:bidi/>
      <w:spacing w:line="360" w:lineRule="auto"/>
      <w:ind w:left="720"/>
      <w:contextualSpacing/>
      <w:jc w:val="both"/>
    </w:pPr>
    <w:rPr>
      <w:rFonts w:ascii="Times New Roman" w:eastAsia="Times New Roman" w:hAnsi="Times New Roman" w:cs="David"/>
      <w:lang w:eastAsia="he-IL"/>
    </w:rPr>
  </w:style>
  <w:style w:type="paragraph" w:styleId="ad">
    <w:name w:val="footer"/>
    <w:basedOn w:val="a"/>
    <w:link w:val="ae"/>
    <w:uiPriority w:val="99"/>
    <w:unhideWhenUsed/>
    <w:rsid w:val="006A415B"/>
    <w:pPr>
      <w:tabs>
        <w:tab w:val="center" w:pos="4320"/>
        <w:tab w:val="right" w:pos="8640"/>
      </w:tabs>
    </w:pPr>
  </w:style>
  <w:style w:type="character" w:customStyle="1" w:styleId="ae">
    <w:name w:val="כותרת תחתונה תו"/>
    <w:basedOn w:val="a0"/>
    <w:link w:val="ad"/>
    <w:uiPriority w:val="99"/>
    <w:rsid w:val="006A415B"/>
    <w:rPr>
      <w:rFonts w:asciiTheme="majorBidi" w:hAnsiTheme="majorBidi"/>
      <w:sz w:val="24"/>
      <w:szCs w:val="24"/>
    </w:rPr>
  </w:style>
  <w:style w:type="paragraph" w:customStyle="1" w:styleId="regpar">
    <w:name w:val="regpar"/>
    <w:basedOn w:val="a"/>
    <w:rsid w:val="006A415B"/>
    <w:pPr>
      <w:spacing w:line="300" w:lineRule="exact"/>
      <w:ind w:firstLine="240"/>
      <w:jc w:val="both"/>
    </w:pPr>
    <w:rPr>
      <w:rFonts w:ascii="Times" w:eastAsia="Times New Roman" w:hAnsi="Times" w:cs="Times"/>
    </w:rPr>
  </w:style>
  <w:style w:type="paragraph" w:styleId="af">
    <w:name w:val="Revision"/>
    <w:hidden/>
    <w:uiPriority w:val="99"/>
    <w:semiHidden/>
    <w:rsid w:val="002530C3"/>
    <w:pPr>
      <w:spacing w:after="0" w:line="240" w:lineRule="auto"/>
    </w:pPr>
    <w:rPr>
      <w:rFonts w:asciiTheme="majorBidi" w:hAnsiTheme="majorBidi"/>
      <w:sz w:val="24"/>
      <w:szCs w:val="24"/>
    </w:rPr>
  </w:style>
  <w:style w:type="paragraph" w:styleId="af0">
    <w:name w:val="footnote text"/>
    <w:basedOn w:val="a"/>
    <w:link w:val="af1"/>
    <w:uiPriority w:val="99"/>
    <w:semiHidden/>
    <w:unhideWhenUsed/>
    <w:rsid w:val="00701421"/>
    <w:rPr>
      <w:sz w:val="20"/>
      <w:szCs w:val="20"/>
    </w:rPr>
  </w:style>
  <w:style w:type="character" w:customStyle="1" w:styleId="af1">
    <w:name w:val="טקסט הערת שוליים תו"/>
    <w:basedOn w:val="a0"/>
    <w:link w:val="af0"/>
    <w:uiPriority w:val="99"/>
    <w:semiHidden/>
    <w:rsid w:val="00701421"/>
    <w:rPr>
      <w:rFonts w:asciiTheme="majorBidi" w:hAnsiTheme="majorBidi"/>
      <w:sz w:val="20"/>
      <w:szCs w:val="20"/>
    </w:rPr>
  </w:style>
  <w:style w:type="character" w:styleId="af2">
    <w:name w:val="footnote reference"/>
    <w:basedOn w:val="a0"/>
    <w:uiPriority w:val="99"/>
    <w:semiHidden/>
    <w:unhideWhenUsed/>
    <w:rsid w:val="00701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40218F-0D5C-4F05-81D6-0879FC96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2244</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BOI</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יהודה פאש</dc:creator>
  <cp:lastModifiedBy>לירון דהן</cp:lastModifiedBy>
  <cp:revision>3</cp:revision>
  <cp:lastPrinted>2020-01-09T11:09:00Z</cp:lastPrinted>
  <dcterms:created xsi:type="dcterms:W3CDTF">2024-07-08T11:52:00Z</dcterms:created>
  <dcterms:modified xsi:type="dcterms:W3CDTF">2024-07-08T11:55:00Z</dcterms:modified>
</cp:coreProperties>
</file>