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charts/style2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62"/>
        <w:bidiVisual/>
        <w:tblW w:w="8645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216"/>
        <w:gridCol w:w="3544"/>
        <w:gridCol w:w="2885"/>
      </w:tblGrid>
      <w:tr w:rsidR="00A81C9D" w:rsidRPr="00DB1CBC" w14:paraId="6A65E706" w14:textId="77777777" w:rsidTr="008808DF">
        <w:trPr>
          <w:trHeight w:val="185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E21A" w14:textId="77777777" w:rsidR="00A81C9D" w:rsidRPr="00520BB4" w:rsidRDefault="00A81C9D" w:rsidP="00A81C9D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7593B9E3" w14:textId="77777777" w:rsidR="00A81C9D" w:rsidRDefault="00A81C9D" w:rsidP="008808DF">
            <w:pPr>
              <w:spacing w:after="0"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4F2D61" w14:textId="77777777" w:rsidR="00A81C9D" w:rsidRDefault="00A81C9D" w:rsidP="00A81C9D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12CA8CD" wp14:editId="62E6E599">
                  <wp:simplePos x="0" y="0"/>
                  <wp:positionH relativeFrom="column">
                    <wp:posOffset>252094</wp:posOffset>
                  </wp:positionH>
                  <wp:positionV relativeFrom="paragraph">
                    <wp:posOffset>335915</wp:posOffset>
                  </wp:positionV>
                  <wp:extent cx="981075" cy="914400"/>
                  <wp:effectExtent l="0" t="0" r="0" b="0"/>
                  <wp:wrapNone/>
                  <wp:docPr id="3" name="תמונה 3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CBC13" w14:textId="77777777" w:rsidR="00A81C9D" w:rsidRDefault="00A81C9D" w:rsidP="00A81C9D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</w:p>
          <w:p w14:paraId="41181CF0" w14:textId="4367AD3F" w:rsidR="00A81C9D" w:rsidRPr="00B20A2F" w:rsidRDefault="00A81C9D" w:rsidP="00E8692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E8692C">
              <w:rPr>
                <w:rFonts w:cs="David" w:hint="cs"/>
                <w:sz w:val="24"/>
                <w:szCs w:val="24"/>
                <w:rtl/>
              </w:rPr>
              <w:t>ט"ז סיוון, תשפ"ב</w:t>
            </w:r>
          </w:p>
          <w:p w14:paraId="551AFC93" w14:textId="35C31AE7" w:rsidR="00A81C9D" w:rsidRDefault="00A81C9D" w:rsidP="00E8692C">
            <w:pPr>
              <w:spacing w:after="0"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E8692C">
              <w:rPr>
                <w:rFonts w:cs="David" w:hint="cs"/>
                <w:sz w:val="24"/>
                <w:szCs w:val="24"/>
                <w:rtl/>
              </w:rPr>
              <w:t>15 יוני 2022</w:t>
            </w:r>
          </w:p>
          <w:p w14:paraId="075887FF" w14:textId="77777777" w:rsidR="00A81C9D" w:rsidRPr="00DF107C" w:rsidRDefault="00A81C9D" w:rsidP="00A81C9D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14:paraId="625CC385" w14:textId="77777777" w:rsidR="00A81C9D" w:rsidRPr="008808DF" w:rsidRDefault="00A81C9D" w:rsidP="00A81C9D">
      <w:pPr>
        <w:spacing w:line="360" w:lineRule="auto"/>
        <w:ind w:right="-101"/>
        <w:rPr>
          <w:rFonts w:cs="David"/>
          <w:b/>
          <w:bCs/>
          <w:sz w:val="28"/>
          <w:szCs w:val="28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14:paraId="1BC5A634" w14:textId="77777777" w:rsidR="00A81C9D" w:rsidRPr="00A81C9D" w:rsidRDefault="00505B57" w:rsidP="00E43D07">
      <w:pPr>
        <w:spacing w:after="0" w:line="360" w:lineRule="auto"/>
        <w:jc w:val="center"/>
        <w:rPr>
          <w:rFonts w:cs="David"/>
          <w:sz w:val="24"/>
          <w:szCs w:val="24"/>
          <w:rtl/>
        </w:rPr>
      </w:pPr>
      <w:r w:rsidRPr="008808DF">
        <w:rPr>
          <w:rFonts w:cs="David" w:hint="cs"/>
          <w:b/>
          <w:bCs/>
          <w:sz w:val="28"/>
          <w:szCs w:val="28"/>
          <w:rtl/>
        </w:rPr>
        <w:t>מחקר חדש</w:t>
      </w:r>
    </w:p>
    <w:p w14:paraId="60193EB7" w14:textId="77777777" w:rsidR="00E468C3" w:rsidRPr="00DE224F" w:rsidRDefault="00E468C3" w:rsidP="00E468C3">
      <w:pPr>
        <w:pStyle w:val="1"/>
        <w:spacing w:before="240" w:line="240" w:lineRule="auto"/>
        <w:jc w:val="center"/>
        <w:rPr>
          <w:rFonts w:ascii="David" w:eastAsiaTheme="minorHAnsi" w:hAnsi="David" w:cs="David"/>
          <w:color w:val="auto"/>
          <w:sz w:val="32"/>
          <w:szCs w:val="32"/>
          <w:rtl/>
        </w:rPr>
      </w:pPr>
      <w:r w:rsidRPr="00DE224F">
        <w:rPr>
          <w:rFonts w:ascii="David" w:eastAsiaTheme="minorHAnsi" w:hAnsi="David" w:cs="David"/>
          <w:color w:val="auto"/>
          <w:sz w:val="32"/>
          <w:szCs w:val="32"/>
          <w:rtl/>
        </w:rPr>
        <w:t xml:space="preserve">ההשפעה ההטרוגנית של שער החליפין על החברות </w:t>
      </w:r>
    </w:p>
    <w:p w14:paraId="0885C70D" w14:textId="4387D829" w:rsidR="00C44C36" w:rsidRPr="00A81C9D" w:rsidRDefault="00E468C3" w:rsidP="00E468C3">
      <w:pPr>
        <w:spacing w:after="0" w:line="360" w:lineRule="auto"/>
        <w:jc w:val="center"/>
        <w:rPr>
          <w:rFonts w:cs="David"/>
          <w:sz w:val="24"/>
          <w:szCs w:val="24"/>
          <w:rtl/>
        </w:rPr>
      </w:pPr>
      <w:r w:rsidRPr="00DE224F">
        <w:rPr>
          <w:rFonts w:ascii="David" w:hAnsi="David" w:cs="David"/>
          <w:b/>
          <w:bCs/>
          <w:sz w:val="32"/>
          <w:szCs w:val="32"/>
          <w:rtl/>
        </w:rPr>
        <w:t>בענפי התעשייה</w:t>
      </w:r>
      <w:r w:rsidRPr="00DE224F">
        <w:rPr>
          <w:rFonts w:ascii="David" w:hAnsi="David" w:cs="David"/>
          <w:sz w:val="32"/>
          <w:szCs w:val="32"/>
          <w:rtl/>
        </w:rPr>
        <w:t xml:space="preserve"> </w:t>
      </w:r>
      <w:r w:rsidR="0072454D" w:rsidRPr="00FB039A">
        <w:rPr>
          <w:rFonts w:cs="David" w:hint="eastAsia"/>
          <w:b/>
          <w:bCs/>
          <w:sz w:val="32"/>
          <w:szCs w:val="32"/>
          <w:rtl/>
        </w:rPr>
        <w:t>בישראל</w:t>
      </w:r>
    </w:p>
    <w:p w14:paraId="5A93E766" w14:textId="34B7E04A" w:rsidR="00C15E49" w:rsidRDefault="006E070E" w:rsidP="007D47E3">
      <w:pPr>
        <w:pStyle w:val="a3"/>
        <w:numPr>
          <w:ilvl w:val="0"/>
          <w:numId w:val="5"/>
        </w:numPr>
        <w:tabs>
          <w:tab w:val="clear" w:pos="720"/>
        </w:tabs>
        <w:spacing w:before="120" w:after="120" w:line="360" w:lineRule="auto"/>
        <w:ind w:left="509" w:hanging="425"/>
        <w:jc w:val="both"/>
        <w:rPr>
          <w:rFonts w:cs="David"/>
          <w:sz w:val="24"/>
          <w:szCs w:val="24"/>
        </w:rPr>
      </w:pPr>
      <w:r w:rsidRPr="00C15E49">
        <w:rPr>
          <w:rFonts w:cs="David" w:hint="cs"/>
          <w:b/>
          <w:bCs/>
          <w:sz w:val="24"/>
          <w:szCs w:val="24"/>
          <w:rtl/>
        </w:rPr>
        <w:t>הה</w:t>
      </w:r>
      <w:r w:rsidR="00805728">
        <w:rPr>
          <w:rFonts w:cs="David" w:hint="cs"/>
          <w:b/>
          <w:bCs/>
          <w:sz w:val="24"/>
          <w:szCs w:val="24"/>
          <w:rtl/>
        </w:rPr>
        <w:t>שפעה</w:t>
      </w:r>
      <w:r w:rsidRPr="00C15E49">
        <w:rPr>
          <w:rFonts w:cs="David" w:hint="cs"/>
          <w:b/>
          <w:bCs/>
          <w:sz w:val="24"/>
          <w:szCs w:val="24"/>
          <w:rtl/>
        </w:rPr>
        <w:t xml:space="preserve"> של </w:t>
      </w:r>
      <w:r w:rsidR="00A07586" w:rsidRPr="00C15E49">
        <w:rPr>
          <w:rFonts w:cs="David" w:hint="cs"/>
          <w:b/>
          <w:bCs/>
          <w:sz w:val="24"/>
          <w:szCs w:val="24"/>
          <w:rtl/>
        </w:rPr>
        <w:t>תנודות ב</w:t>
      </w:r>
      <w:r w:rsidR="0078792D" w:rsidRPr="00C15E49">
        <w:rPr>
          <w:rFonts w:cs="David" w:hint="cs"/>
          <w:b/>
          <w:bCs/>
          <w:sz w:val="24"/>
          <w:szCs w:val="24"/>
          <w:rtl/>
        </w:rPr>
        <w:t>שע</w:t>
      </w:r>
      <w:r w:rsidR="00DE224F">
        <w:rPr>
          <w:rFonts w:cs="David" w:hint="cs"/>
          <w:b/>
          <w:bCs/>
          <w:sz w:val="24"/>
          <w:szCs w:val="24"/>
          <w:rtl/>
        </w:rPr>
        <w:t>ר ה</w:t>
      </w:r>
      <w:r w:rsidR="0078792D" w:rsidRPr="00C15E49">
        <w:rPr>
          <w:rFonts w:cs="David" w:hint="cs"/>
          <w:b/>
          <w:bCs/>
          <w:sz w:val="24"/>
          <w:szCs w:val="24"/>
          <w:rtl/>
        </w:rPr>
        <w:t>ח</w:t>
      </w:r>
      <w:r w:rsidR="00DE224F">
        <w:rPr>
          <w:rFonts w:cs="David" w:hint="cs"/>
          <w:b/>
          <w:bCs/>
          <w:sz w:val="24"/>
          <w:szCs w:val="24"/>
          <w:rtl/>
        </w:rPr>
        <w:t>ליפין</w:t>
      </w:r>
      <w:r w:rsidR="0078792D" w:rsidRPr="00C15E49">
        <w:rPr>
          <w:rFonts w:cs="David" w:hint="cs"/>
          <w:b/>
          <w:bCs/>
          <w:sz w:val="24"/>
          <w:szCs w:val="24"/>
          <w:rtl/>
        </w:rPr>
        <w:t xml:space="preserve"> </w:t>
      </w:r>
      <w:r w:rsidR="00A07586" w:rsidRPr="00C15E49">
        <w:rPr>
          <w:rFonts w:cs="David" w:hint="cs"/>
          <w:b/>
          <w:bCs/>
          <w:sz w:val="24"/>
          <w:szCs w:val="24"/>
          <w:rtl/>
        </w:rPr>
        <w:t xml:space="preserve">הריאלי </w:t>
      </w:r>
      <w:r w:rsidR="0078792D" w:rsidRPr="00C15E49">
        <w:rPr>
          <w:rFonts w:cs="David" w:hint="cs"/>
          <w:b/>
          <w:bCs/>
          <w:sz w:val="24"/>
          <w:szCs w:val="24"/>
          <w:rtl/>
        </w:rPr>
        <w:t xml:space="preserve">על </w:t>
      </w:r>
      <w:r w:rsidR="00C15E49">
        <w:rPr>
          <w:rFonts w:cs="David" w:hint="cs"/>
          <w:b/>
          <w:bCs/>
          <w:sz w:val="24"/>
          <w:szCs w:val="24"/>
          <w:rtl/>
        </w:rPr>
        <w:t xml:space="preserve">סך </w:t>
      </w:r>
      <w:r w:rsidR="0078792D" w:rsidRPr="00C15E49">
        <w:rPr>
          <w:rFonts w:cs="David" w:hint="cs"/>
          <w:b/>
          <w:bCs/>
          <w:sz w:val="24"/>
          <w:szCs w:val="24"/>
          <w:rtl/>
        </w:rPr>
        <w:t>היצוא</w:t>
      </w:r>
      <w:r w:rsidR="0042174B" w:rsidRPr="00C15E49">
        <w:rPr>
          <w:rFonts w:cs="David" w:hint="cs"/>
          <w:b/>
          <w:bCs/>
          <w:sz w:val="24"/>
          <w:szCs w:val="24"/>
          <w:rtl/>
        </w:rPr>
        <w:t xml:space="preserve"> התעשייתי</w:t>
      </w:r>
      <w:r w:rsidR="00BC3C13">
        <w:rPr>
          <w:rFonts w:cs="David" w:hint="cs"/>
          <w:b/>
          <w:bCs/>
          <w:sz w:val="24"/>
          <w:szCs w:val="24"/>
          <w:rtl/>
        </w:rPr>
        <w:t xml:space="preserve"> </w:t>
      </w:r>
      <w:r w:rsidR="0042174B" w:rsidRPr="00C15E49">
        <w:rPr>
          <w:rFonts w:cs="David" w:hint="cs"/>
          <w:b/>
          <w:bCs/>
          <w:sz w:val="24"/>
          <w:szCs w:val="24"/>
          <w:rtl/>
        </w:rPr>
        <w:t>קטנ</w:t>
      </w:r>
      <w:r w:rsidR="00805728">
        <w:rPr>
          <w:rFonts w:cs="David" w:hint="cs"/>
          <w:b/>
          <w:bCs/>
          <w:sz w:val="24"/>
          <w:szCs w:val="24"/>
          <w:rtl/>
        </w:rPr>
        <w:t>ה</w:t>
      </w:r>
      <w:r w:rsidR="00C41B0A">
        <w:rPr>
          <w:rFonts w:cs="David" w:hint="cs"/>
          <w:b/>
          <w:bCs/>
          <w:sz w:val="24"/>
          <w:szCs w:val="24"/>
          <w:rtl/>
        </w:rPr>
        <w:t xml:space="preserve"> ואינה שונה מאפס באופן מובהק</w:t>
      </w:r>
      <w:r w:rsidR="0042174B">
        <w:rPr>
          <w:rFonts w:cs="David" w:hint="cs"/>
          <w:sz w:val="24"/>
          <w:szCs w:val="24"/>
          <w:rtl/>
        </w:rPr>
        <w:t>, לפחות בטווח הקצר. הסיבה לכך נובעת מ</w:t>
      </w:r>
      <w:r w:rsidR="00DE224F">
        <w:rPr>
          <w:rFonts w:cs="David" w:hint="cs"/>
          <w:sz w:val="24"/>
          <w:szCs w:val="24"/>
          <w:rtl/>
        </w:rPr>
        <w:t>ה</w:t>
      </w:r>
      <w:r w:rsidR="0042174B">
        <w:rPr>
          <w:rFonts w:cs="David" w:hint="cs"/>
          <w:sz w:val="24"/>
          <w:szCs w:val="24"/>
          <w:rtl/>
        </w:rPr>
        <w:t xml:space="preserve">השפעה </w:t>
      </w:r>
      <w:r w:rsidR="00DE224F">
        <w:rPr>
          <w:rFonts w:cs="David" w:hint="cs"/>
          <w:sz w:val="24"/>
          <w:szCs w:val="24"/>
          <w:rtl/>
        </w:rPr>
        <w:t>ה</w:t>
      </w:r>
      <w:r w:rsidR="0042174B">
        <w:rPr>
          <w:rFonts w:cs="David" w:hint="cs"/>
          <w:sz w:val="24"/>
          <w:szCs w:val="24"/>
          <w:rtl/>
        </w:rPr>
        <w:t>נמוכה של</w:t>
      </w:r>
      <w:r w:rsidR="00F73E94">
        <w:rPr>
          <w:rFonts w:cs="David" w:hint="cs"/>
          <w:sz w:val="24"/>
          <w:szCs w:val="24"/>
          <w:rtl/>
        </w:rPr>
        <w:t xml:space="preserve"> תנודות</w:t>
      </w:r>
      <w:r w:rsidR="0042174B">
        <w:rPr>
          <w:rFonts w:cs="David" w:hint="cs"/>
          <w:sz w:val="24"/>
          <w:szCs w:val="24"/>
          <w:rtl/>
        </w:rPr>
        <w:t xml:space="preserve"> שע</w:t>
      </w:r>
      <w:r w:rsidR="00DE224F">
        <w:rPr>
          <w:rFonts w:cs="David" w:hint="cs"/>
          <w:sz w:val="24"/>
          <w:szCs w:val="24"/>
          <w:rtl/>
        </w:rPr>
        <w:t>ר ה</w:t>
      </w:r>
      <w:r w:rsidR="0042174B">
        <w:rPr>
          <w:rFonts w:cs="David" w:hint="cs"/>
          <w:sz w:val="24"/>
          <w:szCs w:val="24"/>
          <w:rtl/>
        </w:rPr>
        <w:t>ח</w:t>
      </w:r>
      <w:r w:rsidR="00DE224F">
        <w:rPr>
          <w:rFonts w:cs="David" w:hint="cs"/>
          <w:sz w:val="24"/>
          <w:szCs w:val="24"/>
          <w:rtl/>
        </w:rPr>
        <w:t>ליפין</w:t>
      </w:r>
      <w:r w:rsidR="0042174B">
        <w:rPr>
          <w:rFonts w:cs="David" w:hint="cs"/>
          <w:sz w:val="24"/>
          <w:szCs w:val="24"/>
          <w:rtl/>
        </w:rPr>
        <w:t xml:space="preserve"> על היצוא של </w:t>
      </w:r>
      <w:r w:rsidR="0042174B" w:rsidRPr="008043F5">
        <w:rPr>
          <w:rFonts w:cs="David" w:hint="cs"/>
          <w:sz w:val="24"/>
          <w:szCs w:val="24"/>
          <w:rtl/>
        </w:rPr>
        <w:t>חברות גדולות המתאפיינות בפריון גבוה</w:t>
      </w:r>
      <w:r w:rsidR="00C15E49">
        <w:rPr>
          <w:rFonts w:cs="David" w:hint="cs"/>
          <w:sz w:val="24"/>
          <w:szCs w:val="24"/>
          <w:rtl/>
        </w:rPr>
        <w:t>,</w:t>
      </w:r>
      <w:r w:rsidR="0042174B">
        <w:rPr>
          <w:rFonts w:cs="David" w:hint="cs"/>
          <w:sz w:val="24"/>
          <w:szCs w:val="24"/>
          <w:rtl/>
        </w:rPr>
        <w:t xml:space="preserve"> </w:t>
      </w:r>
      <w:r w:rsidR="00491EBA">
        <w:rPr>
          <w:rFonts w:cs="David" w:hint="cs"/>
          <w:sz w:val="24"/>
          <w:szCs w:val="24"/>
          <w:rtl/>
        </w:rPr>
        <w:t xml:space="preserve">וכן משום </w:t>
      </w:r>
      <w:r w:rsidR="00911028">
        <w:rPr>
          <w:rFonts w:cs="David" w:hint="cs"/>
          <w:sz w:val="24"/>
          <w:szCs w:val="24"/>
          <w:rtl/>
        </w:rPr>
        <w:t>ש</w:t>
      </w:r>
      <w:r w:rsidR="00C15E49">
        <w:rPr>
          <w:rFonts w:cs="David" w:hint="cs"/>
          <w:sz w:val="24"/>
          <w:szCs w:val="24"/>
          <w:rtl/>
        </w:rPr>
        <w:t xml:space="preserve">היצוא התעשייתי </w:t>
      </w:r>
      <w:r w:rsidR="00BC3C13">
        <w:rPr>
          <w:rFonts w:cs="David" w:hint="cs"/>
          <w:sz w:val="24"/>
          <w:szCs w:val="24"/>
          <w:rtl/>
        </w:rPr>
        <w:t xml:space="preserve">בישראל </w:t>
      </w:r>
      <w:r w:rsidR="00911028">
        <w:rPr>
          <w:rFonts w:cs="David" w:hint="cs"/>
          <w:sz w:val="24"/>
          <w:szCs w:val="24"/>
          <w:rtl/>
        </w:rPr>
        <w:t xml:space="preserve">מרוכז </w:t>
      </w:r>
      <w:r w:rsidR="00091714">
        <w:rPr>
          <w:rFonts w:cs="David" w:hint="cs"/>
          <w:sz w:val="24"/>
          <w:szCs w:val="24"/>
          <w:rtl/>
        </w:rPr>
        <w:t xml:space="preserve">ברובו </w:t>
      </w:r>
      <w:r w:rsidR="00C15E49">
        <w:rPr>
          <w:rFonts w:cs="David" w:hint="cs"/>
          <w:sz w:val="24"/>
          <w:szCs w:val="24"/>
          <w:rtl/>
        </w:rPr>
        <w:t>בקבוצה מצומצמ</w:t>
      </w:r>
      <w:r w:rsidR="00C15E49">
        <w:rPr>
          <w:rFonts w:cs="David" w:hint="eastAsia"/>
          <w:sz w:val="24"/>
          <w:szCs w:val="24"/>
          <w:rtl/>
        </w:rPr>
        <w:t>ת</w:t>
      </w:r>
      <w:r w:rsidR="00C15E49">
        <w:rPr>
          <w:rFonts w:cs="David" w:hint="cs"/>
          <w:sz w:val="24"/>
          <w:szCs w:val="24"/>
          <w:rtl/>
        </w:rPr>
        <w:t xml:space="preserve"> של חברות אלו.</w:t>
      </w:r>
    </w:p>
    <w:p w14:paraId="61464F54" w14:textId="7B3FD4DF" w:rsidR="00B60CE6" w:rsidRPr="000F63CF" w:rsidRDefault="00B60CE6" w:rsidP="00D7223E">
      <w:pPr>
        <w:pStyle w:val="a3"/>
        <w:numPr>
          <w:ilvl w:val="0"/>
          <w:numId w:val="5"/>
        </w:numPr>
        <w:tabs>
          <w:tab w:val="clear" w:pos="720"/>
        </w:tabs>
        <w:spacing w:before="120" w:after="120" w:line="360" w:lineRule="auto"/>
        <w:ind w:left="509" w:hanging="425"/>
        <w:jc w:val="both"/>
        <w:rPr>
          <w:rFonts w:cs="David"/>
          <w:sz w:val="24"/>
          <w:szCs w:val="24"/>
        </w:rPr>
      </w:pPr>
      <w:r w:rsidRPr="000F63CF">
        <w:rPr>
          <w:rFonts w:cs="David" w:hint="cs"/>
          <w:b/>
          <w:bCs/>
          <w:sz w:val="24"/>
          <w:szCs w:val="24"/>
          <w:rtl/>
        </w:rPr>
        <w:t xml:space="preserve">לצד זאת, שע"ח משפיע באופן משמעותי על חברות </w:t>
      </w:r>
      <w:r w:rsidRPr="00A44F20">
        <w:rPr>
          <w:rFonts w:cs="David" w:hint="eastAsia"/>
          <w:b/>
          <w:bCs/>
          <w:sz w:val="24"/>
          <w:szCs w:val="24"/>
          <w:rtl/>
        </w:rPr>
        <w:t>קטנות</w:t>
      </w:r>
      <w:r w:rsidRPr="00A44F20">
        <w:rPr>
          <w:rFonts w:cs="David"/>
          <w:b/>
          <w:bCs/>
          <w:sz w:val="24"/>
          <w:szCs w:val="24"/>
          <w:rtl/>
        </w:rPr>
        <w:t xml:space="preserve"> המתאפיינות בפריון נמוך. </w:t>
      </w:r>
      <w:r w:rsidRPr="000F63CF">
        <w:rPr>
          <w:rFonts w:cs="David" w:hint="cs"/>
          <w:sz w:val="24"/>
          <w:szCs w:val="24"/>
          <w:rtl/>
        </w:rPr>
        <w:t>עבור חברות אלו י</w:t>
      </w:r>
      <w:r w:rsidR="000F63CF" w:rsidRPr="000F63CF">
        <w:rPr>
          <w:rFonts w:cs="David" w:hint="cs"/>
          <w:sz w:val="24"/>
          <w:szCs w:val="24"/>
          <w:rtl/>
        </w:rPr>
        <w:t>י</w:t>
      </w:r>
      <w:r w:rsidRPr="000F63CF">
        <w:rPr>
          <w:rFonts w:cs="David" w:hint="cs"/>
          <w:sz w:val="24"/>
          <w:szCs w:val="24"/>
          <w:rtl/>
        </w:rPr>
        <w:t xml:space="preserve">סוף ריאלי של אחוז צפוי להוביל לירידה </w:t>
      </w:r>
      <w:r w:rsidR="00D7223E">
        <w:rPr>
          <w:rFonts w:cs="David" w:hint="cs"/>
          <w:sz w:val="24"/>
          <w:szCs w:val="24"/>
          <w:rtl/>
        </w:rPr>
        <w:t xml:space="preserve">ממוצעת </w:t>
      </w:r>
      <w:r w:rsidRPr="000F63CF">
        <w:rPr>
          <w:rFonts w:cs="David" w:hint="cs"/>
          <w:sz w:val="24"/>
          <w:szCs w:val="24"/>
          <w:rtl/>
        </w:rPr>
        <w:t xml:space="preserve">של 1.6-2 אחוזים ביצוא. </w:t>
      </w:r>
    </w:p>
    <w:p w14:paraId="0A6A1BC6" w14:textId="17C2AC32" w:rsidR="00FA5FF3" w:rsidRPr="00494812" w:rsidRDefault="00C15E49" w:rsidP="007D47E3">
      <w:pPr>
        <w:pStyle w:val="a3"/>
        <w:numPr>
          <w:ilvl w:val="0"/>
          <w:numId w:val="5"/>
        </w:numPr>
        <w:tabs>
          <w:tab w:val="clear" w:pos="720"/>
        </w:tabs>
        <w:spacing w:before="120" w:after="120" w:line="360" w:lineRule="auto"/>
        <w:ind w:left="509" w:hanging="425"/>
        <w:jc w:val="both"/>
        <w:rPr>
          <w:rFonts w:cs="David"/>
          <w:sz w:val="24"/>
          <w:szCs w:val="24"/>
        </w:rPr>
      </w:pPr>
      <w:r w:rsidRPr="00494812">
        <w:rPr>
          <w:rFonts w:cs="David" w:hint="eastAsia"/>
          <w:sz w:val="24"/>
          <w:szCs w:val="24"/>
          <w:rtl/>
        </w:rPr>
        <w:t>שע</w:t>
      </w:r>
      <w:r w:rsidR="00DE224F" w:rsidRPr="00494812">
        <w:rPr>
          <w:rFonts w:cs="David" w:hint="eastAsia"/>
          <w:sz w:val="24"/>
          <w:szCs w:val="24"/>
          <w:rtl/>
        </w:rPr>
        <w:t>ר</w:t>
      </w:r>
      <w:r w:rsidR="00DE224F" w:rsidRPr="00494812">
        <w:rPr>
          <w:rFonts w:cs="David"/>
          <w:sz w:val="24"/>
          <w:szCs w:val="24"/>
          <w:rtl/>
        </w:rPr>
        <w:t xml:space="preserve"> </w:t>
      </w:r>
      <w:r w:rsidR="00DE224F" w:rsidRPr="00494812">
        <w:rPr>
          <w:rFonts w:cs="David" w:hint="eastAsia"/>
          <w:sz w:val="24"/>
          <w:szCs w:val="24"/>
          <w:rtl/>
        </w:rPr>
        <w:t>ה</w:t>
      </w:r>
      <w:r w:rsidRPr="00494812">
        <w:rPr>
          <w:rFonts w:cs="David" w:hint="eastAsia"/>
          <w:sz w:val="24"/>
          <w:szCs w:val="24"/>
          <w:rtl/>
        </w:rPr>
        <w:t>ח</w:t>
      </w:r>
      <w:r w:rsidR="00DE224F" w:rsidRPr="00494812">
        <w:rPr>
          <w:rFonts w:cs="David" w:hint="eastAsia"/>
          <w:sz w:val="24"/>
          <w:szCs w:val="24"/>
          <w:rtl/>
        </w:rPr>
        <w:t>ליפין</w:t>
      </w:r>
      <w:r w:rsidRPr="00494812">
        <w:rPr>
          <w:rFonts w:cs="David"/>
          <w:sz w:val="24"/>
          <w:szCs w:val="24"/>
          <w:rtl/>
        </w:rPr>
        <w:t xml:space="preserve"> </w:t>
      </w:r>
      <w:r w:rsidR="00F65D1C" w:rsidRPr="00494812">
        <w:rPr>
          <w:rFonts w:cs="David" w:hint="eastAsia"/>
          <w:sz w:val="24"/>
          <w:szCs w:val="24"/>
          <w:rtl/>
        </w:rPr>
        <w:t>הריאלי</w:t>
      </w:r>
      <w:r w:rsidR="00F65D1C" w:rsidRPr="00494812">
        <w:rPr>
          <w:rFonts w:cs="David"/>
          <w:sz w:val="24"/>
          <w:szCs w:val="24"/>
          <w:rtl/>
        </w:rPr>
        <w:t xml:space="preserve"> </w:t>
      </w:r>
      <w:r w:rsidRPr="00494812">
        <w:rPr>
          <w:rFonts w:cs="David" w:hint="eastAsia"/>
          <w:sz w:val="24"/>
          <w:szCs w:val="24"/>
          <w:rtl/>
        </w:rPr>
        <w:t>משפיע</w:t>
      </w:r>
      <w:r w:rsidRPr="00494812">
        <w:rPr>
          <w:rFonts w:cs="David"/>
          <w:sz w:val="24"/>
          <w:szCs w:val="24"/>
          <w:rtl/>
        </w:rPr>
        <w:t xml:space="preserve"> </w:t>
      </w:r>
      <w:r w:rsidR="000F63CF" w:rsidRPr="00494812">
        <w:rPr>
          <w:rFonts w:cs="David" w:hint="cs"/>
          <w:sz w:val="24"/>
          <w:szCs w:val="24"/>
          <w:rtl/>
        </w:rPr>
        <w:t xml:space="preserve">גם </w:t>
      </w:r>
      <w:r w:rsidRPr="00494812">
        <w:rPr>
          <w:rFonts w:cs="David" w:hint="eastAsia"/>
          <w:sz w:val="24"/>
          <w:szCs w:val="24"/>
          <w:rtl/>
        </w:rPr>
        <w:t>על</w:t>
      </w:r>
      <w:r w:rsidRPr="00494812">
        <w:rPr>
          <w:rFonts w:cs="David"/>
          <w:sz w:val="24"/>
          <w:szCs w:val="24"/>
          <w:rtl/>
        </w:rPr>
        <w:t xml:space="preserve"> </w:t>
      </w:r>
      <w:r w:rsidRPr="00494812">
        <w:rPr>
          <w:rFonts w:cs="David" w:hint="eastAsia"/>
          <w:sz w:val="24"/>
          <w:szCs w:val="24"/>
          <w:rtl/>
        </w:rPr>
        <w:t>היקף</w:t>
      </w:r>
      <w:r w:rsidRPr="00494812">
        <w:rPr>
          <w:rFonts w:cs="David"/>
          <w:sz w:val="24"/>
          <w:szCs w:val="24"/>
          <w:rtl/>
        </w:rPr>
        <w:t xml:space="preserve"> </w:t>
      </w:r>
      <w:r w:rsidRPr="00494812">
        <w:rPr>
          <w:rFonts w:cs="David" w:hint="eastAsia"/>
          <w:sz w:val="24"/>
          <w:szCs w:val="24"/>
          <w:rtl/>
        </w:rPr>
        <w:t>ה</w:t>
      </w:r>
      <w:r w:rsidR="0078792D" w:rsidRPr="00494812">
        <w:rPr>
          <w:rFonts w:cs="David"/>
          <w:sz w:val="24"/>
          <w:szCs w:val="24"/>
          <w:rtl/>
        </w:rPr>
        <w:t xml:space="preserve">מכירות המקומיות </w:t>
      </w:r>
      <w:r w:rsidR="00FA5FF3" w:rsidRPr="00494812">
        <w:rPr>
          <w:rFonts w:cs="David" w:hint="cs"/>
          <w:sz w:val="24"/>
          <w:szCs w:val="24"/>
          <w:rtl/>
        </w:rPr>
        <w:t xml:space="preserve">של חברות תעשייה החשופות ליבוא מתחרה מחו"ל. </w:t>
      </w:r>
    </w:p>
    <w:p w14:paraId="4ACB483A" w14:textId="715F6919" w:rsidR="008043F5" w:rsidRDefault="00A07586" w:rsidP="001A4B64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509" w:hanging="425"/>
        <w:jc w:val="both"/>
        <w:rPr>
          <w:rFonts w:ascii="Times New Roman" w:hAnsi="Times New Roman" w:cs="David"/>
          <w:bCs/>
          <w:sz w:val="24"/>
          <w:szCs w:val="24"/>
        </w:rPr>
      </w:pPr>
      <w:r w:rsidRPr="00F020CE">
        <w:rPr>
          <w:rFonts w:ascii="Times New Roman" w:hAnsi="Times New Roman" w:cs="David" w:hint="cs"/>
          <w:sz w:val="24"/>
          <w:szCs w:val="24"/>
          <w:rtl/>
        </w:rPr>
        <w:t xml:space="preserve">ייסוף </w:t>
      </w:r>
      <w:r w:rsidR="008043F5" w:rsidRPr="00F020CE">
        <w:rPr>
          <w:rFonts w:ascii="Times New Roman" w:hAnsi="Times New Roman" w:cs="David" w:hint="cs"/>
          <w:sz w:val="24"/>
          <w:szCs w:val="24"/>
          <w:rtl/>
        </w:rPr>
        <w:t>ב</w:t>
      </w:r>
      <w:r w:rsidRPr="00F020CE">
        <w:rPr>
          <w:rFonts w:ascii="Times New Roman" w:hAnsi="Times New Roman" w:cs="David"/>
          <w:sz w:val="24"/>
          <w:szCs w:val="24"/>
          <w:rtl/>
        </w:rPr>
        <w:t>שע</w:t>
      </w:r>
      <w:r w:rsidR="00DE224F">
        <w:rPr>
          <w:rFonts w:ascii="Times New Roman" w:hAnsi="Times New Roman" w:cs="David" w:hint="cs"/>
          <w:sz w:val="24"/>
          <w:szCs w:val="24"/>
          <w:rtl/>
        </w:rPr>
        <w:t>ר ה</w:t>
      </w:r>
      <w:r w:rsidRPr="00F020CE">
        <w:rPr>
          <w:rFonts w:ascii="Times New Roman" w:hAnsi="Times New Roman" w:cs="David"/>
          <w:sz w:val="24"/>
          <w:szCs w:val="24"/>
          <w:rtl/>
        </w:rPr>
        <w:t>ח</w:t>
      </w:r>
      <w:r w:rsidR="00DE224F">
        <w:rPr>
          <w:rFonts w:ascii="Times New Roman" w:hAnsi="Times New Roman" w:cs="David" w:hint="cs"/>
          <w:sz w:val="24"/>
          <w:szCs w:val="24"/>
          <w:rtl/>
        </w:rPr>
        <w:t>ליפין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F65D1C">
        <w:rPr>
          <w:rFonts w:ascii="Times New Roman" w:hAnsi="Times New Roman" w:cs="David" w:hint="cs"/>
          <w:sz w:val="24"/>
          <w:szCs w:val="24"/>
          <w:rtl/>
        </w:rPr>
        <w:t xml:space="preserve">מפחית את היקף ההשקעות של 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חברות </w:t>
      </w:r>
      <w:r w:rsidR="00286117">
        <w:rPr>
          <w:rFonts w:ascii="Times New Roman" w:hAnsi="Times New Roman" w:cs="David" w:hint="cs"/>
          <w:sz w:val="24"/>
          <w:szCs w:val="24"/>
          <w:rtl/>
        </w:rPr>
        <w:t>ה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נוטות להשקעה </w:t>
      </w:r>
      <w:r w:rsidR="00EB12A0" w:rsidRPr="00F020CE">
        <w:rPr>
          <w:rFonts w:ascii="Times New Roman" w:hAnsi="Times New Roman" w:cs="David"/>
          <w:sz w:val="24"/>
          <w:szCs w:val="24"/>
          <w:rtl/>
        </w:rPr>
        <w:t>ב</w:t>
      </w:r>
      <w:r w:rsidR="00EB12A0">
        <w:rPr>
          <w:rFonts w:ascii="Times New Roman" w:hAnsi="Times New Roman" w:cs="David" w:hint="cs"/>
          <w:sz w:val="24"/>
          <w:szCs w:val="24"/>
          <w:rtl/>
        </w:rPr>
        <w:t>מוצרים</w:t>
      </w:r>
      <w:r w:rsidR="00EB12A0" w:rsidRPr="00F020C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F020CE">
        <w:rPr>
          <w:rFonts w:ascii="Times New Roman" w:hAnsi="Times New Roman" w:cs="David"/>
          <w:sz w:val="24"/>
          <w:szCs w:val="24"/>
          <w:rtl/>
        </w:rPr>
        <w:t>מקומיים, כגון מו"פ</w:t>
      </w:r>
      <w:r w:rsidR="00DE224F">
        <w:rPr>
          <w:rFonts w:ascii="Times New Roman" w:hAnsi="Times New Roman" w:cs="David" w:hint="cs"/>
          <w:sz w:val="24"/>
          <w:szCs w:val="24"/>
          <w:rtl/>
        </w:rPr>
        <w:t>,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E224F">
        <w:rPr>
          <w:rFonts w:ascii="Times New Roman" w:hAnsi="Times New Roman" w:cs="David" w:hint="cs"/>
          <w:sz w:val="24"/>
          <w:szCs w:val="24"/>
          <w:rtl/>
        </w:rPr>
        <w:t xml:space="preserve">אך מעודד את </w:t>
      </w:r>
      <w:r w:rsidRPr="00F020CE">
        <w:rPr>
          <w:rFonts w:ascii="Times New Roman" w:hAnsi="Times New Roman" w:cs="David" w:hint="cs"/>
          <w:sz w:val="24"/>
          <w:szCs w:val="24"/>
          <w:rtl/>
        </w:rPr>
        <w:t xml:space="preserve">ההשקעות של 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חברות </w:t>
      </w:r>
      <w:r w:rsidR="00286117">
        <w:rPr>
          <w:rFonts w:ascii="Times New Roman" w:hAnsi="Times New Roman" w:cs="David" w:hint="cs"/>
          <w:sz w:val="24"/>
          <w:szCs w:val="24"/>
          <w:rtl/>
        </w:rPr>
        <w:t>ה</w:t>
      </w:r>
      <w:r w:rsidRPr="00F020CE">
        <w:rPr>
          <w:rFonts w:ascii="Times New Roman" w:hAnsi="Times New Roman" w:cs="David"/>
          <w:sz w:val="24"/>
          <w:szCs w:val="24"/>
          <w:rtl/>
        </w:rPr>
        <w:t>נוטות להשקע</w:t>
      </w:r>
      <w:r w:rsidRPr="00F020CE">
        <w:rPr>
          <w:rFonts w:ascii="Times New Roman" w:hAnsi="Times New Roman" w:cs="David" w:hint="cs"/>
          <w:sz w:val="24"/>
          <w:szCs w:val="24"/>
          <w:rtl/>
        </w:rPr>
        <w:t>ות</w:t>
      </w:r>
      <w:r w:rsidRPr="00F020C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B12A0">
        <w:rPr>
          <w:rFonts w:ascii="Times New Roman" w:hAnsi="Times New Roman" w:cs="David" w:hint="cs"/>
          <w:sz w:val="24"/>
          <w:szCs w:val="24"/>
          <w:rtl/>
        </w:rPr>
        <w:t xml:space="preserve">במוצרים </w:t>
      </w:r>
      <w:r w:rsidRPr="00F020CE">
        <w:rPr>
          <w:rFonts w:ascii="Times New Roman" w:hAnsi="Times New Roman" w:cs="David"/>
          <w:sz w:val="24"/>
          <w:szCs w:val="24"/>
          <w:rtl/>
        </w:rPr>
        <w:t>מיובאים</w:t>
      </w:r>
      <w:r w:rsidRPr="00A07586">
        <w:rPr>
          <w:rFonts w:ascii="Times New Roman" w:hAnsi="Times New Roman" w:cs="David"/>
          <w:sz w:val="24"/>
          <w:szCs w:val="24"/>
          <w:rtl/>
        </w:rPr>
        <w:t xml:space="preserve">. השפעות אלו משמעותיות פחות עבור חברות </w:t>
      </w:r>
      <w:r w:rsidR="008043F5">
        <w:rPr>
          <w:rFonts w:ascii="Times New Roman" w:hAnsi="Times New Roman" w:cs="David" w:hint="cs"/>
          <w:sz w:val="24"/>
          <w:szCs w:val="24"/>
          <w:rtl/>
        </w:rPr>
        <w:t xml:space="preserve">המתאפיינות </w:t>
      </w:r>
      <w:r w:rsidRPr="00A07586">
        <w:rPr>
          <w:rFonts w:ascii="Times New Roman" w:hAnsi="Times New Roman" w:cs="David"/>
          <w:sz w:val="24"/>
          <w:szCs w:val="24"/>
          <w:rtl/>
        </w:rPr>
        <w:t>בפריון גבוה.</w:t>
      </w:r>
    </w:p>
    <w:p w14:paraId="7D7CA7D6" w14:textId="447554A5" w:rsidR="008043F5" w:rsidRDefault="008043F5" w:rsidP="001A4B64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509" w:hanging="425"/>
        <w:jc w:val="both"/>
        <w:rPr>
          <w:rFonts w:ascii="Times New Roman" w:hAnsi="Times New Roman" w:cs="David"/>
          <w:bCs/>
          <w:sz w:val="24"/>
          <w:szCs w:val="24"/>
        </w:rPr>
      </w:pPr>
      <w:r w:rsidRPr="008043F5">
        <w:rPr>
          <w:rFonts w:cs="David" w:hint="cs"/>
          <w:sz w:val="24"/>
          <w:szCs w:val="24"/>
          <w:rtl/>
        </w:rPr>
        <w:t>כתוצאה מהשפעות אלו</w:t>
      </w:r>
      <w:r w:rsidRPr="008043F5">
        <w:rPr>
          <w:rFonts w:cs="David"/>
          <w:sz w:val="24"/>
          <w:szCs w:val="24"/>
          <w:rtl/>
        </w:rPr>
        <w:t xml:space="preserve">, המחקר מוצא כי </w:t>
      </w:r>
      <w:r w:rsidRPr="00F020CE">
        <w:rPr>
          <w:rFonts w:cs="David"/>
          <w:b/>
          <w:bCs/>
          <w:sz w:val="24"/>
          <w:szCs w:val="24"/>
          <w:rtl/>
        </w:rPr>
        <w:t xml:space="preserve">ייסוף </w:t>
      </w:r>
      <w:r w:rsidR="00C41B0A">
        <w:rPr>
          <w:rFonts w:cs="David" w:hint="cs"/>
          <w:b/>
          <w:bCs/>
          <w:sz w:val="24"/>
          <w:szCs w:val="24"/>
          <w:rtl/>
        </w:rPr>
        <w:t xml:space="preserve">ריאלי </w:t>
      </w:r>
      <w:r w:rsidRPr="00F020CE">
        <w:rPr>
          <w:rFonts w:cs="David"/>
          <w:b/>
          <w:bCs/>
          <w:sz w:val="24"/>
          <w:szCs w:val="24"/>
          <w:rtl/>
        </w:rPr>
        <w:t>של אחוז בא לידי ביטוי כעבור שנתיים בירידה ממוצעת של כ-0.3</w:t>
      </w:r>
      <w:r w:rsidRPr="00F020CE">
        <w:rPr>
          <w:rFonts w:cs="David" w:hint="cs"/>
          <w:b/>
          <w:bCs/>
          <w:sz w:val="24"/>
          <w:szCs w:val="24"/>
          <w:rtl/>
        </w:rPr>
        <w:t>%</w:t>
      </w:r>
      <w:r w:rsidRPr="00F020CE">
        <w:rPr>
          <w:rFonts w:cs="David"/>
          <w:b/>
          <w:bCs/>
          <w:sz w:val="24"/>
          <w:szCs w:val="24"/>
          <w:rtl/>
        </w:rPr>
        <w:t xml:space="preserve"> במספר המשרות בתעשייה</w:t>
      </w:r>
      <w:r w:rsidR="006E070E">
        <w:rPr>
          <w:rFonts w:cs="David" w:hint="cs"/>
          <w:sz w:val="24"/>
          <w:szCs w:val="24"/>
          <w:rtl/>
        </w:rPr>
        <w:t xml:space="preserve">. עיקר ההשפעה על התעסוקה ממוקד בחברות בעצימות טכנולוגית נמוכה </w:t>
      </w:r>
      <w:r w:rsidR="00286117">
        <w:rPr>
          <w:rFonts w:cs="David" w:hint="cs"/>
          <w:sz w:val="24"/>
          <w:szCs w:val="24"/>
          <w:rtl/>
        </w:rPr>
        <w:t>ה</w:t>
      </w:r>
      <w:r w:rsidR="006E070E">
        <w:rPr>
          <w:rFonts w:cs="David" w:hint="cs"/>
          <w:sz w:val="24"/>
          <w:szCs w:val="24"/>
          <w:rtl/>
        </w:rPr>
        <w:t>חשופות ליבוא מתחרה מחו"ל</w:t>
      </w:r>
      <w:r w:rsidRPr="008043F5">
        <w:rPr>
          <w:rFonts w:cs="David"/>
          <w:sz w:val="24"/>
          <w:szCs w:val="24"/>
          <w:rtl/>
        </w:rPr>
        <w:t>.</w:t>
      </w:r>
      <w:r w:rsidR="006E070E">
        <w:rPr>
          <w:rFonts w:ascii="Times New Roman" w:hAnsi="Times New Roman" w:cs="David" w:hint="cs"/>
          <w:bCs/>
          <w:sz w:val="24"/>
          <w:szCs w:val="24"/>
          <w:rtl/>
        </w:rPr>
        <w:t xml:space="preserve"> </w:t>
      </w:r>
    </w:p>
    <w:p w14:paraId="65B7ADBC" w14:textId="77777777" w:rsidR="001A4B64" w:rsidRPr="008808DF" w:rsidRDefault="001A4B64" w:rsidP="00F65D1C">
      <w:pPr>
        <w:spacing w:before="120" w:after="120" w:line="360" w:lineRule="auto"/>
        <w:jc w:val="both"/>
        <w:rPr>
          <w:rFonts w:cs="David"/>
          <w:sz w:val="2"/>
          <w:szCs w:val="2"/>
          <w:rtl/>
        </w:rPr>
      </w:pPr>
    </w:p>
    <w:p w14:paraId="34D6A1AC" w14:textId="498D4D36" w:rsidR="00D33301" w:rsidRDefault="00CE214F" w:rsidP="0093040A">
      <w:pPr>
        <w:spacing w:before="120" w:after="120" w:line="360" w:lineRule="auto"/>
        <w:jc w:val="both"/>
        <w:rPr>
          <w:rFonts w:cs="David"/>
          <w:sz w:val="24"/>
          <w:szCs w:val="24"/>
          <w:rtl/>
        </w:rPr>
      </w:pPr>
      <w:r w:rsidRPr="00CE214F">
        <w:rPr>
          <w:rFonts w:cs="David"/>
          <w:sz w:val="24"/>
          <w:szCs w:val="24"/>
          <w:rtl/>
        </w:rPr>
        <w:t>לאופן ההשפעה של שע</w:t>
      </w:r>
      <w:r w:rsidR="00D33301">
        <w:rPr>
          <w:rFonts w:cs="David" w:hint="cs"/>
          <w:sz w:val="24"/>
          <w:szCs w:val="24"/>
          <w:rtl/>
        </w:rPr>
        <w:t>ר החליפין</w:t>
      </w:r>
      <w:r w:rsidRPr="00CE214F">
        <w:rPr>
          <w:rFonts w:cs="David"/>
          <w:sz w:val="24"/>
          <w:szCs w:val="24"/>
          <w:rtl/>
        </w:rPr>
        <w:t xml:space="preserve"> על הפעילות הריאלית </w:t>
      </w:r>
      <w:r w:rsidR="00286117">
        <w:rPr>
          <w:rFonts w:cs="David" w:hint="cs"/>
          <w:sz w:val="24"/>
          <w:szCs w:val="24"/>
          <w:rtl/>
        </w:rPr>
        <w:t xml:space="preserve">יש </w:t>
      </w:r>
      <w:r w:rsidRPr="00CE214F">
        <w:rPr>
          <w:rFonts w:cs="David"/>
          <w:sz w:val="24"/>
          <w:szCs w:val="24"/>
          <w:rtl/>
        </w:rPr>
        <w:t>משמעות רבה עבור קובעי המדיניות. התערבות בשוק מט</w:t>
      </w:r>
      <w:r w:rsidR="00DE224F">
        <w:rPr>
          <w:rFonts w:cs="David" w:hint="cs"/>
          <w:sz w:val="24"/>
          <w:szCs w:val="24"/>
          <w:rtl/>
        </w:rPr>
        <w:t>בע ה</w:t>
      </w:r>
      <w:r w:rsidRPr="00CE214F">
        <w:rPr>
          <w:rFonts w:cs="David"/>
          <w:sz w:val="24"/>
          <w:szCs w:val="24"/>
          <w:rtl/>
        </w:rPr>
        <w:t>ח</w:t>
      </w:r>
      <w:r w:rsidR="00DE224F">
        <w:rPr>
          <w:rFonts w:cs="David" w:hint="cs"/>
          <w:sz w:val="24"/>
          <w:szCs w:val="24"/>
          <w:rtl/>
        </w:rPr>
        <w:t>וץ</w:t>
      </w:r>
      <w:r w:rsidRPr="00CE214F">
        <w:rPr>
          <w:rFonts w:cs="David"/>
          <w:sz w:val="24"/>
          <w:szCs w:val="24"/>
          <w:rtl/>
        </w:rPr>
        <w:t xml:space="preserve"> היא אחד מכלי המדיניות של </w:t>
      </w:r>
      <w:r w:rsidR="00DE224F" w:rsidRPr="0011457B">
        <w:rPr>
          <w:rFonts w:cs="David" w:hint="eastAsia"/>
          <w:sz w:val="24"/>
          <w:szCs w:val="24"/>
          <w:rtl/>
        </w:rPr>
        <w:t>בנקים</w:t>
      </w:r>
      <w:r w:rsidR="00DE224F" w:rsidRPr="0011457B">
        <w:rPr>
          <w:rFonts w:cs="David"/>
          <w:sz w:val="24"/>
          <w:szCs w:val="24"/>
          <w:rtl/>
        </w:rPr>
        <w:t xml:space="preserve"> </w:t>
      </w:r>
      <w:r w:rsidR="00DE224F" w:rsidRPr="0011457B">
        <w:rPr>
          <w:rFonts w:cs="David" w:hint="eastAsia"/>
          <w:sz w:val="24"/>
          <w:szCs w:val="24"/>
          <w:rtl/>
        </w:rPr>
        <w:t>מרכזיים</w:t>
      </w:r>
      <w:r w:rsidR="0039629D">
        <w:rPr>
          <w:rFonts w:cs="David" w:hint="cs"/>
          <w:sz w:val="24"/>
          <w:szCs w:val="24"/>
          <w:rtl/>
        </w:rPr>
        <w:t>,</w:t>
      </w:r>
      <w:r w:rsidR="00DE224F" w:rsidRPr="0011457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="006D1798">
        <w:rPr>
          <w:rFonts w:cs="David" w:hint="cs"/>
          <w:sz w:val="24"/>
          <w:szCs w:val="24"/>
          <w:rtl/>
        </w:rPr>
        <w:t xml:space="preserve">גם </w:t>
      </w:r>
      <w:r w:rsidRPr="00CE214F">
        <w:rPr>
          <w:rFonts w:cs="David"/>
          <w:sz w:val="24"/>
          <w:szCs w:val="24"/>
          <w:rtl/>
        </w:rPr>
        <w:t xml:space="preserve">צעדים פיסקליים שונים </w:t>
      </w:r>
      <w:r w:rsidR="0093040A">
        <w:rPr>
          <w:rFonts w:cs="David" w:hint="cs"/>
          <w:sz w:val="24"/>
          <w:szCs w:val="24"/>
          <w:rtl/>
        </w:rPr>
        <w:t>עשויים</w:t>
      </w:r>
      <w:r w:rsidRPr="00CE214F">
        <w:rPr>
          <w:rFonts w:cs="David"/>
          <w:sz w:val="24"/>
          <w:szCs w:val="24"/>
          <w:rtl/>
        </w:rPr>
        <w:t xml:space="preserve"> להשפיע על שע</w:t>
      </w:r>
      <w:r w:rsidR="00DE224F">
        <w:rPr>
          <w:rFonts w:cs="David" w:hint="cs"/>
          <w:sz w:val="24"/>
          <w:szCs w:val="24"/>
          <w:rtl/>
        </w:rPr>
        <w:t>ר החליפין</w:t>
      </w:r>
      <w:r w:rsidR="00D33301">
        <w:rPr>
          <w:rFonts w:cs="David" w:hint="cs"/>
          <w:sz w:val="24"/>
          <w:szCs w:val="24"/>
          <w:rtl/>
        </w:rPr>
        <w:t>, ולכן חשוב לזהות את השפעת</w:t>
      </w:r>
      <w:r w:rsidR="00DE224F">
        <w:rPr>
          <w:rFonts w:cs="David" w:hint="cs"/>
          <w:sz w:val="24"/>
          <w:szCs w:val="24"/>
          <w:rtl/>
        </w:rPr>
        <w:t>ו</w:t>
      </w:r>
      <w:r w:rsidR="00D33301">
        <w:rPr>
          <w:rFonts w:cs="David" w:hint="cs"/>
          <w:sz w:val="24"/>
          <w:szCs w:val="24"/>
          <w:rtl/>
        </w:rPr>
        <w:t xml:space="preserve"> </w:t>
      </w:r>
      <w:r w:rsidR="006D1798">
        <w:rPr>
          <w:rFonts w:cs="David" w:hint="cs"/>
          <w:sz w:val="24"/>
          <w:szCs w:val="24"/>
          <w:rtl/>
        </w:rPr>
        <w:t>של שער החליפ</w:t>
      </w:r>
      <w:r w:rsidR="00781D14">
        <w:rPr>
          <w:rFonts w:cs="David" w:hint="cs"/>
          <w:sz w:val="24"/>
          <w:szCs w:val="24"/>
          <w:rtl/>
        </w:rPr>
        <w:t>י</w:t>
      </w:r>
      <w:r w:rsidR="006D1798">
        <w:rPr>
          <w:rFonts w:cs="David" w:hint="cs"/>
          <w:sz w:val="24"/>
          <w:szCs w:val="24"/>
          <w:rtl/>
        </w:rPr>
        <w:t xml:space="preserve">ן </w:t>
      </w:r>
      <w:r w:rsidR="00D33301">
        <w:rPr>
          <w:rFonts w:cs="David" w:hint="cs"/>
          <w:sz w:val="24"/>
          <w:szCs w:val="24"/>
          <w:rtl/>
        </w:rPr>
        <w:t xml:space="preserve">על </w:t>
      </w:r>
      <w:r w:rsidR="00E1272D">
        <w:rPr>
          <w:rFonts w:cs="David" w:hint="cs"/>
          <w:sz w:val="24"/>
          <w:szCs w:val="24"/>
          <w:rtl/>
        </w:rPr>
        <w:t>חברות שונות במשק</w:t>
      </w:r>
      <w:r w:rsidR="006D1798">
        <w:rPr>
          <w:rFonts w:cs="David" w:hint="cs"/>
          <w:sz w:val="24"/>
          <w:szCs w:val="24"/>
          <w:rtl/>
        </w:rPr>
        <w:t xml:space="preserve">, </w:t>
      </w:r>
      <w:r w:rsidR="00781D14">
        <w:rPr>
          <w:rFonts w:cs="David" w:hint="cs"/>
          <w:sz w:val="24"/>
          <w:szCs w:val="24"/>
          <w:rtl/>
        </w:rPr>
        <w:t>ולאפיינו</w:t>
      </w:r>
      <w:r w:rsidR="00D33301">
        <w:rPr>
          <w:rFonts w:cs="David" w:hint="cs"/>
          <w:sz w:val="24"/>
          <w:szCs w:val="24"/>
          <w:rtl/>
        </w:rPr>
        <w:t>.</w:t>
      </w:r>
    </w:p>
    <w:p w14:paraId="29051276" w14:textId="6EC23B3B" w:rsidR="00E713F7" w:rsidRDefault="006F7110" w:rsidP="00F65D1C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B03B15">
        <w:rPr>
          <w:rFonts w:cs="David" w:hint="cs"/>
          <w:sz w:val="24"/>
          <w:szCs w:val="24"/>
          <w:rtl/>
        </w:rPr>
        <w:t>חקר שער</w:t>
      </w:r>
      <w:r w:rsidR="0072454D">
        <w:rPr>
          <w:rFonts w:cs="David" w:hint="cs"/>
          <w:sz w:val="24"/>
          <w:szCs w:val="24"/>
          <w:rtl/>
        </w:rPr>
        <w:t>כו</w:t>
      </w:r>
      <w:r w:rsidR="00B03B15">
        <w:rPr>
          <w:rFonts w:cs="David" w:hint="cs"/>
          <w:sz w:val="24"/>
          <w:szCs w:val="24"/>
          <w:rtl/>
        </w:rPr>
        <w:t xml:space="preserve"> </w:t>
      </w:r>
      <w:r w:rsidR="00E468C3">
        <w:rPr>
          <w:rFonts w:cs="David" w:hint="cs"/>
          <w:sz w:val="24"/>
          <w:szCs w:val="24"/>
          <w:rtl/>
        </w:rPr>
        <w:t>גלעד ברנד ו</w:t>
      </w:r>
      <w:r w:rsidR="00B03B15">
        <w:rPr>
          <w:rFonts w:cs="David" w:hint="cs"/>
          <w:sz w:val="24"/>
          <w:szCs w:val="24"/>
          <w:rtl/>
        </w:rPr>
        <w:t>ארנון ברק מחטיבת המחקר בבנק ישראל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E468C3">
        <w:rPr>
          <w:rFonts w:cs="David" w:hint="cs"/>
          <w:sz w:val="24"/>
          <w:szCs w:val="24"/>
          <w:rtl/>
        </w:rPr>
        <w:t xml:space="preserve">בשיתוף עם </w:t>
      </w:r>
      <w:r w:rsidR="0072454D">
        <w:rPr>
          <w:rFonts w:cs="David" w:hint="cs"/>
          <w:sz w:val="24"/>
          <w:szCs w:val="24"/>
          <w:rtl/>
        </w:rPr>
        <w:t>אגף הכלכלנית הראשית במשרד האוצר</w:t>
      </w:r>
      <w:r w:rsidR="003B0F93">
        <w:rPr>
          <w:rFonts w:cs="David" w:hint="cs"/>
          <w:sz w:val="24"/>
          <w:szCs w:val="24"/>
          <w:rtl/>
        </w:rPr>
        <w:t>,</w:t>
      </w:r>
      <w:r w:rsidR="00D33301">
        <w:rPr>
          <w:rFonts w:cs="David" w:hint="cs"/>
          <w:sz w:val="24"/>
          <w:szCs w:val="24"/>
          <w:rtl/>
        </w:rPr>
        <w:t xml:space="preserve"> אומד את השפעת שע</w:t>
      </w:r>
      <w:r w:rsidR="00696560">
        <w:rPr>
          <w:rFonts w:cs="David" w:hint="cs"/>
          <w:sz w:val="24"/>
          <w:szCs w:val="24"/>
          <w:rtl/>
        </w:rPr>
        <w:t>ר ה</w:t>
      </w:r>
      <w:r w:rsidR="00D33301">
        <w:rPr>
          <w:rFonts w:cs="David" w:hint="cs"/>
          <w:sz w:val="24"/>
          <w:szCs w:val="24"/>
          <w:rtl/>
        </w:rPr>
        <w:t>ח</w:t>
      </w:r>
      <w:r w:rsidR="00696560">
        <w:rPr>
          <w:rFonts w:cs="David" w:hint="cs"/>
          <w:sz w:val="24"/>
          <w:szCs w:val="24"/>
          <w:rtl/>
        </w:rPr>
        <w:t>ליפין</w:t>
      </w:r>
      <w:r w:rsidR="00D33301">
        <w:rPr>
          <w:rFonts w:cs="David" w:hint="cs"/>
          <w:sz w:val="24"/>
          <w:szCs w:val="24"/>
          <w:rtl/>
        </w:rPr>
        <w:t xml:space="preserve"> על פעילות חברות בישראל באמצעות שימוש </w:t>
      </w:r>
      <w:r w:rsidR="002A4C20">
        <w:rPr>
          <w:rFonts w:cs="David" w:hint="cs"/>
          <w:sz w:val="24"/>
          <w:szCs w:val="24"/>
          <w:rtl/>
        </w:rPr>
        <w:t>ב</w:t>
      </w:r>
      <w:r w:rsidR="00D33301">
        <w:rPr>
          <w:rFonts w:cs="David"/>
          <w:sz w:val="24"/>
          <w:szCs w:val="24"/>
          <w:rtl/>
        </w:rPr>
        <w:t>נתונים פרטניים ברמת החברה</w:t>
      </w:r>
      <w:r w:rsidR="00B751B6">
        <w:rPr>
          <w:rFonts w:cs="David" w:hint="cs"/>
          <w:sz w:val="24"/>
          <w:szCs w:val="24"/>
          <w:rtl/>
        </w:rPr>
        <w:t xml:space="preserve"> </w:t>
      </w:r>
      <w:r w:rsidR="00696560">
        <w:rPr>
          <w:rFonts w:cs="David" w:hint="cs"/>
          <w:sz w:val="24"/>
          <w:szCs w:val="24"/>
          <w:rtl/>
        </w:rPr>
        <w:t xml:space="preserve">לשנים </w:t>
      </w:r>
      <w:r w:rsidR="00FA7DB9">
        <w:rPr>
          <w:rFonts w:cs="David" w:hint="cs"/>
          <w:sz w:val="24"/>
          <w:szCs w:val="24"/>
          <w:rtl/>
        </w:rPr>
        <w:t>2000</w:t>
      </w:r>
      <w:r w:rsidR="00483D70">
        <w:rPr>
          <w:rFonts w:cs="David"/>
          <w:sz w:val="24"/>
          <w:szCs w:val="24"/>
          <w:rtl/>
        </w:rPr>
        <w:t>—</w:t>
      </w:r>
      <w:r w:rsidR="00FA7DB9">
        <w:rPr>
          <w:rFonts w:cs="David" w:hint="cs"/>
          <w:sz w:val="24"/>
          <w:szCs w:val="24"/>
          <w:rtl/>
        </w:rPr>
        <w:t>2016</w:t>
      </w:r>
      <w:r w:rsidR="00483D70">
        <w:rPr>
          <w:rFonts w:cs="David" w:hint="cs"/>
          <w:sz w:val="24"/>
          <w:szCs w:val="24"/>
          <w:rtl/>
        </w:rPr>
        <w:t>.</w:t>
      </w:r>
      <w:r w:rsidR="00D33301">
        <w:rPr>
          <w:rFonts w:cs="David"/>
          <w:sz w:val="24"/>
          <w:szCs w:val="24"/>
          <w:rtl/>
        </w:rPr>
        <w:t xml:space="preserve"> נתונים אלו מקלים </w:t>
      </w:r>
      <w:r w:rsidR="00696560">
        <w:rPr>
          <w:rFonts w:cs="David" w:hint="cs"/>
          <w:sz w:val="24"/>
          <w:szCs w:val="24"/>
          <w:rtl/>
        </w:rPr>
        <w:t xml:space="preserve">על </w:t>
      </w:r>
      <w:r w:rsidR="00EB12A0">
        <w:rPr>
          <w:rFonts w:cs="David" w:hint="cs"/>
          <w:sz w:val="24"/>
          <w:szCs w:val="24"/>
          <w:rtl/>
        </w:rPr>
        <w:t>האפשרות לזהות את</w:t>
      </w:r>
      <w:r w:rsidR="00696560">
        <w:rPr>
          <w:rFonts w:cs="David" w:hint="cs"/>
          <w:sz w:val="24"/>
          <w:szCs w:val="24"/>
          <w:rtl/>
        </w:rPr>
        <w:t xml:space="preserve"> השפעת השער על הפעילות</w:t>
      </w:r>
      <w:r w:rsidR="00FB38CB">
        <w:rPr>
          <w:rFonts w:cs="David" w:hint="cs"/>
          <w:sz w:val="24"/>
          <w:szCs w:val="24"/>
          <w:rtl/>
        </w:rPr>
        <w:t>,</w:t>
      </w:r>
      <w:r w:rsidR="00696560">
        <w:rPr>
          <w:rFonts w:cs="David" w:hint="cs"/>
          <w:sz w:val="24"/>
          <w:szCs w:val="24"/>
          <w:rtl/>
        </w:rPr>
        <w:t xml:space="preserve"> </w:t>
      </w:r>
      <w:r w:rsidR="00EB12A0">
        <w:rPr>
          <w:rFonts w:cs="David" w:hint="cs"/>
          <w:sz w:val="24"/>
          <w:szCs w:val="24"/>
          <w:rtl/>
        </w:rPr>
        <w:t>ולהפריד אותה מ</w:t>
      </w:r>
      <w:r w:rsidR="00696560">
        <w:rPr>
          <w:rFonts w:cs="David" w:hint="cs"/>
          <w:sz w:val="24"/>
          <w:szCs w:val="24"/>
          <w:rtl/>
        </w:rPr>
        <w:t xml:space="preserve">ההשפעה ההפוכה </w:t>
      </w:r>
      <w:r w:rsidR="00FB38CB">
        <w:rPr>
          <w:rFonts w:cs="David"/>
          <w:sz w:val="24"/>
          <w:szCs w:val="24"/>
          <w:rtl/>
        </w:rPr>
        <w:t>–</w:t>
      </w:r>
      <w:r w:rsidR="00FB38CB">
        <w:rPr>
          <w:rFonts w:cs="David" w:hint="cs"/>
          <w:sz w:val="24"/>
          <w:szCs w:val="24"/>
          <w:rtl/>
        </w:rPr>
        <w:t xml:space="preserve"> </w:t>
      </w:r>
      <w:r w:rsidR="00696560">
        <w:rPr>
          <w:rFonts w:cs="David" w:hint="cs"/>
          <w:sz w:val="24"/>
          <w:szCs w:val="24"/>
          <w:rtl/>
        </w:rPr>
        <w:t>מ</w:t>
      </w:r>
      <w:r w:rsidR="00FB38CB">
        <w:rPr>
          <w:rFonts w:cs="David" w:hint="cs"/>
          <w:sz w:val="24"/>
          <w:szCs w:val="24"/>
          <w:rtl/>
        </w:rPr>
        <w:t>ה</w:t>
      </w:r>
      <w:r w:rsidR="00696560">
        <w:rPr>
          <w:rFonts w:cs="David" w:hint="cs"/>
          <w:sz w:val="24"/>
          <w:szCs w:val="24"/>
          <w:rtl/>
        </w:rPr>
        <w:t>פעילות אל השער, וכן</w:t>
      </w:r>
      <w:r w:rsidR="00D33301">
        <w:rPr>
          <w:rFonts w:cs="David"/>
          <w:sz w:val="24"/>
          <w:szCs w:val="24"/>
          <w:rtl/>
        </w:rPr>
        <w:t xml:space="preserve"> מאפשרים לזהות השפעות הטרוגניות שונות. </w:t>
      </w:r>
    </w:p>
    <w:p w14:paraId="1C5363D0" w14:textId="1C20725E" w:rsidR="007A451D" w:rsidRDefault="00252E90" w:rsidP="00FA7DB9">
      <w:pPr>
        <w:pStyle w:val="a3"/>
        <w:spacing w:before="120" w:after="12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המחקר אומנם הראה שעבור חברה תעשייתית ממוצעת, ייסוף בשער החליפין </w:t>
      </w:r>
      <w:r w:rsidR="00781D14">
        <w:rPr>
          <w:rFonts w:cs="David" w:hint="cs"/>
          <w:sz w:val="24"/>
          <w:szCs w:val="24"/>
          <w:rtl/>
        </w:rPr>
        <w:t xml:space="preserve">מביא </w:t>
      </w:r>
      <w:r>
        <w:rPr>
          <w:rFonts w:cs="David" w:hint="cs"/>
          <w:sz w:val="24"/>
          <w:szCs w:val="24"/>
          <w:rtl/>
        </w:rPr>
        <w:t>לירידה של 0.8% ביצוא כעב</w:t>
      </w:r>
      <w:r w:rsidR="00781D14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ר שנתיים. אולם </w:t>
      </w:r>
      <w:r w:rsidR="00D33301" w:rsidRPr="007A451D">
        <w:rPr>
          <w:rFonts w:cs="David"/>
          <w:sz w:val="24"/>
          <w:szCs w:val="24"/>
          <w:rtl/>
        </w:rPr>
        <w:t>תוצאות</w:t>
      </w:r>
      <w:r w:rsidR="00D33301" w:rsidRPr="007A451D">
        <w:rPr>
          <w:rFonts w:cs="David" w:hint="cs"/>
          <w:sz w:val="24"/>
          <w:szCs w:val="24"/>
          <w:rtl/>
        </w:rPr>
        <w:t xml:space="preserve"> המחקר</w:t>
      </w:r>
      <w:r w:rsidR="00D33301" w:rsidRPr="007A451D">
        <w:rPr>
          <w:rFonts w:cs="David"/>
          <w:sz w:val="24"/>
          <w:szCs w:val="24"/>
          <w:rtl/>
        </w:rPr>
        <w:t xml:space="preserve"> מ</w:t>
      </w:r>
      <w:r w:rsidR="007A451D" w:rsidRPr="007A451D">
        <w:rPr>
          <w:rFonts w:cs="David" w:hint="cs"/>
          <w:sz w:val="24"/>
          <w:szCs w:val="24"/>
          <w:rtl/>
        </w:rPr>
        <w:t>למדות</w:t>
      </w:r>
      <w:r>
        <w:rPr>
          <w:rFonts w:cs="David" w:hint="cs"/>
          <w:sz w:val="24"/>
          <w:szCs w:val="24"/>
          <w:rtl/>
        </w:rPr>
        <w:t xml:space="preserve"> גם</w:t>
      </w:r>
      <w:r w:rsidR="00D33301" w:rsidRPr="007A451D">
        <w:rPr>
          <w:rFonts w:cs="David"/>
          <w:sz w:val="24"/>
          <w:szCs w:val="24"/>
          <w:rtl/>
        </w:rPr>
        <w:t xml:space="preserve"> </w:t>
      </w:r>
      <w:r w:rsidR="007A451D" w:rsidRPr="007A451D">
        <w:rPr>
          <w:rFonts w:cs="David" w:hint="cs"/>
          <w:sz w:val="24"/>
          <w:szCs w:val="24"/>
          <w:rtl/>
        </w:rPr>
        <w:t>ש</w:t>
      </w:r>
      <w:r w:rsidR="00696560">
        <w:rPr>
          <w:rFonts w:cs="David" w:hint="cs"/>
          <w:sz w:val="24"/>
          <w:szCs w:val="24"/>
          <w:rtl/>
        </w:rPr>
        <w:t xml:space="preserve">עוצמת </w:t>
      </w:r>
      <w:r w:rsidR="007A451D" w:rsidRPr="007A451D">
        <w:rPr>
          <w:rFonts w:cs="David" w:hint="cs"/>
          <w:sz w:val="24"/>
          <w:szCs w:val="24"/>
          <w:rtl/>
        </w:rPr>
        <w:t>ההשפעה של שע</w:t>
      </w:r>
      <w:r w:rsidR="00696560">
        <w:rPr>
          <w:rFonts w:cs="David" w:hint="cs"/>
          <w:sz w:val="24"/>
          <w:szCs w:val="24"/>
          <w:rtl/>
        </w:rPr>
        <w:t>ר ה</w:t>
      </w:r>
      <w:r w:rsidR="007A451D" w:rsidRPr="007A451D">
        <w:rPr>
          <w:rFonts w:cs="David" w:hint="cs"/>
          <w:sz w:val="24"/>
          <w:szCs w:val="24"/>
          <w:rtl/>
        </w:rPr>
        <w:t>ח</w:t>
      </w:r>
      <w:r w:rsidR="00696560">
        <w:rPr>
          <w:rFonts w:cs="David" w:hint="cs"/>
          <w:sz w:val="24"/>
          <w:szCs w:val="24"/>
          <w:rtl/>
        </w:rPr>
        <w:t>ליפין</w:t>
      </w:r>
      <w:r w:rsidR="007A451D" w:rsidRPr="007A451D">
        <w:rPr>
          <w:rFonts w:cs="David" w:hint="cs"/>
          <w:sz w:val="24"/>
          <w:szCs w:val="24"/>
          <w:rtl/>
        </w:rPr>
        <w:t xml:space="preserve"> על היצוא פוח</w:t>
      </w:r>
      <w:r w:rsidR="008E2C30">
        <w:rPr>
          <w:rFonts w:cs="David" w:hint="cs"/>
          <w:sz w:val="24"/>
          <w:szCs w:val="24"/>
          <w:rtl/>
        </w:rPr>
        <w:t>ת</w:t>
      </w:r>
      <w:r w:rsidR="007A451D" w:rsidRPr="007A451D">
        <w:rPr>
          <w:rFonts w:cs="David" w:hint="cs"/>
          <w:sz w:val="24"/>
          <w:szCs w:val="24"/>
          <w:rtl/>
        </w:rPr>
        <w:t xml:space="preserve">ת ככל שגודל החברה, העצימות הטכנולוגית והפריון </w:t>
      </w:r>
      <w:r w:rsidR="00696560">
        <w:rPr>
          <w:rFonts w:cs="David" w:hint="cs"/>
          <w:sz w:val="24"/>
          <w:szCs w:val="24"/>
          <w:rtl/>
        </w:rPr>
        <w:t xml:space="preserve">בה </w:t>
      </w:r>
      <w:r w:rsidR="007A451D" w:rsidRPr="007A451D">
        <w:rPr>
          <w:rFonts w:cs="David" w:hint="cs"/>
          <w:sz w:val="24"/>
          <w:szCs w:val="24"/>
          <w:rtl/>
        </w:rPr>
        <w:t>רב</w:t>
      </w:r>
      <w:r w:rsidR="007F2C3C">
        <w:rPr>
          <w:rFonts w:cs="David" w:hint="cs"/>
          <w:sz w:val="24"/>
          <w:szCs w:val="24"/>
          <w:rtl/>
        </w:rPr>
        <w:t>ים</w:t>
      </w:r>
      <w:r w:rsidR="007A451D" w:rsidRPr="007A451D">
        <w:rPr>
          <w:rFonts w:cs="David" w:hint="cs"/>
          <w:sz w:val="24"/>
          <w:szCs w:val="24"/>
          <w:rtl/>
        </w:rPr>
        <w:t xml:space="preserve"> יותר. מכיוון שהיצוא התעשייתי </w:t>
      </w:r>
      <w:r w:rsidR="007F2C3C">
        <w:rPr>
          <w:rFonts w:cs="David" w:hint="cs"/>
          <w:sz w:val="24"/>
          <w:szCs w:val="24"/>
          <w:rtl/>
        </w:rPr>
        <w:t xml:space="preserve">בישראל </w:t>
      </w:r>
      <w:r w:rsidR="007A451D" w:rsidRPr="007A451D">
        <w:rPr>
          <w:rFonts w:cs="David" w:hint="cs"/>
          <w:sz w:val="24"/>
          <w:szCs w:val="24"/>
          <w:rtl/>
        </w:rPr>
        <w:t xml:space="preserve">מרוכז ברובו בקבוצה מצומצמת של חברות גדולות המתאפיינות בפריון גבוה, </w:t>
      </w:r>
      <w:r w:rsidR="00696560" w:rsidRPr="00F74EBB">
        <w:rPr>
          <w:rFonts w:cs="David" w:hint="eastAsia"/>
          <w:b/>
          <w:bCs/>
          <w:sz w:val="24"/>
          <w:szCs w:val="24"/>
          <w:rtl/>
        </w:rPr>
        <w:lastRenderedPageBreak/>
        <w:t>נמצא</w:t>
      </w:r>
      <w:r w:rsidR="00696560" w:rsidRPr="00F74EBB">
        <w:rPr>
          <w:rFonts w:cs="David"/>
          <w:b/>
          <w:bCs/>
          <w:sz w:val="24"/>
          <w:szCs w:val="24"/>
          <w:rtl/>
        </w:rPr>
        <w:t xml:space="preserve"> </w:t>
      </w:r>
      <w:r w:rsidR="00C41B0A">
        <w:rPr>
          <w:rFonts w:cs="David" w:hint="cs"/>
          <w:b/>
          <w:bCs/>
          <w:sz w:val="24"/>
          <w:szCs w:val="24"/>
          <w:rtl/>
        </w:rPr>
        <w:t>כי ה</w:t>
      </w:r>
      <w:r w:rsidR="007A451D" w:rsidRPr="00F74EBB">
        <w:rPr>
          <w:rFonts w:cs="David" w:hint="eastAsia"/>
          <w:b/>
          <w:bCs/>
          <w:sz w:val="24"/>
          <w:szCs w:val="24"/>
          <w:rtl/>
        </w:rPr>
        <w:t>השפעה</w:t>
      </w:r>
      <w:r w:rsidR="00696560" w:rsidRPr="00F74EBB">
        <w:rPr>
          <w:rFonts w:cs="David"/>
          <w:b/>
          <w:bCs/>
          <w:sz w:val="24"/>
          <w:szCs w:val="24"/>
          <w:rtl/>
        </w:rPr>
        <w:t xml:space="preserve"> </w:t>
      </w:r>
      <w:r w:rsidR="007A451D" w:rsidRPr="00F74EBB">
        <w:rPr>
          <w:rFonts w:cs="David"/>
          <w:b/>
          <w:bCs/>
          <w:sz w:val="24"/>
          <w:szCs w:val="24"/>
          <w:rtl/>
        </w:rPr>
        <w:t>של שע</w:t>
      </w:r>
      <w:r w:rsidR="00696560" w:rsidRPr="00F74EBB">
        <w:rPr>
          <w:rFonts w:cs="David" w:hint="eastAsia"/>
          <w:b/>
          <w:bCs/>
          <w:sz w:val="24"/>
          <w:szCs w:val="24"/>
          <w:rtl/>
        </w:rPr>
        <w:t>ר</w:t>
      </w:r>
      <w:r w:rsidR="00696560" w:rsidRPr="00F74EBB">
        <w:rPr>
          <w:rFonts w:cs="David"/>
          <w:b/>
          <w:bCs/>
          <w:sz w:val="24"/>
          <w:szCs w:val="24"/>
          <w:rtl/>
        </w:rPr>
        <w:t xml:space="preserve"> </w:t>
      </w:r>
      <w:r w:rsidR="00696560" w:rsidRPr="00F74EBB">
        <w:rPr>
          <w:rFonts w:cs="David" w:hint="eastAsia"/>
          <w:b/>
          <w:bCs/>
          <w:sz w:val="24"/>
          <w:szCs w:val="24"/>
          <w:rtl/>
        </w:rPr>
        <w:t>ה</w:t>
      </w:r>
      <w:r w:rsidR="007A451D" w:rsidRPr="00F74EBB">
        <w:rPr>
          <w:rFonts w:cs="David" w:hint="eastAsia"/>
          <w:b/>
          <w:bCs/>
          <w:sz w:val="24"/>
          <w:szCs w:val="24"/>
          <w:rtl/>
        </w:rPr>
        <w:t>ח</w:t>
      </w:r>
      <w:r w:rsidR="00696560" w:rsidRPr="00F74EBB">
        <w:rPr>
          <w:rFonts w:cs="David" w:hint="eastAsia"/>
          <w:b/>
          <w:bCs/>
          <w:sz w:val="24"/>
          <w:szCs w:val="24"/>
          <w:rtl/>
        </w:rPr>
        <w:t>ליפין</w:t>
      </w:r>
      <w:r w:rsidR="007A451D" w:rsidRPr="00F74EBB">
        <w:rPr>
          <w:rFonts w:cs="David"/>
          <w:b/>
          <w:bCs/>
          <w:sz w:val="24"/>
          <w:szCs w:val="24"/>
          <w:rtl/>
        </w:rPr>
        <w:t xml:space="preserve"> על </w:t>
      </w:r>
      <w:r w:rsidR="007A451D" w:rsidRPr="00F74EBB">
        <w:rPr>
          <w:rFonts w:cs="David" w:hint="eastAsia"/>
          <w:b/>
          <w:bCs/>
          <w:i/>
          <w:iCs/>
          <w:sz w:val="24"/>
          <w:szCs w:val="24"/>
          <w:rtl/>
        </w:rPr>
        <w:t>סך</w:t>
      </w:r>
      <w:r w:rsidR="007F2C3C" w:rsidRPr="00F74EBB">
        <w:rPr>
          <w:rFonts w:cs="David"/>
          <w:b/>
          <w:bCs/>
          <w:sz w:val="24"/>
          <w:szCs w:val="24"/>
          <w:rtl/>
        </w:rPr>
        <w:t xml:space="preserve"> </w:t>
      </w:r>
      <w:r w:rsidR="007A451D" w:rsidRPr="00F74EBB">
        <w:rPr>
          <w:rFonts w:cs="David" w:hint="eastAsia"/>
          <w:b/>
          <w:bCs/>
          <w:sz w:val="24"/>
          <w:szCs w:val="24"/>
          <w:rtl/>
        </w:rPr>
        <w:t>היצוא</w:t>
      </w:r>
      <w:r w:rsidR="007A451D" w:rsidRPr="00F74EBB">
        <w:rPr>
          <w:rFonts w:cs="David"/>
          <w:b/>
          <w:bCs/>
          <w:sz w:val="24"/>
          <w:szCs w:val="24"/>
          <w:rtl/>
        </w:rPr>
        <w:t xml:space="preserve"> התעשייתי</w:t>
      </w:r>
      <w:r w:rsidR="00C41B0A">
        <w:rPr>
          <w:rFonts w:cs="David" w:hint="cs"/>
          <w:b/>
          <w:bCs/>
          <w:sz w:val="24"/>
          <w:szCs w:val="24"/>
          <w:rtl/>
        </w:rPr>
        <w:t xml:space="preserve"> קטנה ואינה שונה מאפס באופן מובהק</w:t>
      </w:r>
      <w:r w:rsidR="007A451D" w:rsidRPr="00F74EBB">
        <w:rPr>
          <w:rFonts w:cs="David"/>
          <w:b/>
          <w:bCs/>
          <w:sz w:val="24"/>
          <w:szCs w:val="24"/>
          <w:rtl/>
        </w:rPr>
        <w:t>, לפחות בטווח הקצר</w:t>
      </w:r>
      <w:r w:rsidR="00C41B0A">
        <w:rPr>
          <w:rFonts w:cs="David" w:hint="cs"/>
          <w:b/>
          <w:bCs/>
          <w:sz w:val="24"/>
          <w:szCs w:val="24"/>
          <w:rtl/>
        </w:rPr>
        <w:t xml:space="preserve"> (עד שנתיים)</w:t>
      </w:r>
      <w:r w:rsidR="007A451D" w:rsidRPr="00F74EBB">
        <w:rPr>
          <w:rFonts w:cs="David"/>
          <w:b/>
          <w:bCs/>
          <w:sz w:val="24"/>
          <w:szCs w:val="24"/>
          <w:rtl/>
        </w:rPr>
        <w:t xml:space="preserve">. </w:t>
      </w:r>
    </w:p>
    <w:p w14:paraId="23D04F20" w14:textId="084ADD49" w:rsidR="006464C3" w:rsidRPr="006464C3" w:rsidRDefault="006464C3" w:rsidP="006464C3">
      <w:pPr>
        <w:spacing w:before="120" w:after="120" w:line="360" w:lineRule="auto"/>
        <w:jc w:val="both"/>
        <w:rPr>
          <w:rFonts w:cs="David"/>
          <w:b/>
          <w:bCs/>
          <w:sz w:val="24"/>
          <w:szCs w:val="24"/>
        </w:rPr>
      </w:pPr>
      <w:r w:rsidRPr="00A44F20">
        <w:rPr>
          <w:rFonts w:cs="David" w:hint="eastAsia"/>
          <w:b/>
          <w:bCs/>
          <w:sz w:val="24"/>
          <w:szCs w:val="24"/>
          <w:rtl/>
        </w:rPr>
        <w:t>לצד</w:t>
      </w:r>
      <w:r w:rsidRPr="00A44F20">
        <w:rPr>
          <w:rFonts w:cs="David"/>
          <w:b/>
          <w:bCs/>
          <w:sz w:val="24"/>
          <w:szCs w:val="24"/>
          <w:rtl/>
        </w:rPr>
        <w:t xml:space="preserve"> זאת, שע"ח משפיע באופן משמעותי על חברות קטנות המתאפיינות בפריון נמוך. </w:t>
      </w:r>
      <w:r w:rsidRPr="00A44F20">
        <w:rPr>
          <w:rFonts w:cs="David" w:hint="eastAsia"/>
          <w:sz w:val="24"/>
          <w:szCs w:val="24"/>
          <w:rtl/>
        </w:rPr>
        <w:t>עבור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חברות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אלו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ייסוף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ריאלי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של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אחוז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צפוי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להוביל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לירידה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של</w:t>
      </w:r>
      <w:r w:rsidRPr="00A44F20">
        <w:rPr>
          <w:rFonts w:cs="David"/>
          <w:sz w:val="24"/>
          <w:szCs w:val="24"/>
          <w:rtl/>
        </w:rPr>
        <w:t xml:space="preserve"> 1.6-2 </w:t>
      </w:r>
      <w:r w:rsidRPr="00A44F20">
        <w:rPr>
          <w:rFonts w:cs="David" w:hint="eastAsia"/>
          <w:sz w:val="24"/>
          <w:szCs w:val="24"/>
          <w:rtl/>
        </w:rPr>
        <w:t>אחוזים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ביצוא</w:t>
      </w:r>
      <w:r w:rsidRPr="00A44F20">
        <w:rPr>
          <w:rFonts w:cs="David"/>
          <w:sz w:val="24"/>
          <w:szCs w:val="24"/>
          <w:rtl/>
        </w:rPr>
        <w:t xml:space="preserve">. </w:t>
      </w:r>
      <w:r w:rsidRPr="00A44F20">
        <w:rPr>
          <w:rFonts w:cs="David" w:hint="eastAsia"/>
          <w:sz w:val="24"/>
          <w:szCs w:val="24"/>
          <w:rtl/>
        </w:rPr>
        <w:t>כמו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כן</w:t>
      </w:r>
      <w:r w:rsidRPr="00A44F20">
        <w:rPr>
          <w:rFonts w:cs="David"/>
          <w:sz w:val="24"/>
          <w:szCs w:val="24"/>
          <w:rtl/>
        </w:rPr>
        <w:t xml:space="preserve">, </w:t>
      </w:r>
      <w:r w:rsidRPr="00A44F20">
        <w:rPr>
          <w:rFonts w:cs="David" w:hint="eastAsia"/>
          <w:sz w:val="24"/>
          <w:szCs w:val="24"/>
          <w:rtl/>
        </w:rPr>
        <w:t>ייסוף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של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אחוז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מעלה</w:t>
      </w:r>
      <w:r w:rsidRPr="00A44F20">
        <w:rPr>
          <w:rFonts w:cs="David"/>
          <w:sz w:val="24"/>
          <w:szCs w:val="24"/>
          <w:rtl/>
        </w:rPr>
        <w:t xml:space="preserve"> </w:t>
      </w:r>
      <w:r w:rsidRPr="00A44F20">
        <w:rPr>
          <w:rFonts w:cs="David" w:hint="eastAsia"/>
          <w:sz w:val="24"/>
          <w:szCs w:val="24"/>
          <w:rtl/>
        </w:rPr>
        <w:t>ב</w:t>
      </w:r>
      <w:r w:rsidRPr="00A44F20">
        <w:rPr>
          <w:rFonts w:cs="David"/>
          <w:sz w:val="24"/>
          <w:szCs w:val="24"/>
          <w:rtl/>
        </w:rPr>
        <w:t xml:space="preserve">-0.8 </w:t>
      </w:r>
      <w:r w:rsidRPr="00A44F20">
        <w:rPr>
          <w:rFonts w:cs="David" w:hint="eastAsia"/>
          <w:sz w:val="24"/>
          <w:szCs w:val="24"/>
          <w:rtl/>
        </w:rPr>
        <w:t>נק</w:t>
      </w:r>
      <w:r>
        <w:rPr>
          <w:rFonts w:cs="David" w:hint="cs"/>
          <w:sz w:val="24"/>
          <w:szCs w:val="24"/>
          <w:rtl/>
        </w:rPr>
        <w:t xml:space="preserve">' </w:t>
      </w:r>
      <w:r w:rsidRPr="00A44F20">
        <w:rPr>
          <w:rFonts w:cs="David" w:hint="eastAsia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חוז את</w:t>
      </w:r>
      <w:r w:rsidRPr="00A44F20">
        <w:rPr>
          <w:rFonts w:cs="David"/>
          <w:sz w:val="24"/>
          <w:szCs w:val="24"/>
          <w:rtl/>
        </w:rPr>
        <w:t xml:space="preserve"> ההסתברות של חברה קטנה להפסיק לייצא.</w:t>
      </w:r>
    </w:p>
    <w:p w14:paraId="42A1FD94" w14:textId="797B39E7" w:rsidR="0059577A" w:rsidRDefault="00404E6F" w:rsidP="00FA7DB9">
      <w:pPr>
        <w:spacing w:before="120" w:after="12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השפעת שער החליפין אינה מתמצה רק בתחום סחר החוץ. במחקר נמצא ש</w:t>
      </w:r>
      <w:r w:rsidR="0059577A" w:rsidRPr="0059577A">
        <w:rPr>
          <w:rFonts w:cs="David"/>
          <w:sz w:val="24"/>
          <w:szCs w:val="24"/>
          <w:rtl/>
        </w:rPr>
        <w:t xml:space="preserve">ייסוף </w:t>
      </w:r>
      <w:r w:rsidR="007A451D">
        <w:rPr>
          <w:rFonts w:cs="David" w:hint="cs"/>
          <w:sz w:val="24"/>
          <w:szCs w:val="24"/>
          <w:rtl/>
        </w:rPr>
        <w:t xml:space="preserve">של אחוז מפחית </w:t>
      </w:r>
      <w:r w:rsidR="00B1176E">
        <w:rPr>
          <w:rFonts w:cs="David" w:hint="cs"/>
          <w:sz w:val="24"/>
          <w:szCs w:val="24"/>
          <w:rtl/>
        </w:rPr>
        <w:t xml:space="preserve">כעבור שנה </w:t>
      </w:r>
      <w:r w:rsidR="007A451D">
        <w:rPr>
          <w:rFonts w:cs="David" w:hint="cs"/>
          <w:sz w:val="24"/>
          <w:szCs w:val="24"/>
          <w:rtl/>
        </w:rPr>
        <w:t xml:space="preserve">את </w:t>
      </w:r>
      <w:r w:rsidR="00F84D73">
        <w:rPr>
          <w:rFonts w:cs="David" w:hint="cs"/>
          <w:sz w:val="24"/>
          <w:szCs w:val="24"/>
          <w:rtl/>
        </w:rPr>
        <w:t xml:space="preserve">סך </w:t>
      </w:r>
      <w:r w:rsidR="0059577A" w:rsidRPr="0059577A">
        <w:rPr>
          <w:rFonts w:cs="David"/>
          <w:sz w:val="24"/>
          <w:szCs w:val="24"/>
          <w:rtl/>
        </w:rPr>
        <w:t xml:space="preserve">מכירות המקומיות </w:t>
      </w:r>
      <w:r w:rsidR="00B1176E">
        <w:rPr>
          <w:rFonts w:cs="David" w:hint="cs"/>
          <w:sz w:val="24"/>
          <w:szCs w:val="24"/>
          <w:rtl/>
        </w:rPr>
        <w:t xml:space="preserve">של </w:t>
      </w:r>
      <w:r w:rsidR="002A67FA">
        <w:rPr>
          <w:rFonts w:cs="David" w:hint="cs"/>
          <w:sz w:val="24"/>
          <w:szCs w:val="24"/>
          <w:rtl/>
        </w:rPr>
        <w:t>ה</w:t>
      </w:r>
      <w:r w:rsidR="0059577A" w:rsidRPr="0059577A">
        <w:rPr>
          <w:rFonts w:cs="David"/>
          <w:sz w:val="24"/>
          <w:szCs w:val="24"/>
          <w:rtl/>
        </w:rPr>
        <w:t>תעשייה</w:t>
      </w:r>
      <w:r w:rsidR="00B1176E">
        <w:rPr>
          <w:rFonts w:cs="David" w:hint="cs"/>
          <w:sz w:val="24"/>
          <w:szCs w:val="24"/>
          <w:rtl/>
        </w:rPr>
        <w:t xml:space="preserve"> בכ-0.</w:t>
      </w:r>
      <w:r w:rsidR="00F84D73">
        <w:rPr>
          <w:rFonts w:cs="David" w:hint="cs"/>
          <w:sz w:val="24"/>
          <w:szCs w:val="24"/>
          <w:rtl/>
        </w:rPr>
        <w:t>3</w:t>
      </w:r>
      <w:r w:rsidR="00B1176E">
        <w:rPr>
          <w:rFonts w:cs="David" w:hint="cs"/>
          <w:sz w:val="24"/>
          <w:szCs w:val="24"/>
          <w:rtl/>
        </w:rPr>
        <w:t>%</w:t>
      </w:r>
      <w:r w:rsidR="0059577A" w:rsidRPr="0059577A">
        <w:rPr>
          <w:rFonts w:cs="David"/>
          <w:sz w:val="24"/>
          <w:szCs w:val="24"/>
          <w:rtl/>
        </w:rPr>
        <w:t xml:space="preserve">, ככל הנראה מכיוון שהוא שוחק את כושר התחרות של היצרנים המקומיים </w:t>
      </w:r>
      <w:r>
        <w:rPr>
          <w:rFonts w:cs="David" w:hint="cs"/>
          <w:sz w:val="24"/>
          <w:szCs w:val="24"/>
          <w:rtl/>
        </w:rPr>
        <w:t>אל מול</w:t>
      </w:r>
      <w:r w:rsidRPr="0059577A">
        <w:rPr>
          <w:rFonts w:cs="David"/>
          <w:sz w:val="24"/>
          <w:szCs w:val="24"/>
          <w:rtl/>
        </w:rPr>
        <w:t xml:space="preserve"> </w:t>
      </w:r>
      <w:r w:rsidR="0059577A" w:rsidRPr="0059577A">
        <w:rPr>
          <w:rFonts w:cs="David"/>
          <w:sz w:val="24"/>
          <w:szCs w:val="24"/>
          <w:rtl/>
        </w:rPr>
        <w:t xml:space="preserve">היבוא המתחרה. </w:t>
      </w:r>
      <w:r w:rsidR="00B1176E">
        <w:rPr>
          <w:rFonts w:cs="David" w:hint="cs"/>
          <w:color w:val="000000"/>
          <w:sz w:val="24"/>
          <w:szCs w:val="24"/>
          <w:rtl/>
        </w:rPr>
        <w:t xml:space="preserve">השפעה זו נמצאה חזקה יותר עבור חברות גדולות בעלות פריון גבוה, </w:t>
      </w:r>
      <w:r w:rsidR="00C51028">
        <w:rPr>
          <w:rFonts w:cs="David" w:hint="cs"/>
          <w:color w:val="000000"/>
          <w:sz w:val="24"/>
          <w:szCs w:val="24"/>
          <w:rtl/>
        </w:rPr>
        <w:t>ש</w:t>
      </w:r>
      <w:r w:rsidR="00B1176E">
        <w:rPr>
          <w:rFonts w:cs="David" w:hint="cs"/>
          <w:color w:val="000000"/>
          <w:sz w:val="24"/>
          <w:szCs w:val="24"/>
          <w:rtl/>
        </w:rPr>
        <w:t xml:space="preserve">עבורן החשיפה ליבוא מתחרה </w:t>
      </w:r>
      <w:r w:rsidR="00C51028">
        <w:rPr>
          <w:rFonts w:cs="David" w:hint="cs"/>
          <w:color w:val="000000"/>
          <w:sz w:val="24"/>
          <w:szCs w:val="24"/>
          <w:rtl/>
        </w:rPr>
        <w:t xml:space="preserve">היא </w:t>
      </w:r>
      <w:r w:rsidR="00B1176E">
        <w:rPr>
          <w:rFonts w:cs="David" w:hint="cs"/>
          <w:color w:val="000000"/>
          <w:sz w:val="24"/>
          <w:szCs w:val="24"/>
          <w:rtl/>
        </w:rPr>
        <w:t>משמעותית יותר</w:t>
      </w:r>
      <w:r w:rsidR="00B1176E">
        <w:rPr>
          <w:rFonts w:cs="David"/>
          <w:color w:val="000000"/>
          <w:sz w:val="24"/>
          <w:szCs w:val="24"/>
          <w:rtl/>
        </w:rPr>
        <w:t xml:space="preserve">. </w:t>
      </w:r>
      <w:r w:rsidR="00B1176E">
        <w:rPr>
          <w:rFonts w:cs="David" w:hint="cs"/>
          <w:sz w:val="24"/>
          <w:szCs w:val="24"/>
          <w:rtl/>
        </w:rPr>
        <w:t>עם זאת, נראה כי השפעה זו מתפוגגת כעבור זמן, לפחות עבור החברות הגדולות</w:t>
      </w:r>
      <w:r w:rsidR="0059577A">
        <w:rPr>
          <w:rFonts w:cs="David" w:hint="cs"/>
          <w:sz w:val="24"/>
          <w:szCs w:val="24"/>
          <w:rtl/>
        </w:rPr>
        <w:t>.</w:t>
      </w:r>
    </w:p>
    <w:p w14:paraId="4423A1F6" w14:textId="4B4A872F" w:rsidR="005C09A2" w:rsidRPr="0093040A" w:rsidRDefault="00EB12A0" w:rsidP="008F2EAB">
      <w:pPr>
        <w:spacing w:after="100" w:afterAutospacing="1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כתוצאה מהשפעות אלו, </w:t>
      </w:r>
      <w:r w:rsidR="00404E6F" w:rsidRPr="0011457B">
        <w:rPr>
          <w:rFonts w:cs="David"/>
          <w:sz w:val="24"/>
          <w:szCs w:val="24"/>
          <w:rtl/>
        </w:rPr>
        <w:t>ייסוף של אחוז בא לידי ביטוי כעבור שנתיים בירידה של כ-0.3% במספר המשרות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בתעשייה</w:t>
      </w:r>
      <w:r>
        <w:rPr>
          <w:rFonts w:cs="David" w:hint="cs"/>
          <w:sz w:val="24"/>
          <w:szCs w:val="24"/>
          <w:rtl/>
        </w:rPr>
        <w:t xml:space="preserve">. נראה כי עיקר ההשפעה על התעסוקה ממוקדת בחברות בעצימות טכנולוגית נמוכה </w:t>
      </w:r>
      <w:r w:rsidR="00C5102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חשופות ליבוא מתחרה מחו"ל</w:t>
      </w:r>
      <w:r w:rsidRPr="008043F5">
        <w:rPr>
          <w:rFonts w:cs="David"/>
          <w:sz w:val="24"/>
          <w:szCs w:val="24"/>
          <w:rtl/>
        </w:rPr>
        <w:t>.</w:t>
      </w:r>
      <w:r w:rsidR="0093040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2E60076D" w14:textId="5B474631" w:rsidR="00F12204" w:rsidRDefault="00C41B0A" w:rsidP="007D47E3">
      <w:pPr>
        <w:spacing w:after="100" w:afterAutospacing="1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חשוב להדגיש כי 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כל 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>ה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השפעות מתייחסות לטווח הקצר, עד שנתיים. בטווח הארוך </w:t>
      </w:r>
      <w:r w:rsidR="00334515">
        <w:rPr>
          <w:rFonts w:ascii="Times New Roman" w:hAnsi="Times New Roman" w:cs="David" w:hint="cs"/>
          <w:sz w:val="24"/>
          <w:szCs w:val="24"/>
          <w:rtl/>
        </w:rPr>
        <w:t xml:space="preserve">תיתכנה 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השפעות נוספות שאינן ניתנות למדידה בשיטת חקירה זו. </w:t>
      </w:r>
      <w:r w:rsidR="0093040A">
        <w:rPr>
          <w:rFonts w:ascii="Times New Roman" w:hAnsi="Times New Roman" w:cs="David" w:hint="cs"/>
          <w:sz w:val="24"/>
          <w:szCs w:val="24"/>
          <w:rtl/>
        </w:rPr>
        <w:t xml:space="preserve">עם זאת, </w:t>
      </w:r>
      <w:r w:rsidR="00404E6F">
        <w:rPr>
          <w:rFonts w:ascii="Times New Roman" w:hAnsi="Times New Roman" w:cs="David" w:hint="cs"/>
          <w:sz w:val="24"/>
          <w:szCs w:val="24"/>
          <w:rtl/>
        </w:rPr>
        <w:t xml:space="preserve">החוקרים קיבלו 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>אינדיקציו</w:t>
      </w:r>
      <w:r w:rsidR="00F12204" w:rsidRPr="002F391D">
        <w:rPr>
          <w:rFonts w:ascii="Times New Roman" w:hAnsi="Times New Roman" w:cs="David" w:hint="eastAsia"/>
          <w:sz w:val="24"/>
          <w:szCs w:val="24"/>
          <w:rtl/>
        </w:rPr>
        <w:t>ת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 xml:space="preserve"> לגבי 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השפעות 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 xml:space="preserve">ממושכות יותר </w:t>
      </w:r>
      <w:r w:rsidR="00334515">
        <w:rPr>
          <w:rFonts w:ascii="Times New Roman" w:hAnsi="Times New Roman" w:cs="David" w:hint="cs"/>
          <w:sz w:val="24"/>
          <w:szCs w:val="24"/>
          <w:rtl/>
        </w:rPr>
        <w:t xml:space="preserve">באמצעות 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>בחינ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>ת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 ההשפעה</w:t>
      </w:r>
      <w:r w:rsidR="00F12204" w:rsidRPr="002F391D">
        <w:rPr>
          <w:rFonts w:ascii="Times New Roman" w:hAnsi="Times New Roman" w:cs="David" w:hint="cs"/>
          <w:sz w:val="24"/>
          <w:szCs w:val="24"/>
          <w:rtl/>
        </w:rPr>
        <w:t xml:space="preserve"> של שע</w:t>
      </w:r>
      <w:r w:rsidR="00404E6F">
        <w:rPr>
          <w:rFonts w:ascii="Times New Roman" w:hAnsi="Times New Roman" w:cs="David" w:hint="cs"/>
          <w:sz w:val="24"/>
          <w:szCs w:val="24"/>
          <w:rtl/>
        </w:rPr>
        <w:t>ר החליפין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 על היקף ההשקעות של החבר</w:t>
      </w:r>
      <w:r w:rsidR="00805728">
        <w:rPr>
          <w:rFonts w:ascii="Times New Roman" w:hAnsi="Times New Roman" w:cs="David" w:hint="cs"/>
          <w:sz w:val="24"/>
          <w:szCs w:val="24"/>
          <w:rtl/>
        </w:rPr>
        <w:t>ות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. התוצאות מראות כי ייסוף מפחית את ההשקעות של חברות שבהן ההשקעה </w:t>
      </w:r>
      <w:r w:rsidR="00EB12A0">
        <w:rPr>
          <w:rFonts w:ascii="Times New Roman" w:hAnsi="Times New Roman" w:cs="David" w:hint="cs"/>
          <w:sz w:val="24"/>
          <w:szCs w:val="24"/>
          <w:rtl/>
        </w:rPr>
        <w:t>היא בעיקר ממקורות מקומיים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 (מו"פ), בשל שחיקה של כושר התחרות מול חברות בחו"ל. לעומת זאת, חברות שבהן ההשקעות מתרכזות </w:t>
      </w:r>
      <w:r w:rsidR="00BF7A90">
        <w:rPr>
          <w:rFonts w:ascii="Times New Roman" w:hAnsi="Times New Roman" w:cs="David" w:hint="cs"/>
          <w:sz w:val="24"/>
          <w:szCs w:val="24"/>
          <w:rtl/>
        </w:rPr>
        <w:t>ב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>רכיבים עתירי יבוא בדרך כלל (מכונות וציוד, כלי רכב, מחשבים ורהיטים)</w:t>
      </w:r>
      <w:r w:rsidR="00BF7A90">
        <w:rPr>
          <w:rFonts w:ascii="Times New Roman" w:hAnsi="Times New Roman" w:cs="David" w:hint="cs"/>
          <w:sz w:val="24"/>
          <w:szCs w:val="24"/>
          <w:rtl/>
        </w:rPr>
        <w:t>,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 נוטות להגדיל את ההשקעה כתוצאה מהוזלת </w:t>
      </w:r>
      <w:r w:rsidR="00DE3933">
        <w:rPr>
          <w:rFonts w:ascii="Times New Roman" w:hAnsi="Times New Roman" w:cs="David" w:hint="cs"/>
          <w:sz w:val="24"/>
          <w:szCs w:val="24"/>
          <w:rtl/>
        </w:rPr>
        <w:t xml:space="preserve">מחיר </w:t>
      </w:r>
      <w:r w:rsidR="00F12204" w:rsidRPr="002F391D">
        <w:rPr>
          <w:rFonts w:ascii="Times New Roman" w:hAnsi="Times New Roman" w:cs="David"/>
          <w:sz w:val="24"/>
          <w:szCs w:val="24"/>
          <w:rtl/>
        </w:rPr>
        <w:t xml:space="preserve">ההשקעה (בשקלים). השפעות אלו פוחתות ככל שהפריון של החברה גבוה יותר. </w:t>
      </w:r>
      <w:r w:rsidR="008F2EAB" w:rsidRPr="008F2EAB">
        <w:rPr>
          <w:rFonts w:cs="David" w:hint="cs"/>
          <w:sz w:val="24"/>
          <w:szCs w:val="24"/>
          <w:rtl/>
        </w:rPr>
        <w:t>בתקציר זה אנו מתייחסים לתרחיש של ייסוף בשקל, אך כלל השפעות אלו הפוכות במקרה של פיחות.</w:t>
      </w:r>
      <w:r w:rsidR="003E3AE0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740FAC7D" w14:textId="25712618" w:rsidR="003F2C46" w:rsidRPr="00793E82" w:rsidRDefault="003F2C46" w:rsidP="003F2C46">
      <w:pPr>
        <w:spacing w:after="100" w:afterAutospacing="1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בנוסף,</w:t>
      </w:r>
      <w:r w:rsidRPr="00793E82">
        <w:rPr>
          <w:rFonts w:ascii="Times New Roman" w:hAnsi="Times New Roman" w:cs="David"/>
          <w:sz w:val="24"/>
          <w:szCs w:val="24"/>
          <w:rtl/>
        </w:rPr>
        <w:t xml:space="preserve"> חשוב ל</w:t>
      </w:r>
      <w:r w:rsidR="008F2EAB">
        <w:rPr>
          <w:rFonts w:ascii="Times New Roman" w:hAnsi="Times New Roman" w:cs="David" w:hint="cs"/>
          <w:sz w:val="24"/>
          <w:szCs w:val="24"/>
          <w:rtl/>
        </w:rPr>
        <w:t>הדגיש</w:t>
      </w:r>
      <w:r w:rsidRPr="00793E82">
        <w:rPr>
          <w:rFonts w:ascii="Times New Roman" w:hAnsi="Times New Roman" w:cs="David"/>
          <w:sz w:val="24"/>
          <w:szCs w:val="24"/>
          <w:rtl/>
        </w:rPr>
        <w:t xml:space="preserve"> שהמחקר הנוכחי אומד רק את התרומה הישירה של שע"ח לפעילות הייצור המקומית, אך לשינויים </w:t>
      </w:r>
      <w:proofErr w:type="spellStart"/>
      <w:r w:rsidRPr="00793E82">
        <w:rPr>
          <w:rFonts w:ascii="Times New Roman" w:hAnsi="Times New Roman" w:cs="David"/>
          <w:sz w:val="24"/>
          <w:szCs w:val="24"/>
          <w:rtl/>
        </w:rPr>
        <w:t>בשע"ח</w:t>
      </w:r>
      <w:proofErr w:type="spellEnd"/>
      <w:r w:rsidRPr="00793E82">
        <w:rPr>
          <w:rFonts w:ascii="Times New Roman" w:hAnsi="Times New Roman" w:cs="David"/>
          <w:sz w:val="24"/>
          <w:szCs w:val="24"/>
          <w:rtl/>
        </w:rPr>
        <w:t xml:space="preserve"> צפויות גם השפעות עקיפות, למשל דרך הצריכה הפרטית וההכנסות של משקי הבית</w:t>
      </w:r>
      <w:r w:rsidRPr="00793E82">
        <w:rPr>
          <w:rFonts w:ascii="Times New Roman" w:hAnsi="Times New Roman" w:cs="David"/>
          <w:sz w:val="24"/>
          <w:szCs w:val="24"/>
        </w:rPr>
        <w:t>.</w:t>
      </w:r>
      <w:r w:rsidRPr="00793E82">
        <w:rPr>
          <w:rFonts w:ascii="Times New Roman" w:hAnsi="Times New Roman" w:cs="David"/>
          <w:sz w:val="24"/>
          <w:szCs w:val="24"/>
          <w:rtl/>
        </w:rPr>
        <w:t xml:space="preserve"> לכן, לא ניתן ללמוד מהתוצאות הנ"ל לגבי ההשפעה הכוללת של שע"ח על </w:t>
      </w:r>
      <w:r>
        <w:rPr>
          <w:rFonts w:ascii="Times New Roman" w:hAnsi="Times New Roman" w:cs="David" w:hint="cs"/>
          <w:sz w:val="24"/>
          <w:szCs w:val="24"/>
          <w:rtl/>
        </w:rPr>
        <w:t>התעסוקה ו</w:t>
      </w:r>
      <w:r w:rsidRPr="00793E82">
        <w:rPr>
          <w:rFonts w:ascii="Times New Roman" w:hAnsi="Times New Roman" w:cs="David"/>
          <w:sz w:val="24"/>
          <w:szCs w:val="24"/>
          <w:rtl/>
        </w:rPr>
        <w:t>הפעילות הכלכלית במשק.</w:t>
      </w:r>
    </w:p>
    <w:p w14:paraId="0EEECF94" w14:textId="77777777" w:rsidR="003F2C46" w:rsidRPr="002F391D" w:rsidRDefault="003F2C46" w:rsidP="00FA7DB9">
      <w:pPr>
        <w:spacing w:after="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14:paraId="36DC157B" w14:textId="77777777" w:rsidR="00B97CFD" w:rsidRDefault="00B97CFD">
      <w:pPr>
        <w:bidi w:val="0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br w:type="page"/>
      </w:r>
    </w:p>
    <w:p w14:paraId="4FFC16F2" w14:textId="1F4B4D90" w:rsidR="009E1386" w:rsidRPr="009E1386" w:rsidRDefault="008F2EAB" w:rsidP="00EE51C1">
      <w:pPr>
        <w:spacing w:after="60" w:line="240" w:lineRule="auto"/>
        <w:ind w:left="-1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1: </w:t>
      </w:r>
      <w:r w:rsidR="009E1386" w:rsidRPr="009E1386">
        <w:rPr>
          <w:rFonts w:cs="David" w:hint="cs"/>
          <w:b/>
          <w:bCs/>
          <w:sz w:val="24"/>
          <w:szCs w:val="24"/>
          <w:rtl/>
        </w:rPr>
        <w:t xml:space="preserve">ההשפעה </w:t>
      </w:r>
      <w:r w:rsidR="001C5C8A">
        <w:rPr>
          <w:rFonts w:cs="David" w:hint="cs"/>
          <w:b/>
          <w:bCs/>
          <w:sz w:val="24"/>
          <w:szCs w:val="24"/>
          <w:rtl/>
        </w:rPr>
        <w:t xml:space="preserve">המצרפית </w:t>
      </w:r>
      <w:r w:rsidR="009E1386" w:rsidRPr="009E1386">
        <w:rPr>
          <w:rFonts w:cs="David" w:hint="cs"/>
          <w:b/>
          <w:bCs/>
          <w:sz w:val="24"/>
          <w:szCs w:val="24"/>
          <w:rtl/>
        </w:rPr>
        <w:t xml:space="preserve">של ייסוף </w:t>
      </w:r>
      <w:r w:rsidR="009E1386">
        <w:rPr>
          <w:rFonts w:cs="David" w:hint="cs"/>
          <w:b/>
          <w:bCs/>
          <w:sz w:val="24"/>
          <w:szCs w:val="24"/>
          <w:rtl/>
        </w:rPr>
        <w:t xml:space="preserve">ריאלי </w:t>
      </w:r>
      <w:r w:rsidR="009E1386" w:rsidRPr="009E1386">
        <w:rPr>
          <w:rFonts w:cs="David" w:hint="cs"/>
          <w:b/>
          <w:bCs/>
          <w:sz w:val="24"/>
          <w:szCs w:val="24"/>
          <w:rtl/>
        </w:rPr>
        <w:t xml:space="preserve">של אחוז על </w:t>
      </w:r>
      <w:r w:rsidR="001C5C8A">
        <w:rPr>
          <w:rFonts w:cs="David" w:hint="cs"/>
          <w:b/>
          <w:bCs/>
          <w:sz w:val="24"/>
          <w:szCs w:val="24"/>
          <w:rtl/>
        </w:rPr>
        <w:t>משתנים שונים ב</w:t>
      </w:r>
      <w:r w:rsidR="009E1386" w:rsidRPr="009E1386">
        <w:rPr>
          <w:rFonts w:cs="David" w:hint="cs"/>
          <w:b/>
          <w:bCs/>
          <w:sz w:val="24"/>
          <w:szCs w:val="24"/>
          <w:rtl/>
        </w:rPr>
        <w:t>ענפי התעשייה</w:t>
      </w:r>
    </w:p>
    <w:p w14:paraId="198EABE2" w14:textId="77777777" w:rsidR="009E1386" w:rsidRDefault="009E1386" w:rsidP="001C5C8A">
      <w:pPr>
        <w:spacing w:before="120" w:after="120" w:line="360" w:lineRule="auto"/>
        <w:ind w:left="-710"/>
        <w:jc w:val="center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032BFCA" wp14:editId="747BC137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D30E2C7-6375-4946-866E-C45DB03F5F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97A418" w14:textId="24A78917" w:rsidR="009E1386" w:rsidRDefault="008F2EAB" w:rsidP="00C41B0A">
      <w:pPr>
        <w:spacing w:after="0" w:line="240" w:lineRule="auto"/>
        <w:jc w:val="both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מקור: ברק וברנד (2022)</w:t>
      </w:r>
    </w:p>
    <w:p w14:paraId="618B3070" w14:textId="45A89BBF" w:rsidR="00C41B0A" w:rsidRDefault="00C41B0A" w:rsidP="00C41B0A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sz w:val="18"/>
          <w:szCs w:val="18"/>
          <w:rtl/>
        </w:rPr>
        <w:t xml:space="preserve">- </w:t>
      </w:r>
      <w:r w:rsidRPr="00D3472B">
        <w:rPr>
          <w:rFonts w:ascii="David" w:hAnsi="David" w:cs="David"/>
          <w:sz w:val="18"/>
          <w:szCs w:val="18"/>
          <w:rtl/>
        </w:rPr>
        <w:t>הסימון השחור מציין את רווח הסמך</w:t>
      </w:r>
      <w:r>
        <w:rPr>
          <w:rFonts w:ascii="David" w:hAnsi="David" w:cs="David" w:hint="cs"/>
          <w:sz w:val="18"/>
          <w:szCs w:val="18"/>
          <w:rtl/>
        </w:rPr>
        <w:t xml:space="preserve">. האומדן עבור הייצוא התעשייתי </w:t>
      </w:r>
      <w:r w:rsidR="00A612FE">
        <w:rPr>
          <w:rFonts w:ascii="David" w:hAnsi="David" w:cs="David" w:hint="cs"/>
          <w:sz w:val="18"/>
          <w:szCs w:val="18"/>
          <w:rtl/>
        </w:rPr>
        <w:t>אינו שונה מאפס באופן מובהק.</w:t>
      </w:r>
    </w:p>
    <w:p w14:paraId="4A42FEE9" w14:textId="77777777" w:rsidR="00C41B0A" w:rsidRPr="00B608F0" w:rsidRDefault="00C41B0A" w:rsidP="009E1386">
      <w:pPr>
        <w:spacing w:before="120" w:after="120" w:line="360" w:lineRule="auto"/>
        <w:jc w:val="both"/>
        <w:rPr>
          <w:rFonts w:cs="David"/>
          <w:sz w:val="18"/>
          <w:szCs w:val="18"/>
          <w:rtl/>
        </w:rPr>
      </w:pPr>
    </w:p>
    <w:p w14:paraId="1571F621" w14:textId="77777777" w:rsidR="009E1386" w:rsidRDefault="009E1386" w:rsidP="00FB039A">
      <w:pPr>
        <w:spacing w:after="0" w:line="240" w:lineRule="auto"/>
        <w:ind w:hanging="57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19B6F659" w14:textId="10C4D95E" w:rsidR="00B97CFD" w:rsidRDefault="008F2EAB" w:rsidP="00EE51C1">
      <w:pPr>
        <w:spacing w:after="0" w:line="240" w:lineRule="auto"/>
        <w:ind w:hanging="1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איור 2: </w:t>
      </w:r>
      <w:r w:rsidR="00B97CFD" w:rsidRPr="00183A8A">
        <w:rPr>
          <w:rFonts w:ascii="Times New Roman" w:hAnsi="Times New Roman" w:cs="David"/>
          <w:b/>
          <w:bCs/>
          <w:sz w:val="24"/>
          <w:szCs w:val="24"/>
          <w:rtl/>
        </w:rPr>
        <w:t>ההשפעה של ייסוף</w:t>
      </w:r>
      <w:r w:rsidR="00183A8A" w:rsidRPr="00183A8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ריאלי</w:t>
      </w:r>
      <w:r w:rsidR="00B97CFD" w:rsidRPr="00183A8A">
        <w:rPr>
          <w:rFonts w:ascii="Times New Roman" w:hAnsi="Times New Roman" w:cs="David"/>
          <w:b/>
          <w:bCs/>
          <w:sz w:val="24"/>
          <w:szCs w:val="24"/>
          <w:rtl/>
        </w:rPr>
        <w:t xml:space="preserve"> של אחוז על היצוא של חברות בענפי התעשייה, לפי מאפיינים שונים </w:t>
      </w:r>
    </w:p>
    <w:p w14:paraId="1BD86F3D" w14:textId="77777777" w:rsidR="001A4B64" w:rsidRDefault="001A4B64" w:rsidP="00FB039A">
      <w:pPr>
        <w:spacing w:after="0" w:line="240" w:lineRule="auto"/>
        <w:ind w:hanging="57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6191FCC7" w14:textId="669FBCE0" w:rsidR="00F12204" w:rsidRDefault="00B97CFD" w:rsidP="00F12204">
      <w:pPr>
        <w:spacing w:after="0" w:line="360" w:lineRule="auto"/>
        <w:ind w:firstLine="34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ACAD8AF" wp14:editId="7B73A9FE">
            <wp:extent cx="4572000" cy="2743200"/>
            <wp:effectExtent l="0" t="0" r="0" b="0"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112F7374-6393-4EA2-963F-A8458D091E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A70B7C" w14:textId="77777777" w:rsidR="008F2EAB" w:rsidRPr="00B608F0" w:rsidRDefault="008F2EAB" w:rsidP="008F2EAB">
      <w:pPr>
        <w:spacing w:before="120" w:after="120" w:line="360" w:lineRule="auto"/>
        <w:jc w:val="both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מקור: ברק וברנד (2022)</w:t>
      </w:r>
    </w:p>
    <w:p w14:paraId="1FC90336" w14:textId="7D8CED7B" w:rsidR="001A4B64" w:rsidRDefault="001A4B64" w:rsidP="008F2EAB">
      <w:pPr>
        <w:spacing w:after="0" w:line="240" w:lineRule="auto"/>
        <w:ind w:left="-57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729A1208" w14:textId="43566191" w:rsidR="00D3472B" w:rsidRDefault="00D3472B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sz w:val="18"/>
          <w:szCs w:val="18"/>
          <w:rtl/>
        </w:rPr>
        <w:t xml:space="preserve">- </w:t>
      </w:r>
      <w:r w:rsidRPr="00D3472B">
        <w:rPr>
          <w:rFonts w:ascii="David" w:hAnsi="David" w:cs="David"/>
          <w:sz w:val="18"/>
          <w:szCs w:val="18"/>
          <w:rtl/>
        </w:rPr>
        <w:t>הסימון השחור מציין את רווח הסמך</w:t>
      </w:r>
      <w:r w:rsidR="00A612FE">
        <w:rPr>
          <w:rFonts w:ascii="David" w:hAnsi="David" w:cs="David" w:hint="cs"/>
          <w:sz w:val="18"/>
          <w:szCs w:val="18"/>
          <w:rtl/>
        </w:rPr>
        <w:t>. האומדן עבור סה"כ הייצוא התעשייתי, חברות גדולות ובפריון גבוה אינו שונה מאפס באופן מובהק.</w:t>
      </w:r>
    </w:p>
    <w:p w14:paraId="13871F04" w14:textId="034E6C36" w:rsidR="00B97CFD" w:rsidRPr="008F2EAB" w:rsidRDefault="00B97CFD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 w:rsidRPr="008F2EAB">
        <w:rPr>
          <w:rFonts w:ascii="David" w:hAnsi="David" w:cs="David"/>
          <w:sz w:val="18"/>
          <w:szCs w:val="18"/>
          <w:rtl/>
        </w:rPr>
        <w:t xml:space="preserve">ההשפעה </w:t>
      </w:r>
      <w:r w:rsidR="00B03DC5" w:rsidRPr="008F2EAB">
        <w:rPr>
          <w:rFonts w:ascii="David" w:hAnsi="David" w:cs="David" w:hint="cs"/>
          <w:sz w:val="18"/>
          <w:szCs w:val="18"/>
          <w:rtl/>
        </w:rPr>
        <w:t xml:space="preserve">המדווחת היא ההשפעה </w:t>
      </w:r>
      <w:r w:rsidRPr="008F2EAB">
        <w:rPr>
          <w:rFonts w:ascii="David" w:hAnsi="David" w:cs="David"/>
          <w:sz w:val="18"/>
          <w:szCs w:val="18"/>
          <w:rtl/>
        </w:rPr>
        <w:t>המצטברת כעבור שנתיים</w:t>
      </w:r>
      <w:r w:rsidR="00B03DC5" w:rsidRPr="008F2EAB">
        <w:rPr>
          <w:rFonts w:ascii="David" w:hAnsi="David" w:cs="David" w:hint="cs"/>
          <w:sz w:val="18"/>
          <w:szCs w:val="18"/>
          <w:rtl/>
        </w:rPr>
        <w:t>.</w:t>
      </w:r>
      <w:r w:rsidR="009E1386" w:rsidRPr="008F2EAB">
        <w:rPr>
          <w:rFonts w:ascii="David" w:hAnsi="David" w:cs="David" w:hint="cs"/>
          <w:sz w:val="18"/>
          <w:szCs w:val="18"/>
          <w:rtl/>
        </w:rPr>
        <w:t xml:space="preserve"> </w:t>
      </w:r>
      <w:r w:rsidR="009E1386" w:rsidRPr="008F2EAB">
        <w:rPr>
          <w:rFonts w:ascii="David" w:hAnsi="David" w:cs="David"/>
          <w:sz w:val="18"/>
          <w:szCs w:val="18"/>
          <w:rtl/>
        </w:rPr>
        <w:t>עבור המכירות המקומיות ההשפעה המדווחת היא כעבור שנה.</w:t>
      </w:r>
    </w:p>
    <w:p w14:paraId="105B953D" w14:textId="6B34D6C9" w:rsidR="00D82151" w:rsidRPr="008F2EAB" w:rsidRDefault="00B97CFD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 w:rsidRPr="008F2EAB">
        <w:rPr>
          <w:rFonts w:ascii="David" w:hAnsi="David" w:cs="David" w:hint="eastAsia"/>
          <w:sz w:val="18"/>
          <w:szCs w:val="18"/>
          <w:rtl/>
        </w:rPr>
        <w:t>עצימות</w:t>
      </w:r>
      <w:r w:rsidRPr="008F2EAB">
        <w:rPr>
          <w:rFonts w:ascii="David" w:hAnsi="David" w:cs="David"/>
          <w:sz w:val="18"/>
          <w:szCs w:val="18"/>
          <w:rtl/>
        </w:rPr>
        <w:t xml:space="preserve"> טכנולוגית נמוכה הוגדרה כחברות </w:t>
      </w:r>
      <w:r w:rsidR="00D82151" w:rsidRPr="008F2EAB">
        <w:rPr>
          <w:rFonts w:ascii="David" w:hAnsi="David" w:cs="David" w:hint="eastAsia"/>
          <w:sz w:val="18"/>
          <w:szCs w:val="18"/>
          <w:rtl/>
        </w:rPr>
        <w:t>בענף</w:t>
      </w:r>
      <w:r w:rsidR="00D82151" w:rsidRPr="008F2EAB">
        <w:rPr>
          <w:rFonts w:ascii="David" w:hAnsi="David" w:cs="David"/>
          <w:sz w:val="18"/>
          <w:szCs w:val="18"/>
          <w:rtl/>
        </w:rPr>
        <w:t xml:space="preserve"> </w:t>
      </w:r>
      <w:r w:rsidR="00D82151" w:rsidRPr="008F2EAB">
        <w:rPr>
          <w:rFonts w:ascii="David" w:hAnsi="David" w:cs="David" w:hint="eastAsia"/>
          <w:sz w:val="18"/>
          <w:szCs w:val="18"/>
          <w:rtl/>
        </w:rPr>
        <w:t>המסווג</w:t>
      </w:r>
      <w:r w:rsidRPr="008F2EAB">
        <w:rPr>
          <w:rFonts w:ascii="David" w:hAnsi="David" w:cs="David"/>
          <w:sz w:val="18"/>
          <w:szCs w:val="18"/>
          <w:rtl/>
        </w:rPr>
        <w:t xml:space="preserve"> כטכנולוגיה מסורתית ומעורבת מסורתית. </w:t>
      </w:r>
    </w:p>
    <w:p w14:paraId="4C12A625" w14:textId="617E8B32" w:rsidR="00B97CFD" w:rsidRPr="008F2EAB" w:rsidRDefault="00B97CFD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 w:rsidRPr="008F2EAB">
        <w:rPr>
          <w:rFonts w:ascii="David" w:hAnsi="David" w:cs="David" w:hint="eastAsia"/>
          <w:sz w:val="18"/>
          <w:szCs w:val="18"/>
          <w:rtl/>
        </w:rPr>
        <w:t>עצימות</w:t>
      </w:r>
      <w:r w:rsidRPr="008F2EAB">
        <w:rPr>
          <w:rFonts w:ascii="David" w:hAnsi="David" w:cs="David"/>
          <w:sz w:val="18"/>
          <w:szCs w:val="18"/>
          <w:rtl/>
        </w:rPr>
        <w:t xml:space="preserve"> טכנולוגית גבוהה הוגדרה כחברות </w:t>
      </w:r>
      <w:r w:rsidR="00D82151" w:rsidRPr="008F2EAB">
        <w:rPr>
          <w:rFonts w:ascii="David" w:hAnsi="David" w:cs="David" w:hint="eastAsia"/>
          <w:sz w:val="18"/>
          <w:szCs w:val="18"/>
          <w:rtl/>
        </w:rPr>
        <w:t>בענף</w:t>
      </w:r>
      <w:r w:rsidR="00D82151" w:rsidRPr="008F2EAB">
        <w:rPr>
          <w:rFonts w:ascii="David" w:hAnsi="David" w:cs="David"/>
          <w:sz w:val="18"/>
          <w:szCs w:val="18"/>
          <w:rtl/>
        </w:rPr>
        <w:t xml:space="preserve"> </w:t>
      </w:r>
      <w:r w:rsidR="00D82151" w:rsidRPr="008F2EAB">
        <w:rPr>
          <w:rFonts w:ascii="David" w:hAnsi="David" w:cs="David" w:hint="eastAsia"/>
          <w:sz w:val="18"/>
          <w:szCs w:val="18"/>
          <w:rtl/>
        </w:rPr>
        <w:t>המסווג</w:t>
      </w:r>
      <w:r w:rsidRPr="008F2EAB">
        <w:rPr>
          <w:rFonts w:ascii="David" w:hAnsi="David" w:cs="David"/>
          <w:sz w:val="18"/>
          <w:szCs w:val="18"/>
          <w:rtl/>
        </w:rPr>
        <w:t xml:space="preserve"> כטכנולוגיה עלית ומעורבת עלית.</w:t>
      </w:r>
    </w:p>
    <w:p w14:paraId="60C8179E" w14:textId="591A866B" w:rsidR="00B97CFD" w:rsidRPr="008F2EAB" w:rsidRDefault="00B97CFD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 w:rsidRPr="008F2EAB">
        <w:rPr>
          <w:rFonts w:ascii="David" w:hAnsi="David" w:cs="David" w:hint="eastAsia"/>
          <w:sz w:val="18"/>
          <w:szCs w:val="18"/>
          <w:rtl/>
        </w:rPr>
        <w:t>החלוקה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לחברות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עם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פריון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גבוה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ונמוך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הוגדרה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לפי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הפריון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של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החברה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החציונית</w:t>
      </w:r>
      <w:r w:rsidR="00AE4CF4" w:rsidRPr="008F2EAB">
        <w:rPr>
          <w:rFonts w:ascii="David" w:hAnsi="David" w:cs="David"/>
          <w:sz w:val="18"/>
          <w:szCs w:val="18"/>
          <w:rtl/>
        </w:rPr>
        <w:t>.</w:t>
      </w:r>
    </w:p>
    <w:p w14:paraId="07B40347" w14:textId="05243316" w:rsidR="00B97CFD" w:rsidRPr="008F2EAB" w:rsidRDefault="00B97CFD" w:rsidP="008F2EAB">
      <w:pPr>
        <w:spacing w:after="0" w:line="240" w:lineRule="auto"/>
        <w:ind w:left="-503"/>
        <w:jc w:val="both"/>
        <w:rPr>
          <w:rFonts w:ascii="David" w:hAnsi="David" w:cs="David"/>
          <w:sz w:val="18"/>
          <w:szCs w:val="18"/>
          <w:rtl/>
        </w:rPr>
      </w:pPr>
      <w:r w:rsidRPr="008F2EAB">
        <w:rPr>
          <w:rFonts w:ascii="David" w:hAnsi="David" w:cs="David" w:hint="eastAsia"/>
          <w:sz w:val="18"/>
          <w:szCs w:val="18"/>
          <w:rtl/>
        </w:rPr>
        <w:t>החלוקה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לחברות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קטנות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וגדולות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הוגדרה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לפי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התפוקה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של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החברה</w:t>
      </w:r>
      <w:r w:rsidRPr="008F2EAB">
        <w:rPr>
          <w:rFonts w:ascii="David" w:hAnsi="David" w:cs="David"/>
          <w:sz w:val="18"/>
          <w:szCs w:val="18"/>
          <w:rtl/>
        </w:rPr>
        <w:t xml:space="preserve"> </w:t>
      </w:r>
      <w:r w:rsidRPr="008F2EAB">
        <w:rPr>
          <w:rFonts w:ascii="David" w:hAnsi="David" w:cs="David" w:hint="eastAsia"/>
          <w:sz w:val="18"/>
          <w:szCs w:val="18"/>
          <w:rtl/>
        </w:rPr>
        <w:t>החציונית</w:t>
      </w:r>
      <w:r w:rsidR="00AE4CF4" w:rsidRPr="008F2EAB">
        <w:rPr>
          <w:rFonts w:ascii="David" w:hAnsi="David" w:cs="David"/>
          <w:sz w:val="18"/>
          <w:szCs w:val="18"/>
          <w:rtl/>
        </w:rPr>
        <w:t>.</w:t>
      </w:r>
    </w:p>
    <w:p w14:paraId="7290C0DF" w14:textId="77777777" w:rsidR="00B97CFD" w:rsidRPr="002F391D" w:rsidRDefault="00B97CFD" w:rsidP="00F12204">
      <w:pPr>
        <w:spacing w:after="0" w:line="360" w:lineRule="auto"/>
        <w:ind w:firstLine="340"/>
        <w:jc w:val="both"/>
        <w:rPr>
          <w:rFonts w:ascii="Times New Roman" w:hAnsi="Times New Roman" w:cs="David"/>
          <w:sz w:val="24"/>
          <w:szCs w:val="24"/>
          <w:rtl/>
        </w:rPr>
      </w:pPr>
    </w:p>
    <w:sectPr w:rsidR="00B97CFD" w:rsidRPr="002F391D" w:rsidSect="00880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4F08" w14:textId="77777777" w:rsidR="00940B84" w:rsidRDefault="00940B84" w:rsidP="00835D35">
      <w:pPr>
        <w:spacing w:after="0" w:line="240" w:lineRule="auto"/>
      </w:pPr>
      <w:r>
        <w:separator/>
      </w:r>
    </w:p>
  </w:endnote>
  <w:endnote w:type="continuationSeparator" w:id="0">
    <w:p w14:paraId="021678CB" w14:textId="77777777" w:rsidR="00940B84" w:rsidRDefault="00940B84" w:rsidP="0083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E733" w14:textId="77777777" w:rsidR="00CA4693" w:rsidRDefault="00CA469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1A20" w14:textId="77777777" w:rsidR="001A4B64" w:rsidRPr="00CA4693" w:rsidRDefault="001A4B64" w:rsidP="00CA469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2B731" w14:textId="77777777" w:rsidR="00CA4693" w:rsidRDefault="00CA469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D2BC6" w14:textId="77777777" w:rsidR="00940B84" w:rsidRDefault="00940B84" w:rsidP="00835D35">
      <w:pPr>
        <w:spacing w:after="0" w:line="240" w:lineRule="auto"/>
      </w:pPr>
      <w:r>
        <w:separator/>
      </w:r>
    </w:p>
  </w:footnote>
  <w:footnote w:type="continuationSeparator" w:id="0">
    <w:p w14:paraId="6B63ECFF" w14:textId="77777777" w:rsidR="00940B84" w:rsidRDefault="00940B84" w:rsidP="0083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57C" w14:textId="77777777" w:rsidR="00CA4693" w:rsidRDefault="00CA469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E982" w14:textId="77777777" w:rsidR="00CA4693" w:rsidRDefault="00CA469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E0EE4" w14:textId="77777777" w:rsidR="00CA4693" w:rsidRDefault="00CA469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D00"/>
    <w:multiLevelType w:val="hybridMultilevel"/>
    <w:tmpl w:val="B02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8B5"/>
    <w:multiLevelType w:val="hybridMultilevel"/>
    <w:tmpl w:val="F5D23838"/>
    <w:lvl w:ilvl="0" w:tplc="004E1B8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147D3CB1"/>
    <w:multiLevelType w:val="hybridMultilevel"/>
    <w:tmpl w:val="08EA3CA2"/>
    <w:lvl w:ilvl="0" w:tplc="004E1B8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70C22C1"/>
    <w:multiLevelType w:val="hybridMultilevel"/>
    <w:tmpl w:val="568C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091B"/>
    <w:multiLevelType w:val="hybridMultilevel"/>
    <w:tmpl w:val="A35C9108"/>
    <w:lvl w:ilvl="0" w:tplc="35A8E85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775BB"/>
    <w:multiLevelType w:val="hybridMultilevel"/>
    <w:tmpl w:val="4782C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C5390"/>
    <w:multiLevelType w:val="hybridMultilevel"/>
    <w:tmpl w:val="FC2CAED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A33415"/>
    <w:multiLevelType w:val="hybridMultilevel"/>
    <w:tmpl w:val="990C0EA4"/>
    <w:lvl w:ilvl="0" w:tplc="F5205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E6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E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6E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8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4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C5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10"/>
    <w:rsid w:val="00024AEC"/>
    <w:rsid w:val="000310E9"/>
    <w:rsid w:val="000374E0"/>
    <w:rsid w:val="00042931"/>
    <w:rsid w:val="00044310"/>
    <w:rsid w:val="00044807"/>
    <w:rsid w:val="00067474"/>
    <w:rsid w:val="00083A87"/>
    <w:rsid w:val="00091714"/>
    <w:rsid w:val="000A1121"/>
    <w:rsid w:val="000A2CA4"/>
    <w:rsid w:val="000A4C5F"/>
    <w:rsid w:val="000B0B37"/>
    <w:rsid w:val="000B33BF"/>
    <w:rsid w:val="000C488A"/>
    <w:rsid w:val="000D6694"/>
    <w:rsid w:val="000F495E"/>
    <w:rsid w:val="000F63CF"/>
    <w:rsid w:val="001009BE"/>
    <w:rsid w:val="00104DCA"/>
    <w:rsid w:val="001061B0"/>
    <w:rsid w:val="0011457B"/>
    <w:rsid w:val="0012434D"/>
    <w:rsid w:val="00137A1E"/>
    <w:rsid w:val="00145757"/>
    <w:rsid w:val="001517D0"/>
    <w:rsid w:val="0015401A"/>
    <w:rsid w:val="001548E0"/>
    <w:rsid w:val="00183A8A"/>
    <w:rsid w:val="00195390"/>
    <w:rsid w:val="001A4B64"/>
    <w:rsid w:val="001B04CF"/>
    <w:rsid w:val="001C5C8A"/>
    <w:rsid w:val="00210564"/>
    <w:rsid w:val="00214EC2"/>
    <w:rsid w:val="00217D41"/>
    <w:rsid w:val="00252E90"/>
    <w:rsid w:val="00262664"/>
    <w:rsid w:val="002636D1"/>
    <w:rsid w:val="00264FF0"/>
    <w:rsid w:val="00272899"/>
    <w:rsid w:val="00286117"/>
    <w:rsid w:val="002A4C20"/>
    <w:rsid w:val="002A67FA"/>
    <w:rsid w:val="002B0F97"/>
    <w:rsid w:val="002B1CD0"/>
    <w:rsid w:val="002D2DDB"/>
    <w:rsid w:val="002E1D9B"/>
    <w:rsid w:val="002E225E"/>
    <w:rsid w:val="002E4F14"/>
    <w:rsid w:val="00324FB1"/>
    <w:rsid w:val="00334515"/>
    <w:rsid w:val="0033602C"/>
    <w:rsid w:val="00352EAD"/>
    <w:rsid w:val="00372A5E"/>
    <w:rsid w:val="003730CF"/>
    <w:rsid w:val="00383574"/>
    <w:rsid w:val="00387DCB"/>
    <w:rsid w:val="00390421"/>
    <w:rsid w:val="0039629D"/>
    <w:rsid w:val="003A1148"/>
    <w:rsid w:val="003A2152"/>
    <w:rsid w:val="003A46CE"/>
    <w:rsid w:val="003A50F1"/>
    <w:rsid w:val="003B0F93"/>
    <w:rsid w:val="003C5395"/>
    <w:rsid w:val="003C6FAC"/>
    <w:rsid w:val="003D3111"/>
    <w:rsid w:val="003D3D28"/>
    <w:rsid w:val="003E3AE0"/>
    <w:rsid w:val="003F1ED8"/>
    <w:rsid w:val="003F2C46"/>
    <w:rsid w:val="003F6BC3"/>
    <w:rsid w:val="003F7238"/>
    <w:rsid w:val="00402F65"/>
    <w:rsid w:val="00404E6F"/>
    <w:rsid w:val="00405212"/>
    <w:rsid w:val="0042025B"/>
    <w:rsid w:val="0042174B"/>
    <w:rsid w:val="0042341E"/>
    <w:rsid w:val="00424BCB"/>
    <w:rsid w:val="00434188"/>
    <w:rsid w:val="004438F8"/>
    <w:rsid w:val="00447522"/>
    <w:rsid w:val="00471D1B"/>
    <w:rsid w:val="0048185F"/>
    <w:rsid w:val="00483D70"/>
    <w:rsid w:val="00491EBA"/>
    <w:rsid w:val="00494812"/>
    <w:rsid w:val="004A4F8D"/>
    <w:rsid w:val="004C71B4"/>
    <w:rsid w:val="004F0B56"/>
    <w:rsid w:val="004F1C4A"/>
    <w:rsid w:val="00501315"/>
    <w:rsid w:val="00502D9C"/>
    <w:rsid w:val="00505B57"/>
    <w:rsid w:val="00507A93"/>
    <w:rsid w:val="00511BB0"/>
    <w:rsid w:val="00533040"/>
    <w:rsid w:val="00550802"/>
    <w:rsid w:val="00551E2E"/>
    <w:rsid w:val="00555A4F"/>
    <w:rsid w:val="00560332"/>
    <w:rsid w:val="00562CB0"/>
    <w:rsid w:val="0056305F"/>
    <w:rsid w:val="00572117"/>
    <w:rsid w:val="0059577A"/>
    <w:rsid w:val="005B3F8B"/>
    <w:rsid w:val="005B4A0C"/>
    <w:rsid w:val="005B68A3"/>
    <w:rsid w:val="005B7533"/>
    <w:rsid w:val="005C09A2"/>
    <w:rsid w:val="005D0ACF"/>
    <w:rsid w:val="005D45EB"/>
    <w:rsid w:val="005D7597"/>
    <w:rsid w:val="005F0501"/>
    <w:rsid w:val="006118A8"/>
    <w:rsid w:val="00612491"/>
    <w:rsid w:val="00623169"/>
    <w:rsid w:val="00625129"/>
    <w:rsid w:val="00630F50"/>
    <w:rsid w:val="006337CE"/>
    <w:rsid w:val="006464C3"/>
    <w:rsid w:val="00653F27"/>
    <w:rsid w:val="00664B95"/>
    <w:rsid w:val="006670B2"/>
    <w:rsid w:val="0068120A"/>
    <w:rsid w:val="00681E4B"/>
    <w:rsid w:val="00696560"/>
    <w:rsid w:val="00697DDB"/>
    <w:rsid w:val="006A72E8"/>
    <w:rsid w:val="006C71AA"/>
    <w:rsid w:val="006D1798"/>
    <w:rsid w:val="006E070E"/>
    <w:rsid w:val="006F3F3F"/>
    <w:rsid w:val="006F7110"/>
    <w:rsid w:val="00707647"/>
    <w:rsid w:val="007124E5"/>
    <w:rsid w:val="00723606"/>
    <w:rsid w:val="0072454D"/>
    <w:rsid w:val="00733755"/>
    <w:rsid w:val="00747340"/>
    <w:rsid w:val="0076092C"/>
    <w:rsid w:val="0076427D"/>
    <w:rsid w:val="00766256"/>
    <w:rsid w:val="00773FF5"/>
    <w:rsid w:val="00781D14"/>
    <w:rsid w:val="0078792D"/>
    <w:rsid w:val="00791FEF"/>
    <w:rsid w:val="007A451D"/>
    <w:rsid w:val="007A489D"/>
    <w:rsid w:val="007A521B"/>
    <w:rsid w:val="007A67C5"/>
    <w:rsid w:val="007C260C"/>
    <w:rsid w:val="007C5161"/>
    <w:rsid w:val="007D47E3"/>
    <w:rsid w:val="007E0A22"/>
    <w:rsid w:val="007F2C3C"/>
    <w:rsid w:val="00802363"/>
    <w:rsid w:val="008043F5"/>
    <w:rsid w:val="00805728"/>
    <w:rsid w:val="0081092A"/>
    <w:rsid w:val="00835D35"/>
    <w:rsid w:val="008523D2"/>
    <w:rsid w:val="0086497F"/>
    <w:rsid w:val="0087544C"/>
    <w:rsid w:val="00875C4E"/>
    <w:rsid w:val="008808DF"/>
    <w:rsid w:val="008904F6"/>
    <w:rsid w:val="008B6EE7"/>
    <w:rsid w:val="008E2C30"/>
    <w:rsid w:val="008E36E4"/>
    <w:rsid w:val="008E4620"/>
    <w:rsid w:val="008E4C69"/>
    <w:rsid w:val="008F2EAB"/>
    <w:rsid w:val="008F4B0D"/>
    <w:rsid w:val="00911028"/>
    <w:rsid w:val="009147B8"/>
    <w:rsid w:val="0093040A"/>
    <w:rsid w:val="009310E0"/>
    <w:rsid w:val="00940B84"/>
    <w:rsid w:val="0097635E"/>
    <w:rsid w:val="0098571B"/>
    <w:rsid w:val="009973F7"/>
    <w:rsid w:val="009B2808"/>
    <w:rsid w:val="009B5244"/>
    <w:rsid w:val="009C66D9"/>
    <w:rsid w:val="009D41DA"/>
    <w:rsid w:val="009D5A82"/>
    <w:rsid w:val="009E1386"/>
    <w:rsid w:val="009E387E"/>
    <w:rsid w:val="009F1149"/>
    <w:rsid w:val="009F6617"/>
    <w:rsid w:val="00A01AFB"/>
    <w:rsid w:val="00A02070"/>
    <w:rsid w:val="00A07586"/>
    <w:rsid w:val="00A323DF"/>
    <w:rsid w:val="00A33753"/>
    <w:rsid w:val="00A341F1"/>
    <w:rsid w:val="00A41BFD"/>
    <w:rsid w:val="00A44F20"/>
    <w:rsid w:val="00A53E41"/>
    <w:rsid w:val="00A53F38"/>
    <w:rsid w:val="00A54596"/>
    <w:rsid w:val="00A612FE"/>
    <w:rsid w:val="00A66A0F"/>
    <w:rsid w:val="00A81C9D"/>
    <w:rsid w:val="00A85DFA"/>
    <w:rsid w:val="00AA1068"/>
    <w:rsid w:val="00AB4528"/>
    <w:rsid w:val="00AC2669"/>
    <w:rsid w:val="00AC296C"/>
    <w:rsid w:val="00AD19D2"/>
    <w:rsid w:val="00AD2B58"/>
    <w:rsid w:val="00AE0ADE"/>
    <w:rsid w:val="00AE4CF4"/>
    <w:rsid w:val="00AE717F"/>
    <w:rsid w:val="00B03B15"/>
    <w:rsid w:val="00B03DC5"/>
    <w:rsid w:val="00B1176E"/>
    <w:rsid w:val="00B22190"/>
    <w:rsid w:val="00B35174"/>
    <w:rsid w:val="00B352D1"/>
    <w:rsid w:val="00B3758B"/>
    <w:rsid w:val="00B60CE6"/>
    <w:rsid w:val="00B733D8"/>
    <w:rsid w:val="00B751B6"/>
    <w:rsid w:val="00B76CFB"/>
    <w:rsid w:val="00B81F92"/>
    <w:rsid w:val="00B97CFD"/>
    <w:rsid w:val="00B97EF7"/>
    <w:rsid w:val="00BB34D2"/>
    <w:rsid w:val="00BC3C13"/>
    <w:rsid w:val="00BE6660"/>
    <w:rsid w:val="00BF06EE"/>
    <w:rsid w:val="00BF2527"/>
    <w:rsid w:val="00BF7A90"/>
    <w:rsid w:val="00C03BEB"/>
    <w:rsid w:val="00C12C6E"/>
    <w:rsid w:val="00C14801"/>
    <w:rsid w:val="00C15E49"/>
    <w:rsid w:val="00C32A84"/>
    <w:rsid w:val="00C40D8E"/>
    <w:rsid w:val="00C41B0A"/>
    <w:rsid w:val="00C44C36"/>
    <w:rsid w:val="00C51028"/>
    <w:rsid w:val="00C53CB6"/>
    <w:rsid w:val="00C55127"/>
    <w:rsid w:val="00C73FDA"/>
    <w:rsid w:val="00C96865"/>
    <w:rsid w:val="00CA095C"/>
    <w:rsid w:val="00CA4693"/>
    <w:rsid w:val="00CA688C"/>
    <w:rsid w:val="00CB47B9"/>
    <w:rsid w:val="00CB7040"/>
    <w:rsid w:val="00CC6900"/>
    <w:rsid w:val="00CD294D"/>
    <w:rsid w:val="00CD58F8"/>
    <w:rsid w:val="00CD6453"/>
    <w:rsid w:val="00CE214F"/>
    <w:rsid w:val="00CF7D19"/>
    <w:rsid w:val="00CF7FD0"/>
    <w:rsid w:val="00D22837"/>
    <w:rsid w:val="00D255AE"/>
    <w:rsid w:val="00D33301"/>
    <w:rsid w:val="00D3472B"/>
    <w:rsid w:val="00D37677"/>
    <w:rsid w:val="00D62443"/>
    <w:rsid w:val="00D63F25"/>
    <w:rsid w:val="00D7223E"/>
    <w:rsid w:val="00D76A56"/>
    <w:rsid w:val="00D82151"/>
    <w:rsid w:val="00D84FEA"/>
    <w:rsid w:val="00D85B01"/>
    <w:rsid w:val="00D85EF2"/>
    <w:rsid w:val="00D870E4"/>
    <w:rsid w:val="00D95BAC"/>
    <w:rsid w:val="00DA7A45"/>
    <w:rsid w:val="00DB5A42"/>
    <w:rsid w:val="00DC7FCB"/>
    <w:rsid w:val="00DD7769"/>
    <w:rsid w:val="00DE224F"/>
    <w:rsid w:val="00DE3933"/>
    <w:rsid w:val="00DF1413"/>
    <w:rsid w:val="00DF79BE"/>
    <w:rsid w:val="00E1272D"/>
    <w:rsid w:val="00E202E7"/>
    <w:rsid w:val="00E37C88"/>
    <w:rsid w:val="00E43D07"/>
    <w:rsid w:val="00E440CD"/>
    <w:rsid w:val="00E46076"/>
    <w:rsid w:val="00E468C3"/>
    <w:rsid w:val="00E52959"/>
    <w:rsid w:val="00E563B9"/>
    <w:rsid w:val="00E62F01"/>
    <w:rsid w:val="00E713F7"/>
    <w:rsid w:val="00E8692C"/>
    <w:rsid w:val="00E873C3"/>
    <w:rsid w:val="00EA273D"/>
    <w:rsid w:val="00EB12A0"/>
    <w:rsid w:val="00EB344E"/>
    <w:rsid w:val="00ED09AE"/>
    <w:rsid w:val="00EE3143"/>
    <w:rsid w:val="00EE51C1"/>
    <w:rsid w:val="00F020CE"/>
    <w:rsid w:val="00F05E92"/>
    <w:rsid w:val="00F12204"/>
    <w:rsid w:val="00F55CCD"/>
    <w:rsid w:val="00F65D1C"/>
    <w:rsid w:val="00F667AB"/>
    <w:rsid w:val="00F66E1C"/>
    <w:rsid w:val="00F73E94"/>
    <w:rsid w:val="00F74EBB"/>
    <w:rsid w:val="00F76D70"/>
    <w:rsid w:val="00F806B3"/>
    <w:rsid w:val="00F8086D"/>
    <w:rsid w:val="00F84D73"/>
    <w:rsid w:val="00FA5C5A"/>
    <w:rsid w:val="00FA5E6A"/>
    <w:rsid w:val="00FA5FF3"/>
    <w:rsid w:val="00FA64EC"/>
    <w:rsid w:val="00FA7D4D"/>
    <w:rsid w:val="00FA7DB9"/>
    <w:rsid w:val="00FB039A"/>
    <w:rsid w:val="00FB38CB"/>
    <w:rsid w:val="00FC28E9"/>
    <w:rsid w:val="00FE03D9"/>
    <w:rsid w:val="00FE1728"/>
    <w:rsid w:val="00FE7CB2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468C3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4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35D3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835D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D35"/>
    <w:rPr>
      <w:vertAlign w:val="superscript"/>
    </w:rPr>
  </w:style>
  <w:style w:type="table" w:styleId="a7">
    <w:name w:val="Table Grid"/>
    <w:basedOn w:val="a1"/>
    <w:uiPriority w:val="59"/>
    <w:rsid w:val="007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05B5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A4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4C5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A4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4C5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A4C5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4C5F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E468C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1A4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1A4B64"/>
  </w:style>
  <w:style w:type="paragraph" w:styleId="af2">
    <w:name w:val="footer"/>
    <w:basedOn w:val="a"/>
    <w:link w:val="af3"/>
    <w:uiPriority w:val="99"/>
    <w:unhideWhenUsed/>
    <w:rsid w:val="001A4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1A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227">
          <w:marLeft w:val="0"/>
          <w:marRight w:val="116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790">
          <w:marLeft w:val="0"/>
          <w:marRight w:val="116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674">
          <w:marLeft w:val="0"/>
          <w:marRight w:val="116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041">
          <w:marLeft w:val="0"/>
          <w:marRight w:val="116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241">
          <w:marLeft w:val="0"/>
          <w:marRight w:val="116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  <a:alpha val="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F1-458D-812F-16FE39D615B1}"/>
                </c:ext>
              </c:extLst>
            </c:dLbl>
            <c:dLbl>
              <c:idx val="2"/>
              <c:layout>
                <c:manualLayout>
                  <c:x val="2.7777777777777779E-3"/>
                  <c:y val="-6.0184456109652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1-458D-812F-16FE39D615B1}"/>
                </c:ext>
              </c:extLst>
            </c:dLbl>
            <c:dLbl>
              <c:idx val="3"/>
              <c:layout>
                <c:manualLayout>
                  <c:x val="1.1111111111111112E-2"/>
                  <c:y val="-4.166630212890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1-458D-812F-16FE39D615B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'Value added (2)'!$E$105:$E$108</c:f>
              <c:strCache>
                <c:ptCount val="4"/>
                <c:pt idx="0">
                  <c:v>היצוא התעשייתי</c:v>
                </c:pt>
                <c:pt idx="1">
                  <c:v>המועסקים</c:v>
                </c:pt>
                <c:pt idx="2">
                  <c:v>המכירות המקומיות*</c:v>
                </c:pt>
                <c:pt idx="3">
                  <c:v>הערך המוסף</c:v>
                </c:pt>
              </c:strCache>
            </c:strRef>
          </c:cat>
          <c:val>
            <c:numRef>
              <c:f>'Value added (2)'!$N$105:$N$108</c:f>
              <c:numCache>
                <c:formatCode>0.00%</c:formatCode>
                <c:ptCount val="4"/>
                <c:pt idx="0">
                  <c:v>-1.6200000000000001E-3</c:v>
                </c:pt>
                <c:pt idx="1">
                  <c:v>-2.66E-3</c:v>
                </c:pt>
                <c:pt idx="2">
                  <c:v>-2.9399999999999999E-3</c:v>
                </c:pt>
                <c:pt idx="3">
                  <c:v>-7.4900000000000001E-3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F1-458D-812F-16FE39D61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620728"/>
        <c:axId val="615618760"/>
      </c:barChart>
      <c:lineChart>
        <c:grouping val="standard"/>
        <c:varyColors val="0"/>
        <c:ser>
          <c:idx val="1"/>
          <c:order val="1"/>
          <c:spPr>
            <a:ln w="28575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'Value added (2)'!$E$105:$E$108</c:f>
              <c:strCache>
                <c:ptCount val="4"/>
                <c:pt idx="0">
                  <c:v>היצוא התעשייתי</c:v>
                </c:pt>
                <c:pt idx="1">
                  <c:v>המועסקים</c:v>
                </c:pt>
                <c:pt idx="2">
                  <c:v>המכירות המקומיות*</c:v>
                </c:pt>
                <c:pt idx="3">
                  <c:v>הערך המוסף</c:v>
                </c:pt>
              </c:strCache>
            </c:strRef>
          </c:cat>
          <c:val>
            <c:numRef>
              <c:f>'Value added (2)'!$O$105:$O$108</c:f>
              <c:numCache>
                <c:formatCode>0.00%</c:formatCode>
                <c:ptCount val="4"/>
                <c:pt idx="0">
                  <c:v>7.6507999999999984E-3</c:v>
                </c:pt>
                <c:pt idx="1">
                  <c:v>-4.2560000000000015E-4</c:v>
                </c:pt>
                <c:pt idx="2">
                  <c:v>-3.3319999999999959E-4</c:v>
                </c:pt>
                <c:pt idx="3">
                  <c:v>-8.6519999999999935E-4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F1-458D-812F-16FE39D615B1}"/>
            </c:ext>
          </c:extLst>
        </c:ser>
        <c:ser>
          <c:idx val="2"/>
          <c:order val="2"/>
          <c:spPr>
            <a:ln w="28575" cap="rnd">
              <a:noFill/>
              <a:round/>
            </a:ln>
            <a:effectLst/>
          </c:spPr>
          <c:marker>
            <c:symbol val="dash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'Value added (2)'!$E$105:$E$108</c:f>
              <c:strCache>
                <c:ptCount val="4"/>
                <c:pt idx="0">
                  <c:v>היצוא התעשייתי</c:v>
                </c:pt>
                <c:pt idx="1">
                  <c:v>המועסקים</c:v>
                </c:pt>
                <c:pt idx="2">
                  <c:v>המכירות המקומיות*</c:v>
                </c:pt>
                <c:pt idx="3">
                  <c:v>הערך המוסף</c:v>
                </c:pt>
              </c:strCache>
            </c:strRef>
          </c:cat>
          <c:val>
            <c:numRef>
              <c:f>'Value added (2)'!$P$105:$P$108</c:f>
              <c:numCache>
                <c:formatCode>0.00%</c:formatCode>
                <c:ptCount val="4"/>
                <c:pt idx="0">
                  <c:v>-1.5652800000000001E-2</c:v>
                </c:pt>
                <c:pt idx="1">
                  <c:v>-1.17652E-2</c:v>
                </c:pt>
                <c:pt idx="2">
                  <c:v>-1.5944800000000002E-2</c:v>
                </c:pt>
                <c:pt idx="3">
                  <c:v>-1.6072800000000002E-2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EF1-458D-812F-16FE39D61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5620728"/>
        <c:axId val="615618760"/>
      </c:lineChart>
      <c:catAx>
        <c:axId val="61562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15618760"/>
        <c:crosses val="autoZero"/>
        <c:auto val="1"/>
        <c:lblAlgn val="ctr"/>
        <c:lblOffset val="100"/>
        <c:noMultiLvlLbl val="0"/>
      </c:catAx>
      <c:valAx>
        <c:axId val="61561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15620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  <a:alpha val="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bg1">
                    <a:lumMod val="50000"/>
                    <a:alpha val="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4E-4606-AE1A-BCD72EC55879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3">
                    <a:alpha val="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4E-4606-AE1A-BCD72EC55879}"/>
              </c:ext>
            </c:extLst>
          </c:dPt>
          <c:dLbls>
            <c:dLbl>
              <c:idx val="2"/>
              <c:layout>
                <c:manualLayout>
                  <c:x val="0"/>
                  <c:y val="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4E-4606-AE1A-BCD72EC55879}"/>
                </c:ext>
              </c:extLst>
            </c:dLbl>
            <c:dLbl>
              <c:idx val="3"/>
              <c:layout>
                <c:manualLayout>
                  <c:x val="0"/>
                  <c:y val="-1.8518153980752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4E-4606-AE1A-BCD72EC55879}"/>
                </c:ext>
              </c:extLst>
            </c:dLbl>
            <c:dLbl>
              <c:idx val="4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4E-4606-AE1A-BCD72EC55879}"/>
                </c:ext>
              </c:extLst>
            </c:dLbl>
            <c:dLbl>
              <c:idx val="5"/>
              <c:layout>
                <c:manualLayout>
                  <c:x val="-1.0185067526415994E-16"/>
                  <c:y val="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4E-4606-AE1A-BCD72EC5587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'[תרשים מסכם.xlsx]export_dollar_ch'!$E$104:$E$110</c:f>
              <c:strCache>
                <c:ptCount val="7"/>
                <c:pt idx="0">
                  <c:v>עוצמה טכנולוגית גבוהה</c:v>
                </c:pt>
                <c:pt idx="1">
                  <c:v>פריון גבוה</c:v>
                </c:pt>
                <c:pt idx="2">
                  <c:v>חברות גדולות</c:v>
                </c:pt>
                <c:pt idx="3">
                  <c:v>עוצמה טכנולוגית נמוכה</c:v>
                </c:pt>
                <c:pt idx="4">
                  <c:v>חברות קטנות</c:v>
                </c:pt>
                <c:pt idx="5">
                  <c:v>פריון נמוך</c:v>
                </c:pt>
                <c:pt idx="6">
                  <c:v>סה"כ היצוא התעשייתי</c:v>
                </c:pt>
              </c:strCache>
            </c:strRef>
          </c:cat>
          <c:val>
            <c:numRef>
              <c:f>'[תרשים מסכם.xlsx]export_dollar_ch'!$N$104:$N$110</c:f>
              <c:numCache>
                <c:formatCode>0.0%</c:formatCode>
                <c:ptCount val="7"/>
                <c:pt idx="0">
                  <c:v>7.5999999999999993E-4</c:v>
                </c:pt>
                <c:pt idx="1">
                  <c:v>-6.9000000000000008E-4</c:v>
                </c:pt>
                <c:pt idx="2">
                  <c:v>-4.0200000000000001E-3</c:v>
                </c:pt>
                <c:pt idx="3">
                  <c:v>-1.2549999999999999E-2</c:v>
                </c:pt>
                <c:pt idx="4">
                  <c:v>-1.5640000000000001E-2</c:v>
                </c:pt>
                <c:pt idx="5">
                  <c:v>-1.993E-2</c:v>
                </c:pt>
                <c:pt idx="6">
                  <c:v>-1.6200000000000001E-3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4E-4606-AE1A-BCD72EC55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620728"/>
        <c:axId val="615618760"/>
      </c:barChart>
      <c:lineChart>
        <c:grouping val="standard"/>
        <c:varyColors val="0"/>
        <c:ser>
          <c:idx val="1"/>
          <c:order val="1"/>
          <c:spPr>
            <a:ln w="28575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'[תרשים מסכם.xlsx]export_dollar_ch'!$E$104:$E$109</c:f>
              <c:strCache>
                <c:ptCount val="6"/>
                <c:pt idx="0">
                  <c:v>עוצמה טכנולוגית גבוהה</c:v>
                </c:pt>
                <c:pt idx="1">
                  <c:v>פריון גבוה</c:v>
                </c:pt>
                <c:pt idx="2">
                  <c:v>חברות גדולות</c:v>
                </c:pt>
                <c:pt idx="3">
                  <c:v>עוצמה טכנולוגית נמוכה</c:v>
                </c:pt>
                <c:pt idx="4">
                  <c:v>חברות קטנות</c:v>
                </c:pt>
                <c:pt idx="5">
                  <c:v>פריון נמוך</c:v>
                </c:pt>
              </c:strCache>
            </c:strRef>
          </c:cat>
          <c:val>
            <c:numRef>
              <c:f>'[תרשים מסכם.xlsx]export_dollar_ch'!$O$104:$O$110</c:f>
              <c:numCache>
                <c:formatCode>0.0%</c:formatCode>
                <c:ptCount val="7"/>
                <c:pt idx="0">
                  <c:v>8.6587999999999995E-3</c:v>
                </c:pt>
                <c:pt idx="1">
                  <c:v>6.1111999999999989E-3</c:v>
                </c:pt>
                <c:pt idx="2">
                  <c:v>1.7599999999999283E-5</c:v>
                </c:pt>
                <c:pt idx="3">
                  <c:v>-2.3775999999999997E-3</c:v>
                </c:pt>
                <c:pt idx="4">
                  <c:v>3.7443999999999989E-3</c:v>
                </c:pt>
                <c:pt idx="5">
                  <c:v>-7.1704000000000013E-3</c:v>
                </c:pt>
                <c:pt idx="6">
                  <c:v>7.6507999999999984E-3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44E-4606-AE1A-BCD72EC55879}"/>
            </c:ext>
          </c:extLst>
        </c:ser>
        <c:ser>
          <c:idx val="2"/>
          <c:order val="2"/>
          <c:spPr>
            <a:ln w="28575" cap="rnd">
              <a:noFill/>
              <a:round/>
            </a:ln>
            <a:effectLst/>
          </c:spPr>
          <c:marker>
            <c:symbol val="dash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'[תרשים מסכם.xlsx]export_dollar_ch'!$E$104:$E$109</c:f>
              <c:strCache>
                <c:ptCount val="6"/>
                <c:pt idx="0">
                  <c:v>עוצמה טכנולוגית גבוהה</c:v>
                </c:pt>
                <c:pt idx="1">
                  <c:v>פריון גבוה</c:v>
                </c:pt>
                <c:pt idx="2">
                  <c:v>חברות גדולות</c:v>
                </c:pt>
                <c:pt idx="3">
                  <c:v>עוצמה טכנולוגית נמוכה</c:v>
                </c:pt>
                <c:pt idx="4">
                  <c:v>חברות קטנות</c:v>
                </c:pt>
                <c:pt idx="5">
                  <c:v>פריון נמוך</c:v>
                </c:pt>
              </c:strCache>
            </c:strRef>
          </c:cat>
          <c:val>
            <c:numRef>
              <c:f>'[תרשים מסכם.xlsx]export_dollar_ch'!$P$104:$P$110</c:f>
              <c:numCache>
                <c:formatCode>0.0%</c:formatCode>
                <c:ptCount val="7"/>
                <c:pt idx="0">
                  <c:v>-7.1388000000000007E-3</c:v>
                </c:pt>
                <c:pt idx="1">
                  <c:v>-7.4911999999999999E-3</c:v>
                </c:pt>
                <c:pt idx="2">
                  <c:v>-8.0575999999999998E-3</c:v>
                </c:pt>
                <c:pt idx="3">
                  <c:v>-2.27224E-2</c:v>
                </c:pt>
                <c:pt idx="4" formatCode="0.000%">
                  <c:v>-3.5000000000000003E-2</c:v>
                </c:pt>
                <c:pt idx="5">
                  <c:v>-3.2689599999999999E-2</c:v>
                </c:pt>
                <c:pt idx="6">
                  <c:v>-1.0890799999999999E-2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44E-4606-AE1A-BCD72EC55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5620728"/>
        <c:axId val="615618760"/>
      </c:lineChart>
      <c:catAx>
        <c:axId val="61562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15618760"/>
        <c:crosses val="autoZero"/>
        <c:auto val="1"/>
        <c:lblAlgn val="ctr"/>
        <c:lblOffset val="100"/>
        <c:noMultiLvlLbl val="0"/>
      </c:catAx>
      <c:valAx>
        <c:axId val="615618760"/>
        <c:scaling>
          <c:orientation val="minMax"/>
          <c:min val="-3.5000000000000003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15620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65000"/>
          <a:lumOff val="3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0.10591</cdr:x>
      <cdr:y>0.33076</cdr:y>
    </cdr:from>
    <cdr:to>
      <cdr:x>0.96324</cdr:x>
      <cdr:y>0.33076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CC1248CF-E1E6-48DB-8AE3-B207B7F8C53A}"/>
            </a:ext>
          </a:extLst>
        </cdr:cNvPr>
        <cdr:cNvCxnSpPr/>
      </cdr:nvCxnSpPr>
      <cdr:spPr>
        <a:xfrm xmlns:a="http://schemas.openxmlformats.org/drawingml/2006/main">
          <a:off x="484217" y="907337"/>
          <a:ext cx="391969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0.10487</cdr:x>
      <cdr:y>0.27429</cdr:y>
    </cdr:from>
    <cdr:to>
      <cdr:x>0.97486</cdr:x>
      <cdr:y>0.27767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CC1248CF-E1E6-48DB-8AE3-B207B7F8C53A}"/>
            </a:ext>
          </a:extLst>
        </cdr:cNvPr>
        <cdr:cNvCxnSpPr/>
      </cdr:nvCxnSpPr>
      <cdr:spPr>
        <a:xfrm xmlns:a="http://schemas.openxmlformats.org/drawingml/2006/main" flipV="1">
          <a:off x="479446" y="752421"/>
          <a:ext cx="3977600" cy="929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159CCA-D5EF-4373-B7AE-0616DC3810AB}"/>
</file>

<file path=customXml/itemProps2.xml><?xml version="1.0" encoding="utf-8"?>
<ds:datastoreItem xmlns:ds="http://schemas.openxmlformats.org/officeDocument/2006/customXml" ds:itemID="{F87A89F2-8EA8-45A0-801F-2F75D5DA8206}"/>
</file>

<file path=customXml/itemProps3.xml><?xml version="1.0" encoding="utf-8"?>
<ds:datastoreItem xmlns:ds="http://schemas.openxmlformats.org/officeDocument/2006/customXml" ds:itemID="{E5E498D3-354E-4B87-8F87-3562E4A87A27}"/>
</file>

<file path=customXml/itemProps4.xml><?xml version="1.0" encoding="utf-8"?>
<ds:datastoreItem xmlns:ds="http://schemas.openxmlformats.org/officeDocument/2006/customXml" ds:itemID="{ECB7F64D-8116-49BD-A934-32752D131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2022-06-15T09:35:00Z</dcterms:created>
  <dcterms:modified xsi:type="dcterms:W3CDTF">2022-06-15T09:35:00Z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