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ED6F32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AE40E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BB4D0D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B34ED8" wp14:editId="51E491AE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F55A2F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ד' תשרי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>, התשפ"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BB4D0D" w:rsidRPr="00ED6F32" w:rsidRDefault="00BB4D0D" w:rsidP="00F55A2F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F55A2F">
              <w:rPr>
                <w:rFonts w:ascii="David" w:hAnsi="David" w:cs="David" w:hint="cs"/>
                <w:sz w:val="24"/>
                <w:szCs w:val="24"/>
                <w:rtl/>
              </w:rPr>
              <w:t>29 בספטמבר</w:t>
            </w:r>
            <w:r w:rsidRPr="00ED6F32">
              <w:rPr>
                <w:rFonts w:ascii="David" w:hAnsi="David" w:cs="David"/>
                <w:sz w:val="24"/>
                <w:szCs w:val="24"/>
                <w:rtl/>
              </w:rPr>
              <w:t xml:space="preserve"> 2022</w:t>
            </w:r>
          </w:p>
        </w:tc>
      </w:tr>
    </w:tbl>
    <w:p w:rsidR="00BB4D0D" w:rsidRPr="00ED6F32" w:rsidRDefault="00BB4D0D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ED6F32" w:rsidRDefault="00C9322A" w:rsidP="002A2482">
      <w:pPr>
        <w:pStyle w:val="af4"/>
        <w:rPr>
          <w:rFonts w:ascii="David" w:hAnsi="David" w:cs="David"/>
          <w:rtl/>
        </w:rPr>
      </w:pPr>
      <w:r w:rsidRPr="00ED6F32">
        <w:rPr>
          <w:rFonts w:ascii="David" w:hAnsi="David" w:cs="David"/>
          <w:rtl/>
        </w:rPr>
        <w:t xml:space="preserve">התפתחות החוב </w:t>
      </w:r>
      <w:r w:rsidR="00802DF3" w:rsidRPr="00ED6F32">
        <w:rPr>
          <w:rFonts w:ascii="David" w:hAnsi="David" w:cs="David"/>
          <w:rtl/>
        </w:rPr>
        <w:t xml:space="preserve">של המגזר הפרטי </w:t>
      </w:r>
      <w:r w:rsidR="0077544B" w:rsidRPr="00ED6F32">
        <w:rPr>
          <w:rFonts w:ascii="David" w:hAnsi="David" w:cs="David"/>
          <w:rtl/>
        </w:rPr>
        <w:t>הלא</w:t>
      </w:r>
      <w:r w:rsidR="00E44E3D" w:rsidRPr="00ED6F32">
        <w:rPr>
          <w:rFonts w:ascii="David" w:hAnsi="David" w:cs="David"/>
          <w:rtl/>
        </w:rPr>
        <w:t>-</w:t>
      </w:r>
      <w:r w:rsidR="0077544B" w:rsidRPr="00ED6F32">
        <w:rPr>
          <w:rFonts w:ascii="David" w:hAnsi="David" w:cs="David"/>
          <w:rtl/>
        </w:rPr>
        <w:t xml:space="preserve">פיננסי </w:t>
      </w:r>
      <w:r w:rsidR="00FC2095" w:rsidRPr="00ED6F32">
        <w:rPr>
          <w:rFonts w:ascii="David" w:hAnsi="David" w:cs="David"/>
          <w:rtl/>
        </w:rPr>
        <w:t xml:space="preserve">ברביע </w:t>
      </w:r>
      <w:r w:rsidR="00E44E3D" w:rsidRPr="00ED6F32">
        <w:rPr>
          <w:rFonts w:ascii="David" w:hAnsi="David" w:cs="David"/>
          <w:rtl/>
        </w:rPr>
        <w:t>ה</w:t>
      </w:r>
      <w:r w:rsidR="002A2482">
        <w:rPr>
          <w:rFonts w:ascii="David" w:hAnsi="David" w:cs="David" w:hint="cs"/>
          <w:rtl/>
        </w:rPr>
        <w:t>שני</w:t>
      </w:r>
      <w:r w:rsidR="003F728C" w:rsidRPr="00ED6F32">
        <w:rPr>
          <w:rFonts w:ascii="David" w:hAnsi="David" w:cs="David"/>
          <w:rtl/>
        </w:rPr>
        <w:t xml:space="preserve"> </w:t>
      </w:r>
      <w:r w:rsidR="00802DF3" w:rsidRPr="00ED6F32">
        <w:rPr>
          <w:rFonts w:ascii="David" w:hAnsi="David" w:cs="David"/>
          <w:rtl/>
        </w:rPr>
        <w:t>של</w:t>
      </w:r>
      <w:r w:rsidR="001C5C40" w:rsidRPr="00ED6F32">
        <w:rPr>
          <w:rFonts w:ascii="David" w:hAnsi="David" w:cs="David"/>
          <w:rtl/>
        </w:rPr>
        <w:t xml:space="preserve"> 2022</w:t>
      </w:r>
    </w:p>
    <w:p w:rsidR="0033491E" w:rsidRPr="00ED6F32" w:rsidRDefault="0033491E" w:rsidP="0033491E">
      <w:pPr>
        <w:rPr>
          <w:rFonts w:ascii="David" w:hAnsi="David" w:cs="David"/>
          <w:rtl/>
        </w:rPr>
      </w:pPr>
    </w:p>
    <w:p w:rsidR="0033491E" w:rsidRPr="00ED6F32" w:rsidRDefault="0033491E" w:rsidP="0033491E">
      <w:pPr>
        <w:rPr>
          <w:rFonts w:ascii="David" w:hAnsi="David" w:cs="David"/>
        </w:rPr>
      </w:pPr>
    </w:p>
    <w:p w:rsidR="00D05B15" w:rsidRPr="00E6771C" w:rsidRDefault="00D05B15" w:rsidP="00E6771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6771C">
        <w:rPr>
          <w:rFonts w:ascii="David" w:hAnsi="David" w:cs="David"/>
          <w:sz w:val="24"/>
          <w:szCs w:val="24"/>
          <w:rtl/>
        </w:rPr>
        <w:t>להלן תמצית ההתפתחויות בנתוני החוב של</w:t>
      </w:r>
      <w:r w:rsidR="00E44C3B" w:rsidRPr="00E6771C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70161A" w:rsidRPr="00E6771C">
        <w:rPr>
          <w:rFonts w:ascii="David" w:hAnsi="David" w:cs="David"/>
          <w:sz w:val="24"/>
          <w:szCs w:val="24"/>
          <w:rtl/>
        </w:rPr>
        <w:t xml:space="preserve"> </w:t>
      </w:r>
      <w:r w:rsidR="00E44C3B" w:rsidRPr="00E6771C">
        <w:rPr>
          <w:rFonts w:ascii="David" w:hAnsi="David" w:cs="David"/>
          <w:sz w:val="24"/>
          <w:szCs w:val="24"/>
          <w:rtl/>
        </w:rPr>
        <w:t>ברביע ה</w:t>
      </w:r>
      <w:r w:rsidR="00E6771C" w:rsidRPr="00E6771C">
        <w:rPr>
          <w:rFonts w:ascii="David" w:hAnsi="David" w:cs="David" w:hint="cs"/>
          <w:sz w:val="24"/>
          <w:szCs w:val="24"/>
          <w:rtl/>
        </w:rPr>
        <w:t>שני</w:t>
      </w:r>
      <w:r w:rsidRPr="00E6771C">
        <w:rPr>
          <w:rFonts w:ascii="David" w:hAnsi="David" w:cs="David"/>
          <w:sz w:val="24"/>
          <w:szCs w:val="24"/>
          <w:rtl/>
        </w:rPr>
        <w:t xml:space="preserve"> של השנה:</w:t>
      </w:r>
    </w:p>
    <w:p w:rsidR="000A4B97" w:rsidRPr="00E6771C" w:rsidRDefault="00FA51CE" w:rsidP="00E6771C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771C">
        <w:rPr>
          <w:rFonts w:ascii="David" w:hAnsi="David" w:cs="David"/>
          <w:sz w:val="24"/>
          <w:szCs w:val="24"/>
          <w:rtl/>
        </w:rPr>
        <w:t>נמשכה</w:t>
      </w:r>
      <w:r w:rsidR="00D05B15" w:rsidRPr="00E6771C">
        <w:rPr>
          <w:rFonts w:ascii="David" w:hAnsi="David" w:cs="David"/>
          <w:sz w:val="24"/>
          <w:szCs w:val="24"/>
          <w:rtl/>
        </w:rPr>
        <w:t xml:space="preserve"> </w:t>
      </w:r>
      <w:r w:rsidR="003938AB" w:rsidRPr="00E6771C">
        <w:rPr>
          <w:rFonts w:ascii="David" w:hAnsi="David" w:cs="David"/>
          <w:sz w:val="24"/>
          <w:szCs w:val="24"/>
          <w:rtl/>
        </w:rPr>
        <w:t xml:space="preserve">עלייה </w:t>
      </w:r>
      <w:r w:rsidR="00D05B15" w:rsidRPr="00E6771C">
        <w:rPr>
          <w:rFonts w:ascii="David" w:hAnsi="David" w:cs="David"/>
          <w:sz w:val="24"/>
          <w:szCs w:val="24"/>
          <w:rtl/>
        </w:rPr>
        <w:t xml:space="preserve">ביתרת החוב של </w:t>
      </w:r>
      <w:r w:rsidR="00D05B15" w:rsidRPr="00E6771C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924FF5" w:rsidRPr="00E6771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6771C">
        <w:rPr>
          <w:rFonts w:ascii="David" w:hAnsi="David" w:cs="David"/>
          <w:sz w:val="24"/>
          <w:szCs w:val="24"/>
          <w:rtl/>
        </w:rPr>
        <w:t>ב</w:t>
      </w:r>
      <w:r w:rsidR="00527D1B" w:rsidRPr="00E6771C">
        <w:rPr>
          <w:rFonts w:ascii="David" w:hAnsi="David" w:cs="David"/>
          <w:sz w:val="24"/>
          <w:szCs w:val="24"/>
          <w:rtl/>
        </w:rPr>
        <w:t xml:space="preserve">היקף של </w:t>
      </w:r>
      <w:r w:rsidR="00924FF5" w:rsidRPr="00E6771C">
        <w:rPr>
          <w:rFonts w:ascii="David" w:hAnsi="David" w:cs="David"/>
          <w:sz w:val="24"/>
          <w:szCs w:val="24"/>
          <w:rtl/>
        </w:rPr>
        <w:t>כ-</w:t>
      </w:r>
      <w:r w:rsidR="00E6771C" w:rsidRPr="00E6771C">
        <w:rPr>
          <w:rFonts w:ascii="David" w:hAnsi="David" w:cs="David" w:hint="cs"/>
          <w:sz w:val="24"/>
          <w:szCs w:val="24"/>
          <w:rtl/>
        </w:rPr>
        <w:t>56</w:t>
      </w:r>
      <w:r w:rsidR="00924FF5" w:rsidRPr="00E6771C">
        <w:rPr>
          <w:rFonts w:ascii="David" w:hAnsi="David" w:cs="David"/>
          <w:sz w:val="24"/>
          <w:szCs w:val="24"/>
          <w:rtl/>
        </w:rPr>
        <w:t xml:space="preserve"> מיליארד</w:t>
      </w:r>
      <w:r w:rsidR="00F608D8" w:rsidRPr="00E6771C">
        <w:rPr>
          <w:rFonts w:ascii="David" w:hAnsi="David" w:cs="David"/>
          <w:sz w:val="24"/>
          <w:szCs w:val="24"/>
          <w:rtl/>
        </w:rPr>
        <w:t>י</w:t>
      </w:r>
      <w:r w:rsidR="00924FF5" w:rsidRPr="00E6771C">
        <w:rPr>
          <w:rFonts w:ascii="David" w:hAnsi="David" w:cs="David"/>
          <w:sz w:val="24"/>
          <w:szCs w:val="24"/>
          <w:rtl/>
        </w:rPr>
        <w:t xml:space="preserve"> ש"ח (</w:t>
      </w:r>
      <w:r w:rsidR="00E6771C" w:rsidRPr="00E6771C">
        <w:rPr>
          <w:rFonts w:ascii="David" w:hAnsi="David" w:cs="David" w:hint="cs"/>
          <w:sz w:val="24"/>
          <w:szCs w:val="24"/>
          <w:rtl/>
        </w:rPr>
        <w:t>4.9</w:t>
      </w:r>
      <w:r w:rsidR="003938AB" w:rsidRPr="00E6771C">
        <w:rPr>
          <w:rFonts w:ascii="David" w:hAnsi="David" w:cs="David"/>
          <w:sz w:val="24"/>
          <w:szCs w:val="24"/>
          <w:rtl/>
        </w:rPr>
        <w:t xml:space="preserve">%) </w:t>
      </w:r>
      <w:r w:rsidR="00EA0460" w:rsidRPr="00E6771C">
        <w:rPr>
          <w:rFonts w:ascii="David" w:hAnsi="David" w:cs="David"/>
          <w:sz w:val="24"/>
          <w:szCs w:val="24"/>
          <w:rtl/>
        </w:rPr>
        <w:t>ש</w:t>
      </w:r>
      <w:r w:rsidR="00E6771C">
        <w:rPr>
          <w:rFonts w:ascii="David" w:hAnsi="David" w:cs="David" w:hint="cs"/>
          <w:sz w:val="24"/>
          <w:szCs w:val="24"/>
          <w:rtl/>
        </w:rPr>
        <w:t>מקורה</w:t>
      </w:r>
      <w:r w:rsidR="00E6771C" w:rsidRPr="00E6771C">
        <w:rPr>
          <w:rFonts w:ascii="David" w:hAnsi="David" w:cs="David" w:hint="cs"/>
          <w:sz w:val="24"/>
          <w:szCs w:val="24"/>
          <w:rtl/>
        </w:rPr>
        <w:t xml:space="preserve"> מפיחות השקל מול הדולר</w:t>
      </w:r>
      <w:r w:rsidR="00E6771C">
        <w:rPr>
          <w:rFonts w:ascii="David" w:hAnsi="David" w:cs="David" w:hint="cs"/>
          <w:sz w:val="24"/>
          <w:szCs w:val="24"/>
          <w:rtl/>
        </w:rPr>
        <w:t xml:space="preserve"> וכן </w:t>
      </w:r>
      <w:r w:rsidR="00E6771C" w:rsidRPr="00E6771C">
        <w:rPr>
          <w:rFonts w:ascii="David" w:hAnsi="David" w:cs="David" w:hint="cs"/>
          <w:sz w:val="24"/>
          <w:szCs w:val="24"/>
          <w:rtl/>
        </w:rPr>
        <w:t>מגיוסי חוב נטו בכלל אפיקי הגיוס</w:t>
      </w:r>
      <w:r w:rsidR="00E6771C">
        <w:rPr>
          <w:rFonts w:ascii="David" w:hAnsi="David" w:cs="David" w:hint="cs"/>
          <w:sz w:val="24"/>
          <w:szCs w:val="24"/>
          <w:rtl/>
        </w:rPr>
        <w:t>.</w:t>
      </w:r>
    </w:p>
    <w:p w:rsidR="00D05B15" w:rsidRPr="00600143" w:rsidRDefault="00FA51CE" w:rsidP="00600143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771C">
        <w:rPr>
          <w:rFonts w:ascii="David" w:hAnsi="David" w:cs="David"/>
          <w:sz w:val="24"/>
          <w:szCs w:val="24"/>
          <w:rtl/>
        </w:rPr>
        <w:t xml:space="preserve">גם </w:t>
      </w:r>
      <w:r w:rsidR="00F31176" w:rsidRPr="00E6771C">
        <w:rPr>
          <w:rFonts w:ascii="David" w:hAnsi="David" w:cs="David"/>
          <w:sz w:val="24"/>
          <w:szCs w:val="24"/>
          <w:rtl/>
        </w:rPr>
        <w:t xml:space="preserve">יתרת </w:t>
      </w:r>
      <w:r w:rsidR="00F31176" w:rsidRPr="00E6771C">
        <w:rPr>
          <w:rFonts w:ascii="David" w:hAnsi="David" w:cs="David"/>
          <w:b/>
          <w:bCs/>
          <w:sz w:val="24"/>
          <w:szCs w:val="24"/>
          <w:rtl/>
        </w:rPr>
        <w:t xml:space="preserve">החוב </w:t>
      </w:r>
      <w:r w:rsidR="008E02A8">
        <w:rPr>
          <w:rFonts w:ascii="David" w:hAnsi="David" w:cs="David" w:hint="cs"/>
          <w:b/>
          <w:bCs/>
          <w:sz w:val="24"/>
          <w:szCs w:val="24"/>
          <w:rtl/>
        </w:rPr>
        <w:t xml:space="preserve">של משקי הבית המשיכה לגדול ברביע זה: יתרת החוב </w:t>
      </w:r>
      <w:r w:rsidR="00F31176" w:rsidRPr="00E6771C">
        <w:rPr>
          <w:rFonts w:ascii="David" w:hAnsi="David" w:cs="David"/>
          <w:b/>
          <w:bCs/>
          <w:sz w:val="24"/>
          <w:szCs w:val="24"/>
          <w:rtl/>
        </w:rPr>
        <w:t xml:space="preserve">לדיור </w:t>
      </w:r>
      <w:r w:rsidR="008E02A8">
        <w:rPr>
          <w:rFonts w:ascii="David" w:hAnsi="David" w:cs="David" w:hint="cs"/>
          <w:b/>
          <w:bCs/>
          <w:sz w:val="24"/>
          <w:szCs w:val="24"/>
          <w:rtl/>
        </w:rPr>
        <w:t>גדלה</w:t>
      </w:r>
      <w:r w:rsidR="00270769" w:rsidRPr="00E6771C">
        <w:rPr>
          <w:rFonts w:ascii="David" w:hAnsi="David" w:cs="David"/>
          <w:sz w:val="24"/>
          <w:szCs w:val="24"/>
          <w:rtl/>
        </w:rPr>
        <w:t xml:space="preserve"> </w:t>
      </w:r>
      <w:r w:rsidR="001371A8" w:rsidRPr="00E6771C">
        <w:rPr>
          <w:rFonts w:ascii="David" w:hAnsi="David" w:cs="David"/>
          <w:sz w:val="24"/>
          <w:szCs w:val="24"/>
          <w:rtl/>
        </w:rPr>
        <w:t>ב</w:t>
      </w:r>
      <w:r w:rsidR="00983A26" w:rsidRPr="00E6771C">
        <w:rPr>
          <w:rFonts w:ascii="David" w:hAnsi="David" w:cs="David"/>
          <w:sz w:val="24"/>
          <w:szCs w:val="24"/>
          <w:rtl/>
        </w:rPr>
        <w:t xml:space="preserve">היקף </w:t>
      </w:r>
      <w:r w:rsidR="00B02866" w:rsidRPr="00E6771C">
        <w:rPr>
          <w:rFonts w:ascii="David" w:hAnsi="David" w:cs="David"/>
          <w:sz w:val="24"/>
          <w:szCs w:val="24"/>
          <w:rtl/>
        </w:rPr>
        <w:t xml:space="preserve">של </w:t>
      </w:r>
      <w:r w:rsidR="00F31176" w:rsidRPr="00E6771C">
        <w:rPr>
          <w:rFonts w:ascii="David" w:hAnsi="David" w:cs="David"/>
          <w:sz w:val="24"/>
          <w:szCs w:val="24"/>
          <w:rtl/>
        </w:rPr>
        <w:t>כ-</w:t>
      </w:r>
      <w:r w:rsidR="00B87F7D" w:rsidRPr="00E6771C">
        <w:rPr>
          <w:rFonts w:ascii="David" w:hAnsi="David" w:cs="David"/>
          <w:sz w:val="24"/>
          <w:szCs w:val="24"/>
          <w:rtl/>
        </w:rPr>
        <w:t>2</w:t>
      </w:r>
      <w:r w:rsidR="00E6771C" w:rsidRPr="00E6771C">
        <w:rPr>
          <w:rFonts w:ascii="David" w:hAnsi="David" w:cs="David" w:hint="cs"/>
          <w:sz w:val="24"/>
          <w:szCs w:val="24"/>
          <w:rtl/>
        </w:rPr>
        <w:t>0</w:t>
      </w:r>
      <w:r w:rsidR="00F31176" w:rsidRPr="00E6771C">
        <w:rPr>
          <w:rFonts w:ascii="David" w:hAnsi="David" w:cs="David"/>
          <w:sz w:val="24"/>
          <w:szCs w:val="24"/>
          <w:rtl/>
        </w:rPr>
        <w:t xml:space="preserve"> מיליארדים (</w:t>
      </w:r>
      <w:r w:rsidR="00B87F7D" w:rsidRPr="00E6771C">
        <w:rPr>
          <w:rFonts w:ascii="David" w:hAnsi="David" w:cs="David"/>
          <w:sz w:val="24"/>
          <w:szCs w:val="24"/>
          <w:rtl/>
        </w:rPr>
        <w:t>4</w:t>
      </w:r>
      <w:r w:rsidR="00943CD4" w:rsidRPr="00E6771C">
        <w:rPr>
          <w:rFonts w:ascii="David" w:hAnsi="David" w:cs="David"/>
          <w:sz w:val="24"/>
          <w:szCs w:val="24"/>
          <w:rtl/>
        </w:rPr>
        <w:t>%)</w:t>
      </w:r>
      <w:r w:rsidR="00C85B7D" w:rsidRPr="00E6771C">
        <w:rPr>
          <w:rFonts w:ascii="David" w:hAnsi="David" w:cs="David"/>
          <w:sz w:val="24"/>
          <w:szCs w:val="24"/>
          <w:rtl/>
        </w:rPr>
        <w:t>, ונבעה בעיקר מעלייה בהיקף המשכנתאות</w:t>
      </w:r>
      <w:r w:rsidR="00912E0C">
        <w:rPr>
          <w:rFonts w:ascii="David" w:hAnsi="David" w:cs="David"/>
          <w:sz w:val="24"/>
          <w:szCs w:val="24"/>
          <w:rtl/>
        </w:rPr>
        <w:t xml:space="preserve"> החדשות שנטלו משקי הבית מהבנקים</w:t>
      </w:r>
      <w:r w:rsidR="00912E0C">
        <w:rPr>
          <w:rFonts w:ascii="David" w:hAnsi="David" w:cs="David" w:hint="cs"/>
          <w:sz w:val="24"/>
          <w:szCs w:val="24"/>
          <w:rtl/>
        </w:rPr>
        <w:t xml:space="preserve">; </w:t>
      </w:r>
      <w:r w:rsidR="00943CD4" w:rsidRPr="00600143">
        <w:rPr>
          <w:rFonts w:ascii="David" w:hAnsi="David" w:cs="David"/>
          <w:sz w:val="24"/>
          <w:szCs w:val="24"/>
          <w:rtl/>
        </w:rPr>
        <w:t>ב</w:t>
      </w:r>
      <w:r w:rsidR="00D05B15" w:rsidRPr="00600143">
        <w:rPr>
          <w:rFonts w:ascii="David" w:hAnsi="David" w:cs="David"/>
          <w:sz w:val="24"/>
          <w:szCs w:val="24"/>
          <w:rtl/>
        </w:rPr>
        <w:t xml:space="preserve">יתרת </w:t>
      </w:r>
      <w:r w:rsidR="00C274AB" w:rsidRPr="00600143">
        <w:rPr>
          <w:rFonts w:ascii="David" w:hAnsi="David" w:cs="David"/>
          <w:b/>
          <w:bCs/>
          <w:sz w:val="24"/>
          <w:szCs w:val="24"/>
          <w:rtl/>
        </w:rPr>
        <w:t>החוב לא-</w:t>
      </w:r>
      <w:r w:rsidR="00D05B15" w:rsidRPr="00600143">
        <w:rPr>
          <w:rFonts w:ascii="David" w:hAnsi="David" w:cs="David"/>
          <w:b/>
          <w:bCs/>
          <w:sz w:val="24"/>
          <w:szCs w:val="24"/>
          <w:rtl/>
        </w:rPr>
        <w:t>לדיור</w:t>
      </w:r>
      <w:r w:rsidR="00D05B15" w:rsidRPr="00600143">
        <w:rPr>
          <w:rFonts w:ascii="David" w:hAnsi="David" w:cs="David"/>
          <w:sz w:val="24"/>
          <w:szCs w:val="24"/>
          <w:rtl/>
        </w:rPr>
        <w:t xml:space="preserve"> </w:t>
      </w:r>
      <w:r w:rsidR="00943CD4" w:rsidRPr="00600143">
        <w:rPr>
          <w:rFonts w:ascii="David" w:hAnsi="David" w:cs="David"/>
          <w:sz w:val="24"/>
          <w:szCs w:val="24"/>
          <w:rtl/>
        </w:rPr>
        <w:t>נרשמה</w:t>
      </w:r>
      <w:r w:rsidR="00E6771C" w:rsidRPr="00600143">
        <w:rPr>
          <w:rFonts w:ascii="David" w:hAnsi="David" w:cs="David"/>
          <w:sz w:val="24"/>
          <w:szCs w:val="24"/>
          <w:rtl/>
        </w:rPr>
        <w:t xml:space="preserve"> ברביע </w:t>
      </w:r>
      <w:r w:rsidR="00600143">
        <w:rPr>
          <w:rFonts w:ascii="David" w:hAnsi="David" w:cs="David" w:hint="cs"/>
          <w:sz w:val="24"/>
          <w:szCs w:val="24"/>
          <w:rtl/>
        </w:rPr>
        <w:t>זה</w:t>
      </w:r>
      <w:r w:rsidR="004B051B" w:rsidRPr="00600143">
        <w:rPr>
          <w:rFonts w:ascii="David" w:hAnsi="David" w:cs="David"/>
          <w:sz w:val="24"/>
          <w:szCs w:val="24"/>
          <w:rtl/>
        </w:rPr>
        <w:t xml:space="preserve"> </w:t>
      </w:r>
      <w:r w:rsidR="00C274AB" w:rsidRPr="00600143">
        <w:rPr>
          <w:rFonts w:ascii="David" w:hAnsi="David" w:cs="David"/>
          <w:sz w:val="24"/>
          <w:szCs w:val="24"/>
          <w:rtl/>
        </w:rPr>
        <w:t xml:space="preserve">עלייה </w:t>
      </w:r>
      <w:r w:rsidR="00943CD4" w:rsidRPr="00600143">
        <w:rPr>
          <w:rFonts w:ascii="David" w:hAnsi="David" w:cs="David"/>
          <w:sz w:val="24"/>
          <w:szCs w:val="24"/>
          <w:rtl/>
        </w:rPr>
        <w:t>בהיקף של</w:t>
      </w:r>
      <w:r w:rsidR="0018611E" w:rsidRPr="00600143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600143">
        <w:rPr>
          <w:rFonts w:ascii="David" w:hAnsi="David" w:cs="David"/>
          <w:sz w:val="24"/>
          <w:szCs w:val="24"/>
          <w:rtl/>
        </w:rPr>
        <w:t>כ-</w:t>
      </w:r>
      <w:r w:rsidR="00E6771C" w:rsidRPr="00600143">
        <w:rPr>
          <w:rFonts w:ascii="David" w:hAnsi="David" w:cs="David"/>
          <w:sz w:val="24"/>
          <w:szCs w:val="24"/>
          <w:rtl/>
        </w:rPr>
        <w:t>6</w:t>
      </w:r>
      <w:r w:rsidR="00D05B15" w:rsidRPr="00600143">
        <w:rPr>
          <w:rFonts w:ascii="David" w:hAnsi="David" w:cs="David"/>
          <w:sz w:val="24"/>
          <w:szCs w:val="24"/>
          <w:rtl/>
        </w:rPr>
        <w:t xml:space="preserve"> מיליארדים (</w:t>
      </w:r>
      <w:r w:rsidR="00E6771C" w:rsidRPr="00600143">
        <w:rPr>
          <w:rFonts w:ascii="David" w:hAnsi="David" w:cs="David"/>
          <w:sz w:val="24"/>
          <w:szCs w:val="24"/>
          <w:rtl/>
        </w:rPr>
        <w:t>2.7</w:t>
      </w:r>
      <w:r w:rsidR="0018611E" w:rsidRPr="00600143">
        <w:rPr>
          <w:rFonts w:ascii="David" w:hAnsi="David" w:cs="David"/>
          <w:sz w:val="24"/>
          <w:szCs w:val="24"/>
          <w:rtl/>
        </w:rPr>
        <w:t>%</w:t>
      </w:r>
      <w:r w:rsidR="00943CD4" w:rsidRPr="00600143">
        <w:rPr>
          <w:rFonts w:ascii="David" w:hAnsi="David" w:cs="David"/>
          <w:sz w:val="24"/>
          <w:szCs w:val="24"/>
          <w:rtl/>
        </w:rPr>
        <w:t>)</w:t>
      </w:r>
      <w:r w:rsidR="00E6771C" w:rsidRPr="00600143">
        <w:rPr>
          <w:rFonts w:ascii="David" w:hAnsi="David" w:cs="David"/>
          <w:sz w:val="24"/>
          <w:szCs w:val="24"/>
          <w:rtl/>
        </w:rPr>
        <w:t xml:space="preserve">. </w:t>
      </w:r>
    </w:p>
    <w:p w:rsidR="003A2FA2" w:rsidRPr="00ED6F32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ED6F32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F32">
        <w:rPr>
          <w:rStyle w:val="10"/>
          <w:rFonts w:ascii="David" w:hAnsi="David" w:cs="David"/>
          <w:rtl/>
        </w:rPr>
        <w:t>החוב של המגזר העסקי</w:t>
      </w:r>
      <w:r w:rsidR="001E78A9" w:rsidRPr="00ED6F32">
        <w:rPr>
          <w:rStyle w:val="10"/>
          <w:rFonts w:ascii="David" w:hAnsi="David" w:cs="David"/>
          <w:rtl/>
        </w:rPr>
        <w:t xml:space="preserve"> הלא-פיננסי</w:t>
      </w:r>
      <w:r w:rsidR="00474B96" w:rsidRPr="00ED6F32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A2482" w:rsidRDefault="00EA0460" w:rsidP="002A2482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מהחטיבה למידע ולסטטיסטיקה נמסר, כי ברביע </w:t>
      </w:r>
      <w:r w:rsidR="002A2482">
        <w:rPr>
          <w:rFonts w:ascii="David" w:hAnsi="David" w:cs="David" w:hint="cs"/>
          <w:sz w:val="24"/>
          <w:szCs w:val="24"/>
          <w:rtl/>
        </w:rPr>
        <w:t>השני</w:t>
      </w:r>
      <w:r w:rsidR="001C5C40" w:rsidRPr="00ED6F32">
        <w:rPr>
          <w:rFonts w:ascii="David" w:hAnsi="David" w:cs="David"/>
          <w:sz w:val="24"/>
          <w:szCs w:val="24"/>
          <w:rtl/>
        </w:rPr>
        <w:t xml:space="preserve"> </w:t>
      </w:r>
      <w:r w:rsidRPr="00ED6F32">
        <w:rPr>
          <w:rFonts w:ascii="David" w:hAnsi="David" w:cs="David"/>
          <w:sz w:val="24"/>
          <w:szCs w:val="24"/>
          <w:rtl/>
        </w:rPr>
        <w:t xml:space="preserve">של שנת </w:t>
      </w:r>
      <w:r w:rsidR="001C5C40" w:rsidRPr="00ED6F32">
        <w:rPr>
          <w:rFonts w:ascii="David" w:hAnsi="David" w:cs="David"/>
          <w:sz w:val="24"/>
          <w:szCs w:val="24"/>
          <w:rtl/>
        </w:rPr>
        <w:t>2022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A2482">
        <w:rPr>
          <w:rFonts w:ascii="David" w:hAnsi="David" w:cs="David" w:hint="cs"/>
          <w:sz w:val="24"/>
          <w:szCs w:val="24"/>
          <w:rtl/>
        </w:rPr>
        <w:t xml:space="preserve">גדלה </w:t>
      </w:r>
      <w:r w:rsidRPr="00ED6F32">
        <w:rPr>
          <w:rFonts w:ascii="David" w:hAnsi="David" w:cs="David"/>
          <w:sz w:val="24"/>
          <w:szCs w:val="24"/>
          <w:rtl/>
        </w:rPr>
        <w:t>יתרת החוב</w:t>
      </w:r>
      <w:r w:rsidR="001F0454" w:rsidRPr="00ED6F32">
        <w:rPr>
          <w:rFonts w:ascii="David" w:hAnsi="David" w:cs="David"/>
          <w:sz w:val="24"/>
          <w:szCs w:val="24"/>
          <w:rtl/>
        </w:rPr>
        <w:t xml:space="preserve"> של המגזר העסקי ב</w:t>
      </w:r>
      <w:r w:rsidR="009D0E5E" w:rsidRPr="00ED6F32">
        <w:rPr>
          <w:rFonts w:ascii="David" w:hAnsi="David" w:cs="David"/>
          <w:sz w:val="24"/>
          <w:szCs w:val="24"/>
          <w:rtl/>
        </w:rPr>
        <w:t xml:space="preserve">היקף </w:t>
      </w:r>
      <w:r w:rsidR="002A2482">
        <w:rPr>
          <w:rFonts w:ascii="David" w:hAnsi="David" w:cs="David" w:hint="cs"/>
          <w:sz w:val="24"/>
          <w:szCs w:val="24"/>
          <w:rtl/>
        </w:rPr>
        <w:t xml:space="preserve">משמעותי </w:t>
      </w:r>
      <w:r w:rsidR="009D0E5E" w:rsidRPr="00ED6F32">
        <w:rPr>
          <w:rFonts w:ascii="David" w:hAnsi="David" w:cs="David"/>
          <w:sz w:val="24"/>
          <w:szCs w:val="24"/>
          <w:rtl/>
        </w:rPr>
        <w:t xml:space="preserve">של </w:t>
      </w:r>
      <w:r w:rsidR="001F0454" w:rsidRPr="00ED6F32">
        <w:rPr>
          <w:rFonts w:ascii="David" w:hAnsi="David" w:cs="David"/>
          <w:sz w:val="24"/>
          <w:szCs w:val="24"/>
          <w:rtl/>
        </w:rPr>
        <w:t>כ-</w:t>
      </w:r>
      <w:r w:rsidR="002A2482">
        <w:rPr>
          <w:rFonts w:ascii="David" w:hAnsi="David" w:cs="David" w:hint="cs"/>
          <w:sz w:val="24"/>
          <w:szCs w:val="24"/>
          <w:rtl/>
        </w:rPr>
        <w:t>56</w:t>
      </w:r>
      <w:r w:rsidRPr="00ED6F32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A2FA2" w:rsidRPr="00ED6F32">
        <w:rPr>
          <w:rFonts w:ascii="David" w:hAnsi="David" w:cs="David"/>
          <w:sz w:val="24"/>
          <w:szCs w:val="24"/>
          <w:rtl/>
        </w:rPr>
        <w:t>ש"ח</w:t>
      </w:r>
      <w:r w:rsidR="00417CF1" w:rsidRPr="00ED6F32">
        <w:rPr>
          <w:rFonts w:ascii="David" w:hAnsi="David" w:cs="David"/>
          <w:sz w:val="24"/>
          <w:szCs w:val="24"/>
          <w:rtl/>
        </w:rPr>
        <w:t xml:space="preserve"> (</w:t>
      </w:r>
      <w:r w:rsidR="002A2482">
        <w:rPr>
          <w:rFonts w:ascii="David" w:hAnsi="David" w:cs="David" w:hint="cs"/>
          <w:sz w:val="24"/>
          <w:szCs w:val="24"/>
          <w:rtl/>
        </w:rPr>
        <w:t>4.9</w:t>
      </w:r>
      <w:r w:rsidR="00417CF1" w:rsidRPr="00ED6F32">
        <w:rPr>
          <w:rFonts w:ascii="David" w:hAnsi="David" w:cs="David"/>
          <w:sz w:val="24"/>
          <w:szCs w:val="24"/>
          <w:rtl/>
        </w:rPr>
        <w:t>%)</w:t>
      </w:r>
      <w:r w:rsidRPr="00ED6F32">
        <w:rPr>
          <w:rFonts w:ascii="David" w:hAnsi="David" w:cs="David"/>
          <w:sz w:val="24"/>
          <w:szCs w:val="24"/>
          <w:rtl/>
        </w:rPr>
        <w:t xml:space="preserve"> לרמה של כ-</w:t>
      </w:r>
      <w:r w:rsidR="009D0E5E" w:rsidRPr="00ED6F32">
        <w:rPr>
          <w:rFonts w:ascii="David" w:hAnsi="David" w:cs="David"/>
          <w:sz w:val="24"/>
          <w:szCs w:val="24"/>
          <w:rtl/>
        </w:rPr>
        <w:t>1.</w:t>
      </w:r>
      <w:r w:rsidR="002A2482">
        <w:rPr>
          <w:rFonts w:ascii="David" w:hAnsi="David" w:cs="David" w:hint="cs"/>
          <w:sz w:val="24"/>
          <w:szCs w:val="24"/>
          <w:rtl/>
        </w:rPr>
        <w:t>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9D0E5E" w:rsidRPr="00ED6F32">
        <w:rPr>
          <w:rFonts w:ascii="David" w:hAnsi="David" w:cs="David"/>
          <w:sz w:val="24"/>
          <w:szCs w:val="24"/>
          <w:rtl/>
        </w:rPr>
        <w:t>טריליונים</w:t>
      </w:r>
      <w:r w:rsidR="002A2482">
        <w:rPr>
          <w:rFonts w:ascii="David" w:hAnsi="David" w:cs="David" w:hint="cs"/>
          <w:sz w:val="24"/>
          <w:szCs w:val="24"/>
          <w:rtl/>
        </w:rPr>
        <w:t xml:space="preserve">, </w:t>
      </w:r>
      <w:r w:rsidR="002A2482" w:rsidRPr="002A2482">
        <w:rPr>
          <w:rFonts w:ascii="David" w:hAnsi="David" w:cs="David"/>
          <w:sz w:val="24"/>
          <w:szCs w:val="24"/>
          <w:rtl/>
        </w:rPr>
        <w:t>המשך של מגמת העלייה ברבעים האחרונים.</w:t>
      </w:r>
      <w:r w:rsidRPr="002A2482">
        <w:rPr>
          <w:rFonts w:ascii="David" w:hAnsi="David" w:cs="David"/>
          <w:sz w:val="24"/>
          <w:szCs w:val="24"/>
          <w:rtl/>
        </w:rPr>
        <w:t xml:space="preserve"> </w:t>
      </w:r>
      <w:r w:rsidR="002A2482" w:rsidRPr="002A2482">
        <w:rPr>
          <w:rFonts w:ascii="David" w:hAnsi="David" w:cs="David"/>
          <w:sz w:val="24"/>
          <w:szCs w:val="24"/>
          <w:rtl/>
        </w:rPr>
        <w:t xml:space="preserve">כמחצית מהעלייה ביתרת החוב נבעה מפיחות </w:t>
      </w:r>
      <w:r w:rsidR="002A2482" w:rsidRPr="00ED6F32">
        <w:rPr>
          <w:rFonts w:ascii="David" w:hAnsi="David" w:cs="David"/>
          <w:sz w:val="24"/>
          <w:szCs w:val="24"/>
          <w:rtl/>
        </w:rPr>
        <w:t>של כ-</w:t>
      </w:r>
      <w:r w:rsidR="002A2482">
        <w:rPr>
          <w:rFonts w:ascii="David" w:hAnsi="David" w:cs="David" w:hint="cs"/>
          <w:sz w:val="24"/>
          <w:szCs w:val="24"/>
          <w:rtl/>
        </w:rPr>
        <w:t xml:space="preserve">10.2% </w:t>
      </w:r>
      <w:r w:rsidR="002A2482" w:rsidRPr="00ED6F32">
        <w:rPr>
          <w:rFonts w:ascii="David" w:hAnsi="David" w:cs="David"/>
          <w:sz w:val="24"/>
          <w:szCs w:val="24"/>
          <w:rtl/>
        </w:rPr>
        <w:t>בשער החליפין של השקל מול הדולר</w:t>
      </w:r>
      <w:r w:rsidR="002A2482" w:rsidRPr="002A2482">
        <w:rPr>
          <w:rFonts w:ascii="David" w:hAnsi="David" w:cs="David"/>
          <w:sz w:val="24"/>
          <w:szCs w:val="24"/>
          <w:rtl/>
        </w:rPr>
        <w:t xml:space="preserve"> </w:t>
      </w:r>
      <w:r w:rsidR="002A2482">
        <w:rPr>
          <w:rFonts w:ascii="David" w:hAnsi="David" w:cs="David" w:hint="cs"/>
          <w:sz w:val="24"/>
          <w:szCs w:val="24"/>
          <w:rtl/>
        </w:rPr>
        <w:t xml:space="preserve">שהגדיל את השווי של החוב הנקוב במט"ח והצמוד לו, </w:t>
      </w:r>
      <w:r w:rsidR="002A2482" w:rsidRPr="002A2482">
        <w:rPr>
          <w:rFonts w:ascii="David" w:hAnsi="David" w:cs="David"/>
          <w:sz w:val="24"/>
          <w:szCs w:val="24"/>
          <w:rtl/>
        </w:rPr>
        <w:t>וכמחציתה מגיוסי חוב נטו שהסתכמו בכ-29 מיליארדי ש"ח והורכבו בעיקרם מהלוואות בנקאיות וחוץ-בנקאיות.</w:t>
      </w:r>
    </w:p>
    <w:p w:rsidR="000A4B97" w:rsidRPr="00ED6F32" w:rsidRDefault="002A2482" w:rsidP="00A90800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A2482">
        <w:rPr>
          <w:rFonts w:ascii="David" w:hAnsi="David" w:cs="David"/>
          <w:sz w:val="24"/>
          <w:szCs w:val="24"/>
          <w:rtl/>
        </w:rPr>
        <w:t xml:space="preserve">השפעות אלו הביאו לכך כי ברביע זה נרשם שיעור גידול שנתי גבוה ביתרת החוב לבנקים – כ-22%, דומה לשיעור הגידול שנרשם ברביע הקודם. גם החוב למלווים חוץ-בנקאיים גדל ברביע זה בשיעור של כ-11%, לעומת 8% ברביע הקודם. </w:t>
      </w:r>
      <w:r w:rsidR="009D0E5E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71464F" w:rsidRPr="00ED6F32">
        <w:rPr>
          <w:rFonts w:ascii="David" w:hAnsi="David" w:cs="David"/>
          <w:sz w:val="24"/>
          <w:szCs w:val="24"/>
          <w:rtl/>
        </w:rPr>
        <w:t>(איור</w:t>
      </w:r>
      <w:r w:rsidR="00042F59" w:rsidRPr="00ED6F32">
        <w:rPr>
          <w:rFonts w:ascii="David" w:hAnsi="David" w:cs="David"/>
          <w:sz w:val="24"/>
          <w:szCs w:val="24"/>
          <w:rtl/>
        </w:rPr>
        <w:t>ים</w:t>
      </w:r>
      <w:r w:rsidR="00EA0460" w:rsidRPr="00ED6F32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ED6F32">
        <w:rPr>
          <w:rFonts w:ascii="David" w:hAnsi="David" w:cs="David"/>
          <w:sz w:val="24"/>
          <w:szCs w:val="24"/>
          <w:rtl/>
        </w:rPr>
        <w:t>,2</w:t>
      </w:r>
      <w:r w:rsidR="00EA0460" w:rsidRPr="00ED6F32">
        <w:rPr>
          <w:rFonts w:ascii="David" w:hAnsi="David" w:cs="David"/>
          <w:sz w:val="24"/>
          <w:szCs w:val="24"/>
          <w:rtl/>
        </w:rPr>
        <w:t>)</w:t>
      </w:r>
      <w:r w:rsidR="0071464F" w:rsidRPr="00ED6F32">
        <w:rPr>
          <w:rFonts w:ascii="David" w:hAnsi="David" w:cs="David"/>
          <w:sz w:val="24"/>
          <w:szCs w:val="24"/>
          <w:rtl/>
        </w:rPr>
        <w:t>.</w:t>
      </w:r>
      <w:r w:rsidR="00C90438" w:rsidRPr="00ED6F32">
        <w:rPr>
          <w:rFonts w:ascii="David" w:hAnsi="David" w:cs="David"/>
          <w:sz w:val="24"/>
          <w:szCs w:val="24"/>
          <w:rtl/>
        </w:rPr>
        <w:t xml:space="preserve"> </w:t>
      </w:r>
    </w:p>
    <w:p w:rsidR="002A51F1" w:rsidRPr="00ED6F32" w:rsidRDefault="00C55E2C" w:rsidP="007A5854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ברביע </w:t>
      </w:r>
      <w:r w:rsidR="007A5854">
        <w:rPr>
          <w:rFonts w:ascii="David" w:hAnsi="David" w:cs="David" w:hint="cs"/>
          <w:sz w:val="24"/>
          <w:szCs w:val="24"/>
          <w:rtl/>
        </w:rPr>
        <w:t>השני</w:t>
      </w:r>
      <w:r w:rsidR="00D11E8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ED6F32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ED6F32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ED6F32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644325" w:rsidRPr="00ED6F32">
        <w:rPr>
          <w:rFonts w:ascii="David" w:hAnsi="David" w:cs="David"/>
          <w:sz w:val="24"/>
          <w:szCs w:val="24"/>
          <w:rtl/>
        </w:rPr>
        <w:t>1</w:t>
      </w:r>
      <w:r w:rsidR="00A90800" w:rsidRPr="00ED6F32">
        <w:rPr>
          <w:rFonts w:ascii="David" w:hAnsi="David" w:cs="David"/>
          <w:sz w:val="24"/>
          <w:szCs w:val="24"/>
          <w:rtl/>
        </w:rPr>
        <w:t>2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ED6F32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ED6F32">
        <w:rPr>
          <w:rFonts w:ascii="David" w:hAnsi="David" w:cs="David"/>
          <w:sz w:val="24"/>
          <w:szCs w:val="24"/>
          <w:rtl/>
        </w:rPr>
        <w:t>,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A90800" w:rsidRPr="00ED6F32">
        <w:rPr>
          <w:rFonts w:ascii="David" w:hAnsi="David" w:cs="David"/>
          <w:sz w:val="24"/>
          <w:szCs w:val="24"/>
          <w:rtl/>
        </w:rPr>
        <w:t>נמוך מעט</w:t>
      </w:r>
      <w:r w:rsidR="00996717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מ</w:t>
      </w:r>
      <w:r w:rsidR="00474B96" w:rsidRPr="00ED6F32">
        <w:rPr>
          <w:rFonts w:ascii="David" w:hAnsi="David" w:cs="David"/>
          <w:sz w:val="24"/>
          <w:szCs w:val="24"/>
          <w:rtl/>
        </w:rPr>
        <w:t>מ</w:t>
      </w:r>
      <w:r w:rsidR="00804AEF" w:rsidRPr="00ED6F32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הרבעוני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ED6F32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ED6F32">
        <w:rPr>
          <w:rFonts w:ascii="David" w:hAnsi="David" w:cs="David"/>
          <w:sz w:val="24"/>
          <w:szCs w:val="24"/>
          <w:rtl/>
        </w:rPr>
        <w:t>(כ-</w:t>
      </w:r>
      <w:r w:rsidRPr="00ED6F32">
        <w:rPr>
          <w:rFonts w:ascii="David" w:hAnsi="David" w:cs="David"/>
          <w:sz w:val="24"/>
          <w:szCs w:val="24"/>
          <w:rtl/>
        </w:rPr>
        <w:t>1</w:t>
      </w:r>
      <w:r w:rsidR="007A5854">
        <w:rPr>
          <w:rFonts w:ascii="David" w:hAnsi="David" w:cs="David" w:hint="cs"/>
          <w:sz w:val="24"/>
          <w:szCs w:val="24"/>
          <w:rtl/>
        </w:rPr>
        <w:t>4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Pr="00ED6F32">
        <w:rPr>
          <w:rFonts w:ascii="David" w:hAnsi="David" w:cs="David"/>
          <w:sz w:val="24"/>
          <w:szCs w:val="24"/>
          <w:rtl/>
        </w:rPr>
        <w:t>חברות מ</w:t>
      </w:r>
      <w:r w:rsidR="0032510F" w:rsidRPr="00ED6F32">
        <w:rPr>
          <w:rFonts w:ascii="David" w:hAnsi="David" w:cs="David"/>
          <w:sz w:val="24"/>
          <w:szCs w:val="24"/>
          <w:rtl/>
        </w:rPr>
        <w:t>ענף הנדל"ן והבינוי</w:t>
      </w:r>
      <w:r w:rsidRPr="00ED6F32">
        <w:rPr>
          <w:rFonts w:ascii="David" w:hAnsi="David" w:cs="David"/>
          <w:sz w:val="24"/>
          <w:szCs w:val="24"/>
          <w:rtl/>
        </w:rPr>
        <w:t xml:space="preserve"> ממשיכות להוביל בגיוסים – כ</w:t>
      </w:r>
      <w:r w:rsidR="00A90800" w:rsidRPr="00ED6F32">
        <w:rPr>
          <w:rFonts w:ascii="David" w:hAnsi="David" w:cs="David"/>
          <w:sz w:val="24"/>
          <w:szCs w:val="24"/>
          <w:rtl/>
        </w:rPr>
        <w:t>-</w:t>
      </w:r>
      <w:r w:rsidR="007A5854">
        <w:rPr>
          <w:rFonts w:ascii="David" w:hAnsi="David" w:cs="David" w:hint="cs"/>
          <w:sz w:val="24"/>
          <w:szCs w:val="24"/>
          <w:rtl/>
        </w:rPr>
        <w:t>39</w:t>
      </w:r>
      <w:r w:rsidR="00A90800" w:rsidRPr="00ED6F32">
        <w:rPr>
          <w:rFonts w:ascii="David" w:hAnsi="David" w:cs="David"/>
          <w:sz w:val="24"/>
          <w:szCs w:val="24"/>
          <w:rtl/>
        </w:rPr>
        <w:t xml:space="preserve">% </w:t>
      </w:r>
      <w:r w:rsidRPr="00ED6F32">
        <w:rPr>
          <w:rFonts w:ascii="David" w:hAnsi="David" w:cs="David"/>
          <w:sz w:val="24"/>
          <w:szCs w:val="24"/>
          <w:rtl/>
        </w:rPr>
        <w:t>מההנפקות ברביע זה בוצעו על ידן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; </w:t>
      </w:r>
      <w:r w:rsidR="007A5854" w:rsidRPr="007A5854">
        <w:rPr>
          <w:rFonts w:ascii="David" w:hAnsi="David" w:cs="David"/>
          <w:sz w:val="24"/>
          <w:szCs w:val="24"/>
          <w:rtl/>
        </w:rPr>
        <w:t xml:space="preserve">הנפקות של חברות מענף המסחר והשירותים היוו כ-29% מסך הגיוס ברביע זה. </w:t>
      </w:r>
      <w:r w:rsidR="002B4634" w:rsidRPr="00ED6F32">
        <w:rPr>
          <w:rFonts w:ascii="David" w:hAnsi="David" w:cs="David"/>
          <w:sz w:val="24"/>
          <w:szCs w:val="24"/>
          <w:rtl/>
        </w:rPr>
        <w:t>בחודש</w:t>
      </w:r>
      <w:r w:rsidR="00FE6B0C" w:rsidRPr="00ED6F32">
        <w:rPr>
          <w:rFonts w:ascii="David" w:hAnsi="David" w:cs="David"/>
          <w:sz w:val="24"/>
          <w:szCs w:val="24"/>
          <w:rtl/>
        </w:rPr>
        <w:t>ים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7A5854">
        <w:rPr>
          <w:rFonts w:ascii="David" w:hAnsi="David" w:cs="David" w:hint="cs"/>
          <w:sz w:val="24"/>
          <w:szCs w:val="24"/>
          <w:rtl/>
        </w:rPr>
        <w:t>יולי-אוגוסט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644325" w:rsidRPr="00ED6F32">
        <w:rPr>
          <w:rFonts w:ascii="David" w:hAnsi="David" w:cs="David"/>
          <w:sz w:val="24"/>
          <w:szCs w:val="24"/>
          <w:rtl/>
        </w:rPr>
        <w:t>2022</w:t>
      </w:r>
      <w:r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7A5854">
        <w:rPr>
          <w:rFonts w:ascii="David" w:hAnsi="David" w:cs="David" w:hint="cs"/>
          <w:sz w:val="24"/>
          <w:szCs w:val="24"/>
          <w:rtl/>
        </w:rPr>
        <w:t xml:space="preserve">6 </w:t>
      </w:r>
      <w:r w:rsidR="002B4634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מיליארדי </w:t>
      </w:r>
      <w:r w:rsidR="00FE6B0C" w:rsidRPr="00ED6F32">
        <w:rPr>
          <w:rFonts w:ascii="David" w:hAnsi="David" w:cs="David"/>
          <w:sz w:val="24"/>
          <w:szCs w:val="24"/>
          <w:rtl/>
        </w:rPr>
        <w:t>ש"ח בממוצע חודשי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, </w:t>
      </w:r>
      <w:r w:rsidR="007A5854">
        <w:rPr>
          <w:rFonts w:ascii="David" w:hAnsi="David" w:cs="David" w:hint="cs"/>
          <w:sz w:val="24"/>
          <w:szCs w:val="24"/>
          <w:rtl/>
        </w:rPr>
        <w:t>גבוה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FE6B0C" w:rsidRPr="00ED6F32">
        <w:rPr>
          <w:rFonts w:ascii="David" w:hAnsi="David" w:cs="David"/>
          <w:sz w:val="24"/>
          <w:szCs w:val="24"/>
          <w:rtl/>
        </w:rPr>
        <w:t>מעט מ</w:t>
      </w:r>
      <w:r w:rsidR="00644325" w:rsidRPr="00ED6F32">
        <w:rPr>
          <w:rFonts w:ascii="David" w:hAnsi="David" w:cs="David"/>
          <w:sz w:val="24"/>
          <w:szCs w:val="24"/>
          <w:rtl/>
        </w:rPr>
        <w:t>ממוצע הגיוסים ב-12 החודשים הקודמים שעמד על כ-</w:t>
      </w:r>
      <w:r w:rsidR="007A5854">
        <w:rPr>
          <w:rFonts w:ascii="David" w:hAnsi="David" w:cs="David" w:hint="cs"/>
          <w:sz w:val="24"/>
          <w:szCs w:val="24"/>
          <w:rtl/>
        </w:rPr>
        <w:t>5</w:t>
      </w:r>
      <w:r w:rsidR="00644325" w:rsidRPr="00ED6F32">
        <w:rPr>
          <w:rFonts w:ascii="David" w:hAnsi="David" w:cs="David"/>
          <w:sz w:val="24"/>
          <w:szCs w:val="24"/>
          <w:rtl/>
        </w:rPr>
        <w:t xml:space="preserve"> מיליארדים.</w:t>
      </w:r>
      <w:r w:rsidR="0032510F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070391" w:rsidRPr="00ED6F32">
        <w:rPr>
          <w:rFonts w:ascii="David" w:hAnsi="David" w:cs="David"/>
          <w:sz w:val="24"/>
          <w:szCs w:val="24"/>
          <w:rtl/>
        </w:rPr>
        <w:t>(איור 3)</w:t>
      </w:r>
      <w:r w:rsidR="008E0911" w:rsidRPr="00ED6F32">
        <w:rPr>
          <w:rFonts w:ascii="David" w:hAnsi="David" w:cs="David"/>
          <w:sz w:val="24"/>
          <w:szCs w:val="24"/>
          <w:rtl/>
        </w:rPr>
        <w:t>.</w:t>
      </w:r>
    </w:p>
    <w:p w:rsidR="00E44E3D" w:rsidRPr="009B0D39" w:rsidRDefault="00B17282" w:rsidP="003D075F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9B0D39">
        <w:rPr>
          <w:rFonts w:ascii="David" w:hAnsi="David" w:cs="David"/>
          <w:sz w:val="24"/>
          <w:szCs w:val="24"/>
          <w:rtl/>
        </w:rPr>
        <w:t>ברביע ה</w:t>
      </w:r>
      <w:r w:rsidR="00347905">
        <w:rPr>
          <w:rFonts w:ascii="David" w:hAnsi="David" w:cs="David" w:hint="cs"/>
          <w:sz w:val="24"/>
          <w:szCs w:val="24"/>
          <w:rtl/>
        </w:rPr>
        <w:t>שני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</w:t>
      </w:r>
      <w:r w:rsidRPr="009B0D39">
        <w:rPr>
          <w:rFonts w:ascii="David" w:hAnsi="David" w:cs="David"/>
          <w:sz w:val="24"/>
          <w:szCs w:val="24"/>
          <w:rtl/>
        </w:rPr>
        <w:t xml:space="preserve">של השנה 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9B0D39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="00884ED4" w:rsidRPr="009B0D3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9B0D39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r w:rsidR="00BD4578" w:rsidRPr="009B0D39">
        <w:rPr>
          <w:rFonts w:ascii="David" w:hAnsi="David" w:cs="David"/>
          <w:b/>
          <w:bCs/>
          <w:sz w:val="24"/>
          <w:szCs w:val="24"/>
          <w:rtl/>
        </w:rPr>
        <w:t>האג"ח הקונצרניות הכלולות במדד</w:t>
      </w:r>
      <w:r w:rsidR="00985B74" w:rsidRPr="009B0D39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9B0D39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התרחב </w:t>
      </w:r>
      <w:r w:rsidR="003F1530" w:rsidRPr="009B0D39">
        <w:rPr>
          <w:rFonts w:ascii="David" w:hAnsi="David" w:cs="David"/>
          <w:sz w:val="24"/>
          <w:szCs w:val="24"/>
          <w:rtl/>
        </w:rPr>
        <w:t>ל</w:t>
      </w:r>
      <w:r w:rsidR="002C2286" w:rsidRPr="009B0D39">
        <w:rPr>
          <w:rFonts w:ascii="David" w:hAnsi="David" w:cs="David"/>
          <w:sz w:val="24"/>
          <w:szCs w:val="24"/>
          <w:rtl/>
        </w:rPr>
        <w:t>כ-</w:t>
      </w:r>
      <w:r w:rsidR="009A247B" w:rsidRPr="009B0D39">
        <w:rPr>
          <w:rFonts w:ascii="David" w:hAnsi="David" w:cs="David"/>
          <w:sz w:val="24"/>
          <w:szCs w:val="24"/>
          <w:rtl/>
        </w:rPr>
        <w:t>1.</w:t>
      </w:r>
      <w:r w:rsidR="00347905">
        <w:rPr>
          <w:rFonts w:ascii="David" w:hAnsi="David" w:cs="David" w:hint="cs"/>
          <w:sz w:val="24"/>
          <w:szCs w:val="24"/>
          <w:rtl/>
        </w:rPr>
        <w:t>6</w:t>
      </w:r>
      <w:r w:rsidR="00F116F2" w:rsidRPr="009B0D39">
        <w:rPr>
          <w:rFonts w:ascii="David" w:hAnsi="David" w:cs="David"/>
          <w:sz w:val="24"/>
          <w:szCs w:val="24"/>
          <w:rtl/>
        </w:rPr>
        <w:t>2</w:t>
      </w:r>
      <w:r w:rsidRPr="009B0D39">
        <w:rPr>
          <w:rFonts w:ascii="David" w:hAnsi="David" w:cs="David"/>
          <w:sz w:val="24"/>
          <w:szCs w:val="24"/>
          <w:rtl/>
        </w:rPr>
        <w:t xml:space="preserve"> נק' האחוז</w:t>
      </w:r>
      <w:r w:rsidR="003F1530" w:rsidRPr="009B0D39">
        <w:rPr>
          <w:rFonts w:ascii="David" w:hAnsi="David" w:cs="David"/>
          <w:sz w:val="24"/>
          <w:szCs w:val="24"/>
          <w:rtl/>
        </w:rPr>
        <w:t>,</w:t>
      </w:r>
      <w:r w:rsidR="009A247B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810F85" w:rsidRPr="009B0D39">
        <w:rPr>
          <w:rFonts w:ascii="David" w:hAnsi="David" w:cs="David" w:hint="cs"/>
          <w:sz w:val="24"/>
          <w:szCs w:val="24"/>
          <w:rtl/>
        </w:rPr>
        <w:t xml:space="preserve">המשך </w:t>
      </w:r>
      <w:r w:rsidR="00810F85" w:rsidRPr="009B0D39">
        <w:rPr>
          <w:rFonts w:ascii="David" w:hAnsi="David" w:cs="David" w:hint="cs"/>
          <w:sz w:val="24"/>
          <w:szCs w:val="24"/>
          <w:rtl/>
        </w:rPr>
        <w:lastRenderedPageBreak/>
        <w:t>להתרחבות</w:t>
      </w:r>
      <w:r w:rsidR="003D075F">
        <w:rPr>
          <w:rFonts w:ascii="David" w:hAnsi="David" w:cs="David" w:hint="cs"/>
          <w:sz w:val="24"/>
          <w:szCs w:val="24"/>
          <w:rtl/>
        </w:rPr>
        <w:t xml:space="preserve"> שהחלה ברביע השלישי של שנת 2021</w:t>
      </w:r>
      <w:r w:rsidR="003F1530" w:rsidRPr="009B0D39">
        <w:rPr>
          <w:rFonts w:ascii="David" w:hAnsi="David" w:cs="David"/>
          <w:sz w:val="24"/>
          <w:szCs w:val="24"/>
          <w:rtl/>
        </w:rPr>
        <w:t>;</w:t>
      </w:r>
      <w:r w:rsidR="00884ED4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347905">
        <w:rPr>
          <w:rFonts w:ascii="David" w:hAnsi="David" w:cs="David" w:hint="cs"/>
          <w:sz w:val="24"/>
          <w:szCs w:val="24"/>
          <w:rtl/>
        </w:rPr>
        <w:t xml:space="preserve">עם זאת, </w:t>
      </w:r>
      <w:r w:rsidR="008E7A02" w:rsidRPr="009B0D39">
        <w:rPr>
          <w:rFonts w:ascii="David" w:hAnsi="David" w:cs="David"/>
          <w:sz w:val="24"/>
          <w:szCs w:val="24"/>
          <w:rtl/>
        </w:rPr>
        <w:t>ב</w:t>
      </w:r>
      <w:r w:rsidR="005D6B64" w:rsidRPr="009B0D39">
        <w:rPr>
          <w:rFonts w:ascii="David" w:hAnsi="David" w:cs="David"/>
          <w:sz w:val="24"/>
          <w:szCs w:val="24"/>
          <w:rtl/>
        </w:rPr>
        <w:t>חודש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ים </w:t>
      </w:r>
      <w:r w:rsidR="00347905">
        <w:rPr>
          <w:rFonts w:ascii="David" w:hAnsi="David" w:cs="David" w:hint="cs"/>
          <w:sz w:val="24"/>
          <w:szCs w:val="24"/>
          <w:rtl/>
        </w:rPr>
        <w:t>יולי-אוגוסט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2022</w:t>
      </w:r>
      <w:r w:rsidR="00DA277E" w:rsidRPr="009B0D39">
        <w:rPr>
          <w:rFonts w:ascii="David" w:hAnsi="David" w:cs="David"/>
          <w:sz w:val="24"/>
          <w:szCs w:val="24"/>
          <w:rtl/>
        </w:rPr>
        <w:t xml:space="preserve"> </w:t>
      </w:r>
      <w:r w:rsidR="006321B1">
        <w:rPr>
          <w:rFonts w:ascii="David" w:hAnsi="David" w:cs="David" w:hint="cs"/>
          <w:sz w:val="24"/>
          <w:szCs w:val="24"/>
          <w:rtl/>
        </w:rPr>
        <w:t>מרווח זה הצטמצם</w:t>
      </w:r>
      <w:r w:rsidR="00347905">
        <w:rPr>
          <w:rFonts w:ascii="David" w:hAnsi="David" w:cs="David" w:hint="cs"/>
          <w:sz w:val="24"/>
          <w:szCs w:val="24"/>
          <w:rtl/>
        </w:rPr>
        <w:t xml:space="preserve"> </w:t>
      </w:r>
      <w:r w:rsidR="00F116F2" w:rsidRPr="009B0D39">
        <w:rPr>
          <w:rFonts w:ascii="David" w:hAnsi="David" w:cs="David"/>
          <w:sz w:val="24"/>
          <w:szCs w:val="24"/>
          <w:rtl/>
        </w:rPr>
        <w:t>עד לרמה של כ-1.</w:t>
      </w:r>
      <w:r w:rsidR="006321B1">
        <w:rPr>
          <w:rFonts w:ascii="David" w:hAnsi="David" w:cs="David" w:hint="cs"/>
          <w:sz w:val="24"/>
          <w:szCs w:val="24"/>
          <w:rtl/>
        </w:rPr>
        <w:t>49</w:t>
      </w:r>
      <w:r w:rsidR="00F116F2" w:rsidRPr="009B0D39">
        <w:rPr>
          <w:rFonts w:ascii="David" w:hAnsi="David" w:cs="David"/>
          <w:sz w:val="24"/>
          <w:szCs w:val="24"/>
          <w:rtl/>
        </w:rPr>
        <w:t xml:space="preserve"> נק' האחוז</w:t>
      </w:r>
      <w:r w:rsidR="005D6B64" w:rsidRPr="009B0D39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9B0D39">
        <w:rPr>
          <w:rFonts w:ascii="David" w:hAnsi="David" w:cs="David"/>
          <w:sz w:val="24"/>
          <w:szCs w:val="24"/>
          <w:rtl/>
        </w:rPr>
        <w:t>(איור 4)</w:t>
      </w:r>
      <w:r w:rsidR="008E0911" w:rsidRPr="009B0D39">
        <w:rPr>
          <w:rFonts w:ascii="David" w:hAnsi="David" w:cs="David"/>
          <w:sz w:val="24"/>
          <w:szCs w:val="24"/>
          <w:rtl/>
        </w:rPr>
        <w:t>.</w:t>
      </w:r>
    </w:p>
    <w:p w:rsidR="00E33B1C" w:rsidRPr="00E44C3B" w:rsidRDefault="00E33B1C" w:rsidP="00E33B1C">
      <w:pPr>
        <w:pStyle w:val="a9"/>
        <w:bidi/>
        <w:spacing w:before="24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21AEA" w:rsidRPr="00E44C3B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E44C3B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E78A9" w:rsidRPr="00E44C3B">
        <w:rPr>
          <w:rFonts w:asciiTheme="minorBidi" w:hAnsiTheme="minorBidi" w:cstheme="minorBidi"/>
          <w:b/>
          <w:bCs/>
          <w:rtl/>
        </w:rPr>
        <w:t xml:space="preserve"> הלא-פיננסי</w:t>
      </w:r>
      <w:r w:rsidR="0012175B" w:rsidRPr="00E44C3B">
        <w:rPr>
          <w:rFonts w:asciiTheme="minorBidi" w:hAnsiTheme="minorBidi" w:cstheme="minorBidi"/>
          <w:sz w:val="22"/>
          <w:szCs w:val="22"/>
          <w:vertAlign w:val="superscript"/>
          <w:rtl/>
        </w:rPr>
        <w:t>1</w:t>
      </w:r>
      <w:r w:rsidR="00303DA6" w:rsidRPr="00E44C3B">
        <w:rPr>
          <w:rFonts w:asciiTheme="minorBidi" w:hAnsiTheme="minorBidi" w:cstheme="minorBidi"/>
          <w:sz w:val="22"/>
          <w:szCs w:val="22"/>
          <w:vertAlign w:val="superscript"/>
          <w:rtl/>
        </w:rPr>
        <w:t xml:space="preserve"> </w:t>
      </w:r>
    </w:p>
    <w:p w:rsidR="002A60C4" w:rsidRPr="00E44C3B" w:rsidRDefault="000B43AC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0B43AC">
        <w:rPr>
          <w:noProof/>
          <w:rtl/>
        </w:rPr>
        <w:drawing>
          <wp:inline distT="0" distB="0" distL="0" distR="0" wp14:anchorId="19FEDA44" wp14:editId="083C6CFE">
            <wp:extent cx="5278120" cy="2774502"/>
            <wp:effectExtent l="0" t="0" r="0" b="6985"/>
            <wp:docPr id="3" name="תמונה 3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E44C3B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E44C3B">
        <w:rPr>
          <w:rFonts w:asciiTheme="minorBidi" w:hAnsiTheme="minorBidi" w:cstheme="minorBidi"/>
          <w:b/>
          <w:bCs/>
          <w:rtl/>
        </w:rPr>
        <w:lastRenderedPageBreak/>
        <w:t xml:space="preserve">איור 1: </w:t>
      </w:r>
      <w:r w:rsidR="00AD3F98" w:rsidRPr="00E44C3B">
        <w:rPr>
          <w:rFonts w:asciiTheme="minorBidi" w:hAnsiTheme="minorBidi" w:cstheme="minorBidi"/>
          <w:b/>
          <w:bCs/>
          <w:rtl/>
        </w:rPr>
        <w:t xml:space="preserve">אומדן </w:t>
      </w:r>
      <w:r w:rsidR="00374BF3" w:rsidRPr="00E44C3B">
        <w:rPr>
          <w:rFonts w:asciiTheme="minorBidi" w:hAnsiTheme="minorBidi" w:cstheme="minorBidi"/>
          <w:b/>
          <w:bCs/>
          <w:rtl/>
        </w:rPr>
        <w:t>לתנועות של סך ה</w:t>
      </w:r>
      <w:r w:rsidR="00AD3F98" w:rsidRPr="00E44C3B">
        <w:rPr>
          <w:rFonts w:asciiTheme="minorBidi" w:hAnsiTheme="minorBidi" w:cstheme="minorBidi"/>
          <w:b/>
          <w:bCs/>
          <w:rtl/>
        </w:rPr>
        <w:t>חוב של</w:t>
      </w:r>
      <w:r w:rsidRPr="00E44C3B">
        <w:rPr>
          <w:rFonts w:asciiTheme="minorBidi" w:hAnsiTheme="minorBidi" w:cstheme="minorBidi"/>
          <w:b/>
          <w:bCs/>
          <w:rtl/>
        </w:rPr>
        <w:t xml:space="preserve"> </w:t>
      </w:r>
      <w:r w:rsidR="0004490E" w:rsidRPr="00E44C3B">
        <w:rPr>
          <w:rFonts w:asciiTheme="minorBidi" w:hAnsiTheme="minorBidi" w:cstheme="minorBidi"/>
          <w:b/>
          <w:bCs/>
          <w:rtl/>
        </w:rPr>
        <w:t>המגזר</w:t>
      </w:r>
      <w:r w:rsidR="00AD3F98" w:rsidRPr="00E44C3B">
        <w:rPr>
          <w:rFonts w:asciiTheme="minorBidi" w:hAnsiTheme="minorBidi" w:cstheme="minorBidi"/>
          <w:b/>
          <w:bCs/>
          <w:rtl/>
        </w:rPr>
        <w:t xml:space="preserve"> העסקי </w:t>
      </w:r>
      <w:r w:rsidR="001E78A9" w:rsidRPr="00E44C3B">
        <w:rPr>
          <w:rFonts w:asciiTheme="minorBidi" w:hAnsiTheme="minorBidi" w:cstheme="minorBidi"/>
          <w:b/>
          <w:bCs/>
          <w:rtl/>
        </w:rPr>
        <w:t>הלא-פיננסי</w:t>
      </w:r>
    </w:p>
    <w:p w:rsidR="002A60C4" w:rsidRPr="00E44C3B" w:rsidRDefault="000B43AC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DE3B1E4" wp14:editId="56FCDF83">
            <wp:extent cx="5261610" cy="2719070"/>
            <wp:effectExtent l="0" t="0" r="0" b="5080"/>
            <wp:docPr id="6" name="תמונה 6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E44C3B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675551" w:rsidRPr="00E44C3B" w:rsidRDefault="00675551" w:rsidP="00105A3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הלא-פיננסי</w:t>
      </w:r>
    </w:p>
    <w:p w:rsidR="00675551" w:rsidRPr="00E44C3B" w:rsidRDefault="000B43AC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2B46FADB" wp14:editId="632835B6">
            <wp:extent cx="5261610" cy="2548255"/>
            <wp:effectExtent l="0" t="0" r="0" b="4445"/>
            <wp:docPr id="7" name="תמונה 7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E44C3B" w:rsidRDefault="00AC3E61" w:rsidP="00C9450A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3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D602E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F83505" w:rsidRPr="00E44C3B" w:rsidRDefault="000B43AC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44F4F9E" wp14:editId="34CB52B5">
            <wp:extent cx="5218430" cy="2969260"/>
            <wp:effectExtent l="0" t="0" r="1270" b="2540"/>
            <wp:docPr id="8" name="תמונה 8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E44C3B" w:rsidRDefault="00402A67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22BB0" w:rsidRPr="00E44C3B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4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: המרווח בין אג"ח חברות צמוד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(תל בונד 60) לאג"ח ממשלתי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צמוד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ות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/>
        <w:t>(ממוצע חודשי)</w:t>
      </w:r>
    </w:p>
    <w:p w:rsidR="00522BB0" w:rsidRPr="00E44C3B" w:rsidRDefault="000B43AC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713A894C" wp14:editId="6DC55D36">
            <wp:extent cx="5304155" cy="2725420"/>
            <wp:effectExtent l="0" t="0" r="0" b="0"/>
            <wp:docPr id="9" name="תמונה 9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9F574F" w:rsidRPr="00ED6F32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ED6F32">
        <w:rPr>
          <w:rStyle w:val="10"/>
          <w:rFonts w:ascii="David" w:hAnsi="David" w:cs="David"/>
          <w:rtl/>
        </w:rPr>
        <w:t>החוב של משקי הבית</w:t>
      </w:r>
    </w:p>
    <w:p w:rsidR="002E4976" w:rsidRPr="000B43AC" w:rsidRDefault="000B43AC" w:rsidP="000B43AC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0B43AC">
        <w:rPr>
          <w:rFonts w:ascii="David" w:hAnsi="David" w:cs="David"/>
          <w:sz w:val="24"/>
          <w:szCs w:val="24"/>
          <w:rtl/>
        </w:rPr>
        <w:t xml:space="preserve">ברביע השני של שנת 2022 נמשך הגידול המשמעותי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ביתרת החוב של משקי הבית</w:t>
      </w:r>
      <w:r w:rsidRPr="000B43AC">
        <w:rPr>
          <w:rFonts w:ascii="David" w:hAnsi="David" w:cs="David"/>
          <w:sz w:val="24"/>
          <w:szCs w:val="24"/>
          <w:rtl/>
        </w:rPr>
        <w:t xml:space="preserve">, הן בחוב לדיור והן בחוב לא לדיור, לרמה של כ-747 מיליארדי ש"ח - עלייה של כ-26 מיליארדים (3.6%): נמשכת העלייה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ביתרת החוב לדיור</w:t>
      </w:r>
      <w:r w:rsidRPr="000B43AC">
        <w:rPr>
          <w:rFonts w:ascii="David" w:hAnsi="David" w:cs="David"/>
          <w:sz w:val="24"/>
          <w:szCs w:val="24"/>
          <w:rtl/>
        </w:rPr>
        <w:t xml:space="preserve"> (כ-20 מיליארדי ש"ח, 4%); גם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יתרת</w:t>
      </w:r>
      <w:r w:rsidRPr="000B43AC">
        <w:rPr>
          <w:rFonts w:ascii="David" w:hAnsi="David" w:cs="David"/>
          <w:sz w:val="24"/>
          <w:szCs w:val="24"/>
          <w:rtl/>
        </w:rPr>
        <w:t xml:space="preserve"> </w:t>
      </w:r>
      <w:r w:rsidRPr="000B43AC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Pr="000B43AC">
        <w:rPr>
          <w:rFonts w:ascii="David" w:hAnsi="David" w:cs="David"/>
          <w:sz w:val="24"/>
          <w:szCs w:val="24"/>
          <w:rtl/>
        </w:rPr>
        <w:t xml:space="preserve"> המשיכה לגדול ברביע זה בשיעור של כ-2.7% לרמה של כ-228 מיליארדים.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E4976" w:rsidRPr="000B43AC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Pr="00ED6F32" w:rsidRDefault="000B43AC" w:rsidP="006F51DB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0B43AC">
        <w:rPr>
          <w:rFonts w:ascii="David" w:hAnsi="David" w:cs="David"/>
          <w:sz w:val="24"/>
          <w:szCs w:val="24"/>
          <w:rtl/>
        </w:rPr>
        <w:t xml:space="preserve">ברביע השני של שנת 2022 נטילת משכנתאות חדשות הסתכמה בכ-34 מיליארדי ש"ח, בדומה לרביע הקודם. בניכוי השפעות עונתיות, חלה ירידה בנטילת משכנתאות חדשות </w:t>
      </w:r>
      <w:r w:rsidRPr="000B43AC">
        <w:rPr>
          <w:rFonts w:ascii="David" w:hAnsi="David" w:cs="David"/>
          <w:sz w:val="24"/>
          <w:szCs w:val="24"/>
          <w:rtl/>
        </w:rPr>
        <w:lastRenderedPageBreak/>
        <w:t>ברביע השני של השנה לעומת הרביע הקודם (33 מיליארדים לעומת 35 מיליארדים); בחודשים יולי-אוגוסט 2022 נמשכה הירידה בנטילת משכנתאות חדשות והן הסתכמו בכ-10 מיליארדי ש"ח בממוצע חודשי.</w:t>
      </w:r>
      <w:r w:rsidR="00F444FD" w:rsidRPr="00ED6F32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ED6F32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ED6F32">
        <w:rPr>
          <w:rFonts w:ascii="David" w:hAnsi="David" w:cs="David"/>
          <w:sz w:val="24"/>
          <w:szCs w:val="24"/>
          <w:rtl/>
        </w:rPr>
        <w:t>6</w:t>
      </w:r>
      <w:r w:rsidR="00060D8E" w:rsidRPr="00ED6F32">
        <w:rPr>
          <w:rFonts w:ascii="David" w:hAnsi="David" w:cs="David"/>
          <w:sz w:val="24"/>
          <w:szCs w:val="24"/>
          <w:rtl/>
        </w:rPr>
        <w:t>)</w:t>
      </w:r>
      <w:r w:rsidR="00161CB7" w:rsidRPr="00ED6F32">
        <w:rPr>
          <w:rFonts w:ascii="David" w:hAnsi="David" w:cs="David"/>
          <w:sz w:val="24"/>
          <w:szCs w:val="24"/>
          <w:rtl/>
        </w:rPr>
        <w:t>.</w:t>
      </w:r>
    </w:p>
    <w:p w:rsidR="00E149DD" w:rsidRPr="00E44C3B" w:rsidRDefault="00AC3E61" w:rsidP="006B6CFA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לוח </w:t>
      </w:r>
      <w:r w:rsidR="00416818" w:rsidRPr="00E44C3B">
        <w:rPr>
          <w:rFonts w:asciiTheme="minorBidi" w:hAnsiTheme="minorBidi" w:cstheme="minorBidi"/>
          <w:b/>
          <w:bCs/>
          <w:sz w:val="24"/>
          <w:szCs w:val="24"/>
        </w:rPr>
        <w:t>2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>: יתרות החוב של משקי הבית</w:t>
      </w:r>
      <w:r w:rsidRPr="00E44C3B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  <w:r w:rsidR="009653F5" w:rsidRPr="00E44C3B">
        <w:rPr>
          <w:rFonts w:asciiTheme="minorBidi" w:hAnsiTheme="minorBidi" w:cstheme="minorBidi"/>
          <w:sz w:val="24"/>
          <w:szCs w:val="24"/>
        </w:rPr>
        <w:t xml:space="preserve"> </w:t>
      </w:r>
    </w:p>
    <w:p w:rsidR="006D3752" w:rsidRPr="00E44C3B" w:rsidRDefault="009529A0" w:rsidP="00E149D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529A0">
        <w:rPr>
          <w:noProof/>
          <w:rtl/>
          <w:lang w:eastAsia="en-US"/>
        </w:rPr>
        <w:drawing>
          <wp:inline distT="0" distB="0" distL="0" distR="0" wp14:anchorId="3097C231" wp14:editId="4D3EB7A4">
            <wp:extent cx="5278120" cy="4840289"/>
            <wp:effectExtent l="0" t="0" r="0" b="0"/>
            <wp:docPr id="10" name="תמונה 10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D47FBF" w:rsidRPr="00E44C3B" w:rsidRDefault="00D47FBF" w:rsidP="0007039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</w:t>
      </w:r>
      <w:r w:rsidR="00070391" w:rsidRPr="00E44C3B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DC51E3" w:rsidRPr="00E44C3B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C10811" w:rsidRPr="00E44C3B" w:rsidRDefault="009529A0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C6FB95C" wp14:editId="44CEDB3E">
            <wp:extent cx="5255260" cy="2731135"/>
            <wp:effectExtent l="0" t="0" r="2540" b="0"/>
            <wp:docPr id="11" name="תמונה 11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Pr="00E44C3B" w:rsidRDefault="00BF4C2E" w:rsidP="00DA4977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</w:t>
      </w:r>
      <w:r w:rsidR="00DA4977" w:rsidRPr="00E44C3B">
        <w:rPr>
          <w:rFonts w:asciiTheme="minorBidi" w:hAnsiTheme="minorBidi" w:cstheme="minorBidi"/>
          <w:b/>
          <w:bCs/>
          <w:sz w:val="24"/>
          <w:szCs w:val="24"/>
          <w:rtl/>
        </w:rPr>
        <w:t>6</w:t>
      </w: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="00280F81" w:rsidRPr="00E44C3B">
        <w:rPr>
          <w:rFonts w:asciiTheme="minorBidi" w:hAnsiTheme="minorBidi" w:cstheme="minorBid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(משכנתאות)</w:t>
      </w:r>
    </w:p>
    <w:p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E44C3B" w:rsidRDefault="00FD2AE9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7015DE66" wp14:editId="1198A5A6">
            <wp:extent cx="5322570" cy="2865120"/>
            <wp:effectExtent l="0" t="0" r="0" b="0"/>
            <wp:docPr id="18" name="תמונה 18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ED6F32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ED6F32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history="1"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history="1">
        <w:r w:rsidR="00F97D41" w:rsidRPr="00ED6F32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>.</w:t>
      </w:r>
      <w:r w:rsidR="002559B7" w:rsidRPr="00ED6F32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ED6F32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6E" w:rsidRDefault="00505E6E" w:rsidP="00C04A6B">
      <w:r>
        <w:separator/>
      </w:r>
    </w:p>
  </w:endnote>
  <w:endnote w:type="continuationSeparator" w:id="0">
    <w:p w:rsidR="00505E6E" w:rsidRDefault="00505E6E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7A3CCD" w:rsidRDefault="00507193" w:rsidP="000B43AC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B43AC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השני</w:t>
            </w:r>
            <w:r w:rsidR="005A57B0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5A57B0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2022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31B23">
              <w:rPr>
                <w:rFonts w:ascii="Arial" w:hAnsi="Arial" w:cs="Arial"/>
                <w:noProof/>
                <w:sz w:val="24"/>
                <w:szCs w:val="24"/>
                <w:rtl/>
              </w:rPr>
              <w:t>2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31B23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6E" w:rsidRDefault="00505E6E" w:rsidP="00C04A6B">
      <w:r>
        <w:separator/>
      </w:r>
    </w:p>
  </w:footnote>
  <w:footnote w:type="continuationSeparator" w:id="0">
    <w:p w:rsidR="00505E6E" w:rsidRDefault="00505E6E" w:rsidP="00C04A6B">
      <w:r>
        <w:continuationSeparator/>
      </w:r>
    </w:p>
  </w:footnote>
  <w:footnote w:id="1">
    <w:p w:rsidR="00474B96" w:rsidRPr="00105A31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DC263E" w:rsidRPr="002D5D55">
        <w:rPr>
          <w:rFonts w:asciiTheme="minorBidi" w:hAnsiTheme="minorBidi" w:cstheme="minorBidi"/>
          <w:rtl/>
        </w:rPr>
        <w:t xml:space="preserve">חברות עסקיות ישראליות, </w:t>
      </w:r>
      <w:r w:rsidRPr="002D5D55">
        <w:rPr>
          <w:rFonts w:asciiTheme="minorBidi" w:hAnsiTheme="minorBidi" w:cstheme="minorBidi"/>
          <w:rtl/>
        </w:rPr>
        <w:t>ללא בנקים, חברות כרטיסי אשראי וחברות ביטוח.</w:t>
      </w:r>
    </w:p>
  </w:footnote>
  <w:footnote w:id="2">
    <w:p w:rsidR="00884ED4" w:rsidRPr="00884ED4" w:rsidRDefault="00884ED4" w:rsidP="00886C7A">
      <w:pPr>
        <w:pStyle w:val="af"/>
        <w:bidi/>
        <w:rPr>
          <w:rFonts w:asciiTheme="minorBidi" w:hAnsiTheme="minorBidi" w:cstheme="minorBidi"/>
        </w:rPr>
      </w:pPr>
      <w:r w:rsidRPr="00105A31">
        <w:rPr>
          <w:rStyle w:val="af1"/>
          <w:rFonts w:ascii="David" w:hAnsi="David" w:cs="David"/>
          <w:sz w:val="22"/>
          <w:szCs w:val="22"/>
        </w:rPr>
        <w:footnoteRef/>
      </w:r>
      <w:r w:rsidRPr="00105A31">
        <w:rPr>
          <w:rFonts w:ascii="David" w:hAnsi="David" w:cs="David"/>
          <w:sz w:val="22"/>
          <w:szCs w:val="22"/>
        </w:rPr>
        <w:t xml:space="preserve"> </w:t>
      </w:r>
      <w:r w:rsidR="00886C7A" w:rsidRPr="00E6771C">
        <w:rPr>
          <w:rFonts w:asciiTheme="minorBidi" w:hAnsiTheme="minorBidi" w:cstheme="minorBidi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07BB3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70391"/>
    <w:rsid w:val="000713E4"/>
    <w:rsid w:val="00075FC4"/>
    <w:rsid w:val="0007712F"/>
    <w:rsid w:val="00077991"/>
    <w:rsid w:val="000812AB"/>
    <w:rsid w:val="00081313"/>
    <w:rsid w:val="000822C2"/>
    <w:rsid w:val="00084BA4"/>
    <w:rsid w:val="00085BE0"/>
    <w:rsid w:val="000874C1"/>
    <w:rsid w:val="000911D7"/>
    <w:rsid w:val="000915A6"/>
    <w:rsid w:val="0009315D"/>
    <w:rsid w:val="00097E8B"/>
    <w:rsid w:val="000A4B97"/>
    <w:rsid w:val="000A4C37"/>
    <w:rsid w:val="000A588A"/>
    <w:rsid w:val="000B083E"/>
    <w:rsid w:val="000B190F"/>
    <w:rsid w:val="000B2F20"/>
    <w:rsid w:val="000B43AC"/>
    <w:rsid w:val="000B6B82"/>
    <w:rsid w:val="000B7AE3"/>
    <w:rsid w:val="000B7D5E"/>
    <w:rsid w:val="000C02AD"/>
    <w:rsid w:val="000C22E5"/>
    <w:rsid w:val="000C62F4"/>
    <w:rsid w:val="000D2923"/>
    <w:rsid w:val="000D756E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43AD"/>
    <w:rsid w:val="0015588B"/>
    <w:rsid w:val="00161CB7"/>
    <w:rsid w:val="00162787"/>
    <w:rsid w:val="00164C8D"/>
    <w:rsid w:val="00166C6B"/>
    <w:rsid w:val="0017002C"/>
    <w:rsid w:val="00171BC9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C3C"/>
    <w:rsid w:val="001B449D"/>
    <w:rsid w:val="001B5224"/>
    <w:rsid w:val="001B66C5"/>
    <w:rsid w:val="001C5132"/>
    <w:rsid w:val="001C5C40"/>
    <w:rsid w:val="001D0A90"/>
    <w:rsid w:val="001D0E31"/>
    <w:rsid w:val="001D364B"/>
    <w:rsid w:val="001D3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F0454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4CD6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D5D55"/>
    <w:rsid w:val="002E016D"/>
    <w:rsid w:val="002E1283"/>
    <w:rsid w:val="002E20F7"/>
    <w:rsid w:val="002E2CC4"/>
    <w:rsid w:val="002E4976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40B38"/>
    <w:rsid w:val="0034285A"/>
    <w:rsid w:val="003439F5"/>
    <w:rsid w:val="00344B00"/>
    <w:rsid w:val="0034790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38AB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075F"/>
    <w:rsid w:val="003D54D0"/>
    <w:rsid w:val="003E05CD"/>
    <w:rsid w:val="003E2965"/>
    <w:rsid w:val="003E3AEF"/>
    <w:rsid w:val="003E4002"/>
    <w:rsid w:val="003E57B2"/>
    <w:rsid w:val="003E68CF"/>
    <w:rsid w:val="003F12AD"/>
    <w:rsid w:val="003F1530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3C50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0EA"/>
    <w:rsid w:val="004806BA"/>
    <w:rsid w:val="00480FFC"/>
    <w:rsid w:val="00482D0E"/>
    <w:rsid w:val="00484208"/>
    <w:rsid w:val="00485E7B"/>
    <w:rsid w:val="00493882"/>
    <w:rsid w:val="00497BD0"/>
    <w:rsid w:val="004A56B9"/>
    <w:rsid w:val="004A5B22"/>
    <w:rsid w:val="004A6D8C"/>
    <w:rsid w:val="004B051B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F06E0"/>
    <w:rsid w:val="004F16EA"/>
    <w:rsid w:val="004F185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F8"/>
    <w:rsid w:val="005042A9"/>
    <w:rsid w:val="0050443A"/>
    <w:rsid w:val="00505E6E"/>
    <w:rsid w:val="00507193"/>
    <w:rsid w:val="00507235"/>
    <w:rsid w:val="00510ABA"/>
    <w:rsid w:val="00513C0C"/>
    <w:rsid w:val="00513E5C"/>
    <w:rsid w:val="00516A2C"/>
    <w:rsid w:val="00520122"/>
    <w:rsid w:val="00521DE3"/>
    <w:rsid w:val="00522BB0"/>
    <w:rsid w:val="00525983"/>
    <w:rsid w:val="00525A49"/>
    <w:rsid w:val="00525B9D"/>
    <w:rsid w:val="00526641"/>
    <w:rsid w:val="00527D1B"/>
    <w:rsid w:val="00532713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D6B64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143"/>
    <w:rsid w:val="00600591"/>
    <w:rsid w:val="006028EA"/>
    <w:rsid w:val="00602952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445"/>
    <w:rsid w:val="00631A91"/>
    <w:rsid w:val="006321B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294"/>
    <w:rsid w:val="00656E22"/>
    <w:rsid w:val="00663A4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87A6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76C4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1DB"/>
    <w:rsid w:val="006F5E34"/>
    <w:rsid w:val="0070161A"/>
    <w:rsid w:val="007037CB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5208"/>
    <w:rsid w:val="00725739"/>
    <w:rsid w:val="00727054"/>
    <w:rsid w:val="00731B23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5854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D0D18"/>
    <w:rsid w:val="007D0EF4"/>
    <w:rsid w:val="007D218D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07D1A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2A8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A26"/>
    <w:rsid w:val="00984D63"/>
    <w:rsid w:val="00985045"/>
    <w:rsid w:val="00985B74"/>
    <w:rsid w:val="0099010D"/>
    <w:rsid w:val="00990157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1BDB"/>
    <w:rsid w:val="00A73792"/>
    <w:rsid w:val="00A74EBC"/>
    <w:rsid w:val="00A7630F"/>
    <w:rsid w:val="00A80AE3"/>
    <w:rsid w:val="00A81A07"/>
    <w:rsid w:val="00A84B3D"/>
    <w:rsid w:val="00A85E92"/>
    <w:rsid w:val="00A878A6"/>
    <w:rsid w:val="00A90800"/>
    <w:rsid w:val="00A933C6"/>
    <w:rsid w:val="00A94B36"/>
    <w:rsid w:val="00A959BD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1A01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3D8"/>
    <w:rsid w:val="00B85AE6"/>
    <w:rsid w:val="00B85D55"/>
    <w:rsid w:val="00B86720"/>
    <w:rsid w:val="00B87F7D"/>
    <w:rsid w:val="00B903A6"/>
    <w:rsid w:val="00B90D40"/>
    <w:rsid w:val="00B91326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274AB"/>
    <w:rsid w:val="00C3219B"/>
    <w:rsid w:val="00C411E7"/>
    <w:rsid w:val="00C4129A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D32"/>
    <w:rsid w:val="00CB187C"/>
    <w:rsid w:val="00CB1B2B"/>
    <w:rsid w:val="00CB39D9"/>
    <w:rsid w:val="00CB450C"/>
    <w:rsid w:val="00CC1A24"/>
    <w:rsid w:val="00CC2676"/>
    <w:rsid w:val="00CC2AA3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3336"/>
    <w:rsid w:val="00E3272D"/>
    <w:rsid w:val="00E335BB"/>
    <w:rsid w:val="00E33B1C"/>
    <w:rsid w:val="00E34121"/>
    <w:rsid w:val="00E35818"/>
    <w:rsid w:val="00E36930"/>
    <w:rsid w:val="00E4179F"/>
    <w:rsid w:val="00E42B88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71C"/>
    <w:rsid w:val="00E67ECB"/>
    <w:rsid w:val="00E73497"/>
    <w:rsid w:val="00E7456B"/>
    <w:rsid w:val="00E750DB"/>
    <w:rsid w:val="00E763BE"/>
    <w:rsid w:val="00E76580"/>
    <w:rsid w:val="00E76607"/>
    <w:rsid w:val="00E80E85"/>
    <w:rsid w:val="00E81FF6"/>
    <w:rsid w:val="00E85E11"/>
    <w:rsid w:val="00E870DD"/>
    <w:rsid w:val="00E9054A"/>
    <w:rsid w:val="00E91E57"/>
    <w:rsid w:val="00EA0460"/>
    <w:rsid w:val="00EA0C1C"/>
    <w:rsid w:val="00EA51C0"/>
    <w:rsid w:val="00EA5FBF"/>
    <w:rsid w:val="00EA6800"/>
    <w:rsid w:val="00EA7329"/>
    <w:rsid w:val="00EB5CD6"/>
    <w:rsid w:val="00EB61B0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16F2"/>
    <w:rsid w:val="00F13367"/>
    <w:rsid w:val="00F135CB"/>
    <w:rsid w:val="00F136A6"/>
    <w:rsid w:val="00F1596F"/>
    <w:rsid w:val="00F17A79"/>
    <w:rsid w:val="00F21AEA"/>
    <w:rsid w:val="00F21D4F"/>
    <w:rsid w:val="00F22D3B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40978"/>
    <w:rsid w:val="00F42346"/>
    <w:rsid w:val="00F426C3"/>
    <w:rsid w:val="00F42876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32C4"/>
    <w:rsid w:val="00F712F6"/>
    <w:rsid w:val="00F718FB"/>
    <w:rsid w:val="00F73B58"/>
    <w:rsid w:val="00F74172"/>
    <w:rsid w:val="00F74693"/>
    <w:rsid w:val="00F762AA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EB2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D2AE9"/>
    <w:rsid w:val="00FE034E"/>
    <w:rsid w:val="00FE1F75"/>
    <w:rsid w:val="00FE4F08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he/DataAndStatistics/Pages/MainPage.aspx?Level=3&amp;Sid=74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://www.boi.org.il/he/BankingSupervision/Data/Pages/Tables.aspx?ChapterId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7DD0DEC-9E71-4822-89D8-F290A60CC056}"/>
</file>

<file path=customXml/itemProps2.xml><?xml version="1.0" encoding="utf-8"?>
<ds:datastoreItem xmlns:ds="http://schemas.openxmlformats.org/officeDocument/2006/customXml" ds:itemID="{F3FD8D0D-22AA-4C50-99F9-4342629878CC}"/>
</file>

<file path=customXml/itemProps3.xml><?xml version="1.0" encoding="utf-8"?>
<ds:datastoreItem xmlns:ds="http://schemas.openxmlformats.org/officeDocument/2006/customXml" ds:itemID="{D3E9384F-3D5A-4D6D-8FE3-887054FF624B}"/>
</file>

<file path=customXml/itemProps4.xml><?xml version="1.0" encoding="utf-8"?>
<ds:datastoreItem xmlns:ds="http://schemas.openxmlformats.org/officeDocument/2006/customXml" ds:itemID="{E4EF90E9-91FF-439E-92F2-D81C64556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2022-09-29T05:55:00Z</dcterms:created>
  <dcterms:modified xsi:type="dcterms:W3CDTF">2022-09-29T05:55:00Z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