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5B3DDB" w:rsidTr="0029736D">
        <w:tc>
          <w:tcPr>
            <w:tcW w:w="3343" w:type="dxa"/>
            <w:tcBorders>
              <w:top w:val="nil"/>
              <w:left w:val="nil"/>
              <w:bottom w:val="nil"/>
              <w:right w:val="nil"/>
            </w:tcBorders>
            <w:vAlign w:val="center"/>
          </w:tcPr>
          <w:p w:rsidR="009005BA" w:rsidRPr="005B3DDB" w:rsidRDefault="009005BA" w:rsidP="0029736D">
            <w:pPr>
              <w:rPr>
                <w:rFonts w:ascii="Calibri" w:hAnsi="Calibri" w:cs="Calibri"/>
                <w:b/>
                <w:bCs/>
                <w:sz w:val="24"/>
                <w:szCs w:val="24"/>
                <w:rtl/>
              </w:rPr>
            </w:pPr>
            <w:r w:rsidRPr="005B3DDB">
              <w:rPr>
                <w:rFonts w:ascii="Calibri" w:hAnsi="Calibri" w:cs="Calibri"/>
                <w:b/>
                <w:bCs/>
                <w:sz w:val="24"/>
                <w:szCs w:val="24"/>
                <w:rtl/>
              </w:rPr>
              <w:t>בנק ישראל</w:t>
            </w:r>
          </w:p>
          <w:p w:rsidR="009005BA" w:rsidRPr="005B3DDB" w:rsidRDefault="009005BA" w:rsidP="0029736D">
            <w:pPr>
              <w:rPr>
                <w:rFonts w:ascii="Calibri" w:hAnsi="Calibri" w:cs="Calibri"/>
                <w:b/>
                <w:bCs/>
                <w:sz w:val="28"/>
                <w:szCs w:val="28"/>
              </w:rPr>
            </w:pPr>
            <w:r w:rsidRPr="005B3DDB">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5B3DDB" w:rsidRDefault="009005BA" w:rsidP="0029736D">
            <w:pPr>
              <w:jc w:val="center"/>
              <w:rPr>
                <w:rFonts w:ascii="Calibri" w:hAnsi="Calibri" w:cs="Calibri"/>
              </w:rPr>
            </w:pPr>
            <w:r w:rsidRPr="005B3DDB">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B3DDB" w:rsidRDefault="009005BA" w:rsidP="009005BA">
            <w:pPr>
              <w:jc w:val="right"/>
              <w:rPr>
                <w:rFonts w:ascii="Calibri" w:hAnsi="Calibri" w:cs="Calibri"/>
                <w:rtl/>
              </w:rPr>
            </w:pPr>
            <w:r w:rsidRPr="005B3DDB">
              <w:rPr>
                <w:rFonts w:ascii="Calibri" w:hAnsi="Calibri" w:cs="Calibri"/>
                <w:highlight w:val="green"/>
                <w:rtl/>
              </w:rPr>
              <w:t>‏</w:t>
            </w:r>
            <w:r w:rsidRPr="005B3DDB">
              <w:rPr>
                <w:rFonts w:ascii="Calibri" w:hAnsi="Calibri" w:cs="Calibri"/>
                <w:rtl/>
              </w:rPr>
              <w:t xml:space="preserve">ירושלים, </w:t>
            </w: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 \h</w:instrText>
            </w:r>
            <w:r w:rsidRPr="005B3DDB">
              <w:rPr>
                <w:rFonts w:ascii="Calibri" w:hAnsi="Calibri" w:cs="Calibri"/>
                <w:rtl/>
              </w:rPr>
              <w:instrText xml:space="preserve"> </w:instrText>
            </w:r>
            <w:r w:rsidRPr="005B3DDB">
              <w:rPr>
                <w:rFonts w:ascii="Calibri" w:hAnsi="Calibri" w:cs="Calibri"/>
                <w:rtl/>
              </w:rPr>
              <w:fldChar w:fldCharType="separate"/>
            </w:r>
            <w:r w:rsidR="005B3DDB" w:rsidRPr="005B3DDB">
              <w:rPr>
                <w:rFonts w:ascii="Calibri" w:hAnsi="Calibri" w:cs="Calibri"/>
                <w:noProof/>
                <w:rtl/>
              </w:rPr>
              <w:t>‏כ"ט אייר, תשפ"ה</w:t>
            </w:r>
            <w:r w:rsidRPr="005B3DDB">
              <w:rPr>
                <w:rFonts w:ascii="Calibri" w:hAnsi="Calibri" w:cs="Calibri"/>
                <w:rtl/>
              </w:rPr>
              <w:fldChar w:fldCharType="end"/>
            </w:r>
          </w:p>
          <w:p w:rsidR="009005BA" w:rsidRPr="005B3DDB" w:rsidRDefault="009005BA" w:rsidP="009005BA">
            <w:pPr>
              <w:jc w:val="right"/>
              <w:rPr>
                <w:rFonts w:ascii="Calibri" w:hAnsi="Calibri" w:cs="Calibri"/>
                <w:highlight w:val="green"/>
              </w:rPr>
            </w:pP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w:instrText>
            </w:r>
            <w:r w:rsidRPr="005B3DDB">
              <w:rPr>
                <w:rFonts w:ascii="Calibri" w:hAnsi="Calibri" w:cs="Calibri"/>
                <w:rtl/>
              </w:rPr>
              <w:instrText xml:space="preserve">" </w:instrText>
            </w:r>
            <w:r w:rsidRPr="005B3DDB">
              <w:rPr>
                <w:rFonts w:ascii="Calibri" w:hAnsi="Calibri" w:cs="Calibri"/>
                <w:rtl/>
              </w:rPr>
              <w:fldChar w:fldCharType="separate"/>
            </w:r>
            <w:r w:rsidR="005B3DDB" w:rsidRPr="005B3DDB">
              <w:rPr>
                <w:rFonts w:ascii="Calibri" w:hAnsi="Calibri" w:cs="Calibri"/>
                <w:noProof/>
                <w:rtl/>
              </w:rPr>
              <w:t>‏27 מאי, 2025</w:t>
            </w:r>
            <w:r w:rsidRPr="005B3DDB">
              <w:rPr>
                <w:rFonts w:ascii="Calibri" w:hAnsi="Calibri" w:cs="Calibri"/>
                <w:rtl/>
              </w:rPr>
              <w:fldChar w:fldCharType="end"/>
            </w:r>
          </w:p>
        </w:tc>
      </w:tr>
    </w:tbl>
    <w:p w:rsidR="009005BA" w:rsidRPr="005B3DDB" w:rsidRDefault="009005BA" w:rsidP="007B0741">
      <w:pPr>
        <w:tabs>
          <w:tab w:val="left" w:pos="2315"/>
        </w:tabs>
        <w:rPr>
          <w:rFonts w:ascii="Calibri" w:hAnsi="Calibri" w:cs="Calibri"/>
          <w:sz w:val="24"/>
          <w:szCs w:val="24"/>
          <w:rtl/>
        </w:rPr>
      </w:pPr>
    </w:p>
    <w:p w:rsidR="00D66255" w:rsidRPr="005B3DDB" w:rsidRDefault="008E761A" w:rsidP="009005BA">
      <w:pPr>
        <w:tabs>
          <w:tab w:val="left" w:pos="2315"/>
        </w:tabs>
        <w:rPr>
          <w:rFonts w:ascii="Calibri" w:hAnsi="Calibri" w:cs="Calibri"/>
          <w:sz w:val="24"/>
          <w:szCs w:val="24"/>
          <w:rtl/>
        </w:rPr>
      </w:pPr>
      <w:r w:rsidRPr="005B3DDB">
        <w:rPr>
          <w:rFonts w:ascii="Calibri" w:hAnsi="Calibri" w:cs="Calibri"/>
          <w:sz w:val="24"/>
          <w:szCs w:val="24"/>
          <w:rtl/>
        </w:rPr>
        <w:t>הודעה לעיתונות:</w:t>
      </w:r>
    </w:p>
    <w:p w:rsidR="005B3DDB" w:rsidRPr="005B3DDB" w:rsidRDefault="005B3DDB" w:rsidP="005B3DDB">
      <w:pPr>
        <w:spacing w:after="120" w:line="360" w:lineRule="auto"/>
        <w:ind w:right="-57"/>
        <w:jc w:val="center"/>
        <w:rPr>
          <w:rFonts w:ascii="Calibri" w:hAnsi="Calibri" w:cs="Calibri"/>
          <w:b/>
          <w:bCs/>
          <w:sz w:val="28"/>
          <w:szCs w:val="28"/>
        </w:rPr>
      </w:pPr>
      <w:bookmarkStart w:id="0" w:name="_GoBack"/>
      <w:r w:rsidRPr="005B3DDB">
        <w:rPr>
          <w:rFonts w:ascii="Calibri" w:hAnsi="Calibri" w:cs="Calibri"/>
          <w:b/>
          <w:bCs/>
          <w:sz w:val="28"/>
          <w:szCs w:val="28"/>
          <w:rtl/>
        </w:rPr>
        <w:t>המדד המשולב לחודש אפריל ירד ב-0.10%</w:t>
      </w:r>
    </w:p>
    <w:bookmarkEnd w:id="0"/>
    <w:p w:rsidR="005B3DDB" w:rsidRPr="005B3DDB" w:rsidRDefault="005B3DDB" w:rsidP="005B3DDB">
      <w:pPr>
        <w:spacing w:after="120" w:line="360" w:lineRule="auto"/>
        <w:ind w:right="-57"/>
        <w:jc w:val="both"/>
        <w:rPr>
          <w:rFonts w:ascii="Calibri" w:hAnsi="Calibri" w:cs="Calibri"/>
        </w:rPr>
      </w:pPr>
    </w:p>
    <w:p w:rsidR="005B3DDB" w:rsidRPr="005B3DDB" w:rsidRDefault="005B3DDB" w:rsidP="005B3DDB">
      <w:pPr>
        <w:spacing w:after="120" w:line="360" w:lineRule="auto"/>
        <w:ind w:right="-57"/>
        <w:jc w:val="both"/>
        <w:rPr>
          <w:rFonts w:ascii="Calibri" w:hAnsi="Calibri" w:cs="Calibri"/>
          <w:rtl/>
        </w:rPr>
      </w:pPr>
      <w:r w:rsidRPr="005B3DDB">
        <w:rPr>
          <w:rFonts w:ascii="Calibri" w:hAnsi="Calibri" w:cs="Calibri"/>
          <w:rtl/>
        </w:rPr>
        <w:t>המדד המשולב לחודש אפריל ירד בשיעור של 0.10 אחוז. המדד המשולב הושפע לרעה מירידה חדה ביצוא הסחורות באפריל, ומירידה בהיקף הרכישות בכרטיסי אשראי ובשיעור המשרות הפנויות באותו חודש. לעומת אלה, גידול של יבוא מוצרי הצריכה ותשומות הייצור באפריל, וגידול של הייצור התעשייתי במרץ מיתנו את ירידת המדד המשולב.</w:t>
      </w:r>
    </w:p>
    <w:p w:rsidR="005B3DDB" w:rsidRPr="005B3DDB" w:rsidRDefault="005B3DDB" w:rsidP="005B3DDB">
      <w:pPr>
        <w:spacing w:after="120" w:line="360" w:lineRule="auto"/>
        <w:ind w:right="-57"/>
        <w:jc w:val="both"/>
        <w:rPr>
          <w:rFonts w:ascii="Calibri" w:hAnsi="Calibri" w:cs="Calibri"/>
          <w:rtl/>
        </w:rPr>
      </w:pPr>
      <w:r w:rsidRPr="005B3DDB">
        <w:rPr>
          <w:rFonts w:ascii="Calibri" w:hAnsi="Calibri" w:cs="Calibri"/>
          <w:rtl/>
        </w:rPr>
        <w:t xml:space="preserve">המדדים לחודשים ינואר-מרץ עודכנו כאמור כלפי מטה לנוכח נתונים שהתפרסמו לחודשים אלה, ובהם ירידה במדדי הפדיון למרץ וירידה ביצוא השירותים לפברואר. לוח 1 מציג את העדכונים לאחור במדד. לוח 2 מציג את התפתחות רכיבי המדד בחודשים האחרונים. </w:t>
      </w:r>
    </w:p>
    <w:p w:rsidR="005B3DDB" w:rsidRPr="005B3DDB" w:rsidRDefault="005B3DDB" w:rsidP="005B3DDB">
      <w:pPr>
        <w:spacing w:after="120" w:line="360" w:lineRule="auto"/>
        <w:ind w:right="-57"/>
        <w:jc w:val="both"/>
        <w:rPr>
          <w:rFonts w:ascii="Calibri" w:hAnsi="Calibri" w:cs="Calibri"/>
          <w:rtl/>
        </w:rPr>
      </w:pPr>
      <w:r w:rsidRPr="005B3DDB">
        <w:rPr>
          <w:rFonts w:ascii="Calibri" w:hAnsi="Calibri" w:cs="Calibri"/>
          <w:rtl/>
        </w:rPr>
        <w:t>הסברים מפורטים לגבי אופן חישוב המדד המשולב וכן לוחות מפורטים ארוכי טווח ניתן למצוא בקישור:</w:t>
      </w:r>
      <w:hyperlink r:id="rId9" w:history="1">
        <w:r w:rsidRPr="005B3DDB">
          <w:rPr>
            <w:rStyle w:val="Hyperlink"/>
            <w:rFonts w:ascii="Calibri" w:hAnsi="Calibri" w:cs="Calibri"/>
          </w:rPr>
          <w:t>https://www.boi.org.il/roles/statistics/compositeindex/</w:t>
        </w:r>
      </w:hyperlink>
    </w:p>
    <w:p w:rsidR="005B3DDB" w:rsidRPr="005B3DDB" w:rsidRDefault="005B3DDB" w:rsidP="005B3DDB">
      <w:pPr>
        <w:pStyle w:val="1"/>
        <w:bidi/>
        <w:rPr>
          <w:rFonts w:ascii="Calibri" w:hAnsi="Calibri" w:cs="Calibri"/>
          <w:sz w:val="24"/>
          <w:szCs w:val="24"/>
          <w:rtl/>
        </w:rPr>
      </w:pPr>
      <w:r w:rsidRPr="005B3DDB">
        <w:rPr>
          <w:rFonts w:ascii="Calibri" w:hAnsi="Calibri" w:cs="Calibri"/>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5B3DDB" w:rsidRPr="005B3DDB" w:rsidTr="00AE4C45">
        <w:trPr>
          <w:trHeight w:hRule="exact" w:val="479"/>
          <w:tblHeader/>
        </w:trPr>
        <w:tc>
          <w:tcPr>
            <w:tcW w:w="0" w:type="auto"/>
            <w:vAlign w:val="bottom"/>
          </w:tcPr>
          <w:p w:rsidR="005B3DDB" w:rsidRPr="005B3DDB" w:rsidRDefault="005B3DDB" w:rsidP="00AE4C45">
            <w:pPr>
              <w:pStyle w:val="aff0"/>
              <w:spacing w:line="240" w:lineRule="auto"/>
              <w:ind w:left="0" w:firstLine="0"/>
              <w:jc w:val="left"/>
              <w:rPr>
                <w:rFonts w:ascii="Calibri" w:hAnsi="Calibri" w:cs="Calibri"/>
              </w:rPr>
            </w:pPr>
            <w:r w:rsidRPr="005B3DDB">
              <w:rPr>
                <w:rFonts w:ascii="Calibri" w:hAnsi="Calibri" w:cs="Calibri"/>
                <w:b/>
                <w:bCs/>
                <w:rtl/>
              </w:rPr>
              <w:t>השינוי במדד (באחוזים)</w:t>
            </w:r>
          </w:p>
        </w:tc>
        <w:tc>
          <w:tcPr>
            <w:tcW w:w="0" w:type="auto"/>
            <w:vAlign w:val="bottom"/>
          </w:tcPr>
          <w:p w:rsidR="005B3DDB" w:rsidRPr="005B3DDB" w:rsidRDefault="005B3DDB" w:rsidP="00AE4C45">
            <w:pPr>
              <w:pStyle w:val="aff0"/>
              <w:spacing w:line="240" w:lineRule="auto"/>
              <w:ind w:left="0" w:firstLine="0"/>
              <w:jc w:val="left"/>
              <w:rPr>
                <w:rFonts w:ascii="Calibri" w:hAnsi="Calibri" w:cs="Calibri"/>
                <w:b/>
                <w:bCs/>
              </w:rPr>
            </w:pPr>
            <w:r w:rsidRPr="005B3DDB">
              <w:rPr>
                <w:rFonts w:ascii="Calibri" w:hAnsi="Calibri" w:cs="Calibri"/>
                <w:b/>
                <w:bCs/>
                <w:rtl/>
              </w:rPr>
              <w:t>נתון קודם</w:t>
            </w:r>
          </w:p>
        </w:tc>
        <w:tc>
          <w:tcPr>
            <w:tcW w:w="0" w:type="auto"/>
            <w:vAlign w:val="bottom"/>
          </w:tcPr>
          <w:p w:rsidR="005B3DDB" w:rsidRPr="005B3DDB" w:rsidRDefault="005B3DDB" w:rsidP="00AE4C45">
            <w:pPr>
              <w:pStyle w:val="aff0"/>
              <w:tabs>
                <w:tab w:val="center" w:pos="886"/>
              </w:tabs>
              <w:bidi w:val="0"/>
              <w:spacing w:line="240" w:lineRule="auto"/>
              <w:ind w:left="0" w:firstLine="0"/>
              <w:jc w:val="left"/>
              <w:rPr>
                <w:rFonts w:ascii="Calibri" w:hAnsi="Calibri" w:cs="Calibri"/>
                <w:b/>
                <w:bCs/>
                <w:rtl/>
              </w:rPr>
            </w:pPr>
            <w:r w:rsidRPr="005B3DDB">
              <w:rPr>
                <w:rFonts w:ascii="Calibri" w:hAnsi="Calibri" w:cs="Calibri"/>
                <w:b/>
                <w:bCs/>
                <w:rtl/>
              </w:rPr>
              <w:t>נתון חדש</w:t>
            </w:r>
          </w:p>
        </w:tc>
      </w:tr>
      <w:tr w:rsidR="005B3DDB" w:rsidRPr="005B3DDB" w:rsidTr="00AE4C45">
        <w:trPr>
          <w:trHeight w:hRule="exact" w:val="397"/>
        </w:trPr>
        <w:tc>
          <w:tcPr>
            <w:tcW w:w="0" w:type="auto"/>
            <w:vAlign w:val="bottom"/>
          </w:tcPr>
          <w:p w:rsidR="005B3DDB" w:rsidRPr="005B3DDB" w:rsidRDefault="005B3DDB" w:rsidP="00AE4C45">
            <w:pPr>
              <w:rPr>
                <w:rFonts w:ascii="Calibri" w:hAnsi="Calibri" w:cs="Calibri"/>
                <w:rtl/>
              </w:rPr>
            </w:pPr>
            <w:r w:rsidRPr="005B3DDB">
              <w:rPr>
                <w:rFonts w:ascii="Calibri" w:hAnsi="Calibri" w:cs="Calibri"/>
                <w:rtl/>
              </w:rPr>
              <w:t>אפריל</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0.10-</w:t>
            </w:r>
          </w:p>
        </w:tc>
      </w:tr>
      <w:tr w:rsidR="005B3DDB" w:rsidRPr="005B3DDB" w:rsidTr="00AE4C45">
        <w:trPr>
          <w:trHeight w:hRule="exact" w:val="397"/>
        </w:trPr>
        <w:tc>
          <w:tcPr>
            <w:tcW w:w="0" w:type="auto"/>
            <w:vAlign w:val="bottom"/>
          </w:tcPr>
          <w:p w:rsidR="005B3DDB" w:rsidRPr="005B3DDB" w:rsidRDefault="005B3DDB" w:rsidP="00AE4C45">
            <w:pPr>
              <w:rPr>
                <w:rFonts w:ascii="Calibri" w:hAnsi="Calibri" w:cs="Calibri"/>
                <w:rtl/>
              </w:rPr>
            </w:pPr>
            <w:r w:rsidRPr="005B3DDB">
              <w:rPr>
                <w:rFonts w:ascii="Calibri" w:hAnsi="Calibri" w:cs="Calibri"/>
                <w:rtl/>
              </w:rPr>
              <w:t>מרץ</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0.25</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0.05</w:t>
            </w:r>
          </w:p>
        </w:tc>
      </w:tr>
      <w:tr w:rsidR="005B3DDB" w:rsidRPr="005B3DDB" w:rsidTr="00AE4C45">
        <w:trPr>
          <w:trHeight w:hRule="exact" w:val="397"/>
        </w:trPr>
        <w:tc>
          <w:tcPr>
            <w:tcW w:w="0" w:type="auto"/>
            <w:vAlign w:val="bottom"/>
          </w:tcPr>
          <w:p w:rsidR="005B3DDB" w:rsidRPr="005B3DDB" w:rsidRDefault="005B3DDB" w:rsidP="00AE4C45">
            <w:pPr>
              <w:rPr>
                <w:rFonts w:ascii="Calibri" w:hAnsi="Calibri" w:cs="Calibri"/>
                <w:rtl/>
              </w:rPr>
            </w:pPr>
            <w:r w:rsidRPr="005B3DDB">
              <w:rPr>
                <w:rFonts w:ascii="Calibri" w:hAnsi="Calibri" w:cs="Calibri"/>
                <w:rtl/>
              </w:rPr>
              <w:t>פברואר</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0.32</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0.10-</w:t>
            </w:r>
          </w:p>
        </w:tc>
      </w:tr>
      <w:tr w:rsidR="005B3DDB" w:rsidRPr="005B3DDB" w:rsidTr="00AE4C45">
        <w:trPr>
          <w:trHeight w:hRule="exact" w:val="397"/>
        </w:trPr>
        <w:tc>
          <w:tcPr>
            <w:tcW w:w="0" w:type="auto"/>
            <w:vAlign w:val="bottom"/>
          </w:tcPr>
          <w:p w:rsidR="005B3DDB" w:rsidRPr="005B3DDB" w:rsidRDefault="005B3DDB" w:rsidP="00AE4C45">
            <w:pPr>
              <w:rPr>
                <w:rFonts w:ascii="Calibri" w:hAnsi="Calibri" w:cs="Calibri"/>
              </w:rPr>
            </w:pPr>
            <w:r w:rsidRPr="005B3DDB">
              <w:rPr>
                <w:rFonts w:ascii="Calibri" w:hAnsi="Calibri" w:cs="Calibri"/>
                <w:rtl/>
              </w:rPr>
              <w:t>ינואר</w:t>
            </w:r>
          </w:p>
        </w:tc>
        <w:tc>
          <w:tcPr>
            <w:tcW w:w="0" w:type="auto"/>
            <w:vAlign w:val="bottom"/>
          </w:tcPr>
          <w:p w:rsidR="005B3DDB" w:rsidRPr="005B3DDB" w:rsidDel="00164403" w:rsidRDefault="005B3DDB" w:rsidP="00AE4C45">
            <w:pPr>
              <w:pStyle w:val="aff0"/>
              <w:spacing w:after="0" w:line="240" w:lineRule="auto"/>
              <w:ind w:left="0" w:firstLine="0"/>
              <w:jc w:val="center"/>
              <w:rPr>
                <w:rFonts w:ascii="Calibri" w:hAnsi="Calibri" w:cs="Calibri"/>
                <w:sz w:val="24"/>
              </w:rPr>
            </w:pPr>
            <w:r w:rsidRPr="005B3DDB">
              <w:rPr>
                <w:rFonts w:ascii="Calibri" w:hAnsi="Calibri" w:cs="Calibri"/>
                <w:sz w:val="24"/>
                <w:rtl/>
              </w:rPr>
              <w:t>0.29</w:t>
            </w:r>
          </w:p>
        </w:tc>
        <w:tc>
          <w:tcPr>
            <w:tcW w:w="0" w:type="auto"/>
            <w:vAlign w:val="bottom"/>
          </w:tcPr>
          <w:p w:rsidR="005B3DDB" w:rsidRPr="005B3DDB" w:rsidDel="00164403" w:rsidRDefault="005B3DDB" w:rsidP="00AE4C45">
            <w:pPr>
              <w:pStyle w:val="aff0"/>
              <w:spacing w:after="0" w:line="240" w:lineRule="auto"/>
              <w:ind w:left="0" w:firstLine="0"/>
              <w:jc w:val="center"/>
              <w:rPr>
                <w:rFonts w:ascii="Calibri" w:hAnsi="Calibri" w:cs="Calibri"/>
                <w:sz w:val="24"/>
              </w:rPr>
            </w:pPr>
            <w:r w:rsidRPr="005B3DDB">
              <w:rPr>
                <w:rFonts w:ascii="Calibri" w:hAnsi="Calibri" w:cs="Calibri"/>
                <w:sz w:val="24"/>
                <w:rtl/>
              </w:rPr>
              <w:t>0.19</w:t>
            </w:r>
          </w:p>
        </w:tc>
      </w:tr>
      <w:tr w:rsidR="005B3DDB" w:rsidRPr="005B3DDB" w:rsidTr="00AE4C45">
        <w:trPr>
          <w:trHeight w:hRule="exact" w:val="397"/>
        </w:trPr>
        <w:tc>
          <w:tcPr>
            <w:tcW w:w="0" w:type="auto"/>
            <w:vAlign w:val="bottom"/>
          </w:tcPr>
          <w:p w:rsidR="005B3DDB" w:rsidRPr="005B3DDB" w:rsidRDefault="005B3DDB" w:rsidP="00AE4C45">
            <w:pPr>
              <w:rPr>
                <w:rFonts w:ascii="Calibri" w:hAnsi="Calibri" w:cs="Calibri"/>
                <w:rtl/>
              </w:rPr>
            </w:pPr>
            <w:r w:rsidRPr="005B3DDB">
              <w:rPr>
                <w:rFonts w:ascii="Calibri" w:hAnsi="Calibri" w:cs="Calibri"/>
                <w:rtl/>
              </w:rPr>
              <w:t>דצמבר</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0.87</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0.86</w:t>
            </w:r>
          </w:p>
        </w:tc>
      </w:tr>
      <w:tr w:rsidR="005B3DDB" w:rsidRPr="005B3DDB" w:rsidTr="00AE4C45">
        <w:trPr>
          <w:trHeight w:hRule="exact" w:val="397"/>
        </w:trPr>
        <w:tc>
          <w:tcPr>
            <w:tcW w:w="0" w:type="auto"/>
            <w:vAlign w:val="bottom"/>
          </w:tcPr>
          <w:p w:rsidR="005B3DDB" w:rsidRPr="005B3DDB" w:rsidRDefault="005B3DDB" w:rsidP="00AE4C45">
            <w:pPr>
              <w:rPr>
                <w:rFonts w:ascii="Calibri" w:hAnsi="Calibri" w:cs="Calibri"/>
                <w:rtl/>
              </w:rPr>
            </w:pPr>
            <w:r w:rsidRPr="005B3DDB">
              <w:rPr>
                <w:rFonts w:ascii="Calibri" w:hAnsi="Calibri" w:cs="Calibri"/>
                <w:rtl/>
              </w:rPr>
              <w:t>נובמבר</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0.29</w:t>
            </w:r>
          </w:p>
        </w:tc>
        <w:tc>
          <w:tcPr>
            <w:tcW w:w="0" w:type="auto"/>
            <w:vAlign w:val="bottom"/>
          </w:tcPr>
          <w:p w:rsidR="005B3DDB" w:rsidRPr="005B3DDB" w:rsidRDefault="005B3DDB" w:rsidP="00AE4C45">
            <w:pPr>
              <w:pStyle w:val="aff0"/>
              <w:spacing w:after="0" w:line="240" w:lineRule="auto"/>
              <w:ind w:left="0" w:firstLine="0"/>
              <w:jc w:val="center"/>
              <w:rPr>
                <w:rFonts w:ascii="Calibri" w:hAnsi="Calibri" w:cs="Calibri"/>
                <w:sz w:val="24"/>
                <w:rtl/>
              </w:rPr>
            </w:pPr>
            <w:r w:rsidRPr="005B3DDB">
              <w:rPr>
                <w:rFonts w:ascii="Calibri" w:hAnsi="Calibri" w:cs="Calibri"/>
                <w:sz w:val="24"/>
                <w:rtl/>
              </w:rPr>
              <w:t>0.30</w:t>
            </w:r>
          </w:p>
        </w:tc>
      </w:tr>
    </w:tbl>
    <w:p w:rsidR="005B3DDB" w:rsidRPr="005B3DDB" w:rsidRDefault="005B3DDB" w:rsidP="005B3DDB">
      <w:pPr>
        <w:pStyle w:val="1"/>
        <w:bidi/>
        <w:rPr>
          <w:rFonts w:ascii="Calibri" w:hAnsi="Calibri" w:cs="Calibri"/>
          <w:sz w:val="24"/>
          <w:szCs w:val="24"/>
          <w:rtl/>
        </w:rPr>
      </w:pPr>
      <w:r w:rsidRPr="005B3DDB">
        <w:rPr>
          <w:rFonts w:ascii="Calibri" w:hAnsi="Calibri" w:cs="Calibri"/>
        </w:rPr>
        <w:br w:type="textWrapping" w:clear="all"/>
      </w:r>
      <w:r w:rsidRPr="005B3DDB">
        <w:rPr>
          <w:rFonts w:ascii="Calibri" w:hAnsi="Calibri" w:cs="Calibri"/>
        </w:rPr>
        <w:br w:type="page"/>
      </w:r>
      <w:r w:rsidRPr="005B3DDB">
        <w:rPr>
          <w:rFonts w:ascii="Calibri" w:hAnsi="Calibri" w:cs="Calibri"/>
          <w:sz w:val="24"/>
          <w:szCs w:val="24"/>
          <w:rtl/>
        </w:rPr>
        <w:lastRenderedPageBreak/>
        <w:t>לוח 2: השינויים ברכיבי המדד בחודשים האחרונים</w:t>
      </w:r>
    </w:p>
    <w:p w:rsidR="005B3DDB" w:rsidRPr="005B3DDB" w:rsidRDefault="005B3DDB" w:rsidP="005B3DDB">
      <w:pPr>
        <w:autoSpaceDE w:val="0"/>
        <w:autoSpaceDN w:val="0"/>
        <w:adjustRightInd w:val="0"/>
        <w:rPr>
          <w:rFonts w:ascii="Calibri" w:hAnsi="Calibri" w:cs="Calibri"/>
          <w:i/>
          <w:sz w:val="16"/>
          <w:szCs w:val="16"/>
          <w:rtl/>
        </w:rPr>
      </w:pPr>
      <w:r w:rsidRPr="005B3DDB">
        <w:rPr>
          <w:rFonts w:ascii="Calibri" w:hAnsi="Calibri" w:cs="Calibri"/>
          <w:i/>
          <w:rtl/>
        </w:rPr>
        <w:t>(שיעורי שינוי חודשיים באחוזים, אלא אם כן צוין אחרת)</w:t>
      </w:r>
      <w:r w:rsidRPr="005B3DDB">
        <w:rPr>
          <w:rStyle w:val="af2"/>
          <w:rFonts w:ascii="Calibri" w:hAnsi="Calibri" w:cs="Calibr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5B3DDB" w:rsidRPr="005B3DDB" w:rsidTr="00AE4C45">
        <w:trPr>
          <w:tblHeader/>
        </w:trPr>
        <w:tc>
          <w:tcPr>
            <w:tcW w:w="3613" w:type="dxa"/>
            <w:shd w:val="clear" w:color="auto" w:fill="auto"/>
          </w:tcPr>
          <w:p w:rsidR="005B3DDB" w:rsidRPr="005B3DDB" w:rsidRDefault="005B3DDB" w:rsidP="00AE4C45">
            <w:pPr>
              <w:autoSpaceDE w:val="0"/>
              <w:autoSpaceDN w:val="0"/>
              <w:adjustRightInd w:val="0"/>
              <w:spacing w:line="480" w:lineRule="auto"/>
              <w:rPr>
                <w:rFonts w:ascii="Calibri" w:hAnsi="Calibri" w:cs="Calibri"/>
                <w:i/>
                <w:rtl/>
              </w:rPr>
            </w:pPr>
          </w:p>
        </w:tc>
        <w:tc>
          <w:tcPr>
            <w:tcW w:w="1146" w:type="dxa"/>
            <w:shd w:val="clear" w:color="auto" w:fill="auto"/>
            <w:vAlign w:val="bottom"/>
          </w:tcPr>
          <w:p w:rsidR="005B3DDB" w:rsidRPr="005B3DDB" w:rsidRDefault="005B3DDB" w:rsidP="00AE4C45">
            <w:pPr>
              <w:autoSpaceDE w:val="0"/>
              <w:autoSpaceDN w:val="0"/>
              <w:adjustRightInd w:val="0"/>
              <w:jc w:val="center"/>
              <w:rPr>
                <w:rFonts w:ascii="Calibri" w:hAnsi="Calibri" w:cs="Calibri"/>
                <w:b/>
                <w:bCs/>
                <w:iCs/>
                <w:highlight w:val="yellow"/>
                <w:rtl/>
              </w:rPr>
            </w:pPr>
            <w:r w:rsidRPr="005B3DDB">
              <w:rPr>
                <w:rFonts w:ascii="Calibri" w:hAnsi="Calibri" w:cs="Calibri"/>
                <w:b/>
                <w:bCs/>
                <w:iCs/>
                <w:rtl/>
              </w:rPr>
              <w:t>אפריל</w:t>
            </w:r>
          </w:p>
        </w:tc>
        <w:tc>
          <w:tcPr>
            <w:tcW w:w="1276" w:type="dxa"/>
            <w:shd w:val="clear" w:color="auto" w:fill="auto"/>
            <w:vAlign w:val="bottom"/>
          </w:tcPr>
          <w:p w:rsidR="005B3DDB" w:rsidRPr="005B3DDB" w:rsidRDefault="005B3DDB" w:rsidP="00AE4C45">
            <w:pPr>
              <w:autoSpaceDE w:val="0"/>
              <w:autoSpaceDN w:val="0"/>
              <w:adjustRightInd w:val="0"/>
              <w:jc w:val="center"/>
              <w:rPr>
                <w:rFonts w:ascii="Calibri" w:hAnsi="Calibri" w:cs="Calibri"/>
                <w:b/>
                <w:bCs/>
                <w:iCs/>
                <w:highlight w:val="yellow"/>
                <w:rtl/>
              </w:rPr>
            </w:pPr>
            <w:r w:rsidRPr="005B3DDB">
              <w:rPr>
                <w:rFonts w:ascii="Calibri" w:hAnsi="Calibri" w:cs="Calibri"/>
                <w:b/>
                <w:bCs/>
                <w:iCs/>
                <w:rtl/>
              </w:rPr>
              <w:t>מרץ</w:t>
            </w:r>
          </w:p>
        </w:tc>
        <w:tc>
          <w:tcPr>
            <w:tcW w:w="1134" w:type="dxa"/>
            <w:shd w:val="clear" w:color="auto" w:fill="auto"/>
            <w:vAlign w:val="bottom"/>
          </w:tcPr>
          <w:p w:rsidR="005B3DDB" w:rsidRPr="005B3DDB" w:rsidRDefault="005B3DDB" w:rsidP="00AE4C45">
            <w:pPr>
              <w:autoSpaceDE w:val="0"/>
              <w:autoSpaceDN w:val="0"/>
              <w:adjustRightInd w:val="0"/>
              <w:jc w:val="center"/>
              <w:rPr>
                <w:rFonts w:ascii="Calibri" w:hAnsi="Calibri" w:cs="Calibri"/>
                <w:b/>
                <w:bCs/>
                <w:iCs/>
                <w:highlight w:val="yellow"/>
                <w:rtl/>
              </w:rPr>
            </w:pPr>
            <w:r w:rsidRPr="005B3DDB">
              <w:rPr>
                <w:rFonts w:ascii="Calibri" w:hAnsi="Calibri" w:cs="Calibri"/>
                <w:b/>
                <w:bCs/>
                <w:iCs/>
                <w:rtl/>
              </w:rPr>
              <w:t>פברואר</w:t>
            </w:r>
          </w:p>
        </w:tc>
        <w:tc>
          <w:tcPr>
            <w:tcW w:w="1133" w:type="dxa"/>
            <w:shd w:val="clear" w:color="auto" w:fill="auto"/>
            <w:vAlign w:val="bottom"/>
          </w:tcPr>
          <w:p w:rsidR="005B3DDB" w:rsidRPr="005B3DDB" w:rsidRDefault="005B3DDB" w:rsidP="00AE4C45">
            <w:pPr>
              <w:autoSpaceDE w:val="0"/>
              <w:autoSpaceDN w:val="0"/>
              <w:adjustRightInd w:val="0"/>
              <w:jc w:val="center"/>
              <w:rPr>
                <w:rFonts w:ascii="Calibri" w:hAnsi="Calibri" w:cs="Calibri"/>
                <w:b/>
                <w:bCs/>
                <w:iCs/>
                <w:highlight w:val="yellow"/>
                <w:rtl/>
              </w:rPr>
            </w:pPr>
            <w:r w:rsidRPr="005B3DDB">
              <w:rPr>
                <w:rFonts w:ascii="Calibri" w:hAnsi="Calibri" w:cs="Calibri"/>
                <w:b/>
                <w:bCs/>
                <w:iCs/>
                <w:rtl/>
              </w:rPr>
              <w:t>ינואר</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 xml:space="preserve">מדד הייצור התעשייתי </w:t>
            </w:r>
            <w:r w:rsidRPr="005B3DDB">
              <w:rPr>
                <w:rFonts w:ascii="Calibri" w:hAnsi="Calibri" w:cs="Calibri"/>
                <w:i/>
                <w:rtl/>
              </w:rPr>
              <w:t>(ללא כריה וחציבה)</w:t>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 </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0.5</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1.9</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-3.7</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מדד הפדיון בשירותים</w:t>
            </w:r>
            <w:r w:rsidRPr="005B3DDB">
              <w:rPr>
                <w:rFonts w:ascii="Calibri" w:hAnsi="Calibri" w:cs="Calibri"/>
                <w:i/>
                <w:rtl/>
              </w:rPr>
              <w:t xml:space="preserve"> (ללא חינוך </w:t>
            </w:r>
            <w:proofErr w:type="spellStart"/>
            <w:r w:rsidRPr="005B3DDB">
              <w:rPr>
                <w:rFonts w:ascii="Calibri" w:hAnsi="Calibri" w:cs="Calibri"/>
                <w:i/>
                <w:rtl/>
              </w:rPr>
              <w:t>ומינהל</w:t>
            </w:r>
            <w:proofErr w:type="spellEnd"/>
            <w:r w:rsidRPr="005B3DDB">
              <w:rPr>
                <w:rFonts w:ascii="Calibri" w:hAnsi="Calibri" w:cs="Calibri"/>
                <w:i/>
                <w:rtl/>
              </w:rPr>
              <w:t xml:space="preserve"> ציבורי)</w:t>
            </w:r>
          </w:p>
        </w:tc>
        <w:tc>
          <w:tcPr>
            <w:tcW w:w="1146" w:type="dxa"/>
            <w:shd w:val="clear" w:color="auto" w:fill="auto"/>
            <w:vAlign w:val="center"/>
          </w:tcPr>
          <w:p w:rsidR="005B3DDB" w:rsidRPr="005B3DDB" w:rsidRDefault="005B3DDB" w:rsidP="00AE4C45">
            <w:pPr>
              <w:jc w:val="center"/>
              <w:rPr>
                <w:rFonts w:ascii="Calibri" w:hAnsi="Calibri" w:cs="Calibri"/>
                <w:rtl/>
              </w:rPr>
            </w:pPr>
            <w:r w:rsidRPr="005B3DDB">
              <w:rPr>
                <w:rFonts w:ascii="Calibri" w:hAnsi="Calibri" w:cs="Calibri"/>
              </w:rPr>
              <w:t> </w:t>
            </w:r>
          </w:p>
        </w:tc>
        <w:tc>
          <w:tcPr>
            <w:tcW w:w="1276" w:type="dxa"/>
            <w:shd w:val="clear" w:color="auto" w:fill="auto"/>
            <w:vAlign w:val="center"/>
          </w:tcPr>
          <w:p w:rsidR="005B3DDB" w:rsidRPr="005B3DDB" w:rsidRDefault="005B3DDB" w:rsidP="00AE4C45">
            <w:pPr>
              <w:jc w:val="center"/>
              <w:rPr>
                <w:rFonts w:ascii="Calibri" w:hAnsi="Calibri" w:cs="Calibri"/>
                <w:rtl/>
              </w:rPr>
            </w:pPr>
            <w:r w:rsidRPr="005B3DDB">
              <w:rPr>
                <w:rFonts w:ascii="Calibri" w:hAnsi="Calibri" w:cs="Calibri"/>
              </w:rPr>
              <w:t>-1.1</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1.9</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-2.1</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מדד הפדיון במסחר</w:t>
            </w:r>
            <w:r w:rsidRPr="005B3DDB">
              <w:rPr>
                <w:rFonts w:ascii="Calibri" w:hAnsi="Calibri" w:cs="Calibri"/>
                <w:i/>
                <w:rtl/>
              </w:rPr>
              <w:t xml:space="preserve"> הקמעונאי</w:t>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 </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-0.1</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1.0</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-1.1</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יבוא מוצרי הצריכה</w:t>
            </w:r>
            <w:r w:rsidRPr="005B3DDB">
              <w:rPr>
                <w:rFonts w:ascii="Calibri" w:hAnsi="Calibri" w:cs="Calibri"/>
                <w:vertAlign w:val="superscript"/>
                <w:rtl/>
              </w:rPr>
              <w:t>1</w:t>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0.6</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6.9</w:t>
            </w:r>
          </w:p>
        </w:tc>
        <w:tc>
          <w:tcPr>
            <w:tcW w:w="1134" w:type="dxa"/>
            <w:shd w:val="clear" w:color="auto" w:fill="auto"/>
            <w:vAlign w:val="center"/>
          </w:tcPr>
          <w:p w:rsidR="005B3DDB" w:rsidRPr="005B3DDB" w:rsidRDefault="005B3DDB" w:rsidP="00AE4C45">
            <w:pPr>
              <w:jc w:val="center"/>
              <w:rPr>
                <w:rFonts w:ascii="Calibri" w:hAnsi="Calibri" w:cs="Calibri"/>
                <w:rtl/>
              </w:rPr>
            </w:pPr>
            <w:r w:rsidRPr="005B3DDB">
              <w:rPr>
                <w:rFonts w:ascii="Calibri" w:hAnsi="Calibri" w:cs="Calibri"/>
              </w:rPr>
              <w:t>-2.7</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-4.9</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 xml:space="preserve">יבוא התשומות לייצור (ללא </w:t>
            </w:r>
            <w:proofErr w:type="spellStart"/>
            <w:r w:rsidRPr="005B3DDB">
              <w:rPr>
                <w:rFonts w:ascii="Calibri" w:hAnsi="Calibri" w:cs="Calibri"/>
                <w:rtl/>
              </w:rPr>
              <w:t>דלקים</w:t>
            </w:r>
            <w:proofErr w:type="spellEnd"/>
            <w:r w:rsidRPr="005B3DDB">
              <w:rPr>
                <w:rFonts w:ascii="Calibri" w:hAnsi="Calibri" w:cs="Calibri"/>
                <w:rtl/>
              </w:rPr>
              <w:t>)</w:t>
            </w:r>
            <w:r w:rsidRPr="005B3DDB">
              <w:rPr>
                <w:rFonts w:ascii="Calibri" w:hAnsi="Calibri" w:cs="Calibri"/>
                <w:vertAlign w:val="superscript"/>
                <w:rtl/>
              </w:rPr>
              <w:t>1</w:t>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2.9</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5.4</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-4.2</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-3.2</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יצוא הסחורות</w:t>
            </w:r>
            <w:r w:rsidRPr="005B3DDB">
              <w:rPr>
                <w:rFonts w:ascii="Calibri" w:hAnsi="Calibri" w:cs="Calibri"/>
                <w:i/>
                <w:rtl/>
              </w:rPr>
              <w:t xml:space="preserve"> (ללא חקלאות)</w:t>
            </w:r>
            <w:r w:rsidRPr="005B3DDB">
              <w:rPr>
                <w:rStyle w:val="af2"/>
                <w:rFonts w:ascii="Calibri" w:hAnsi="Calibri" w:cs="Calibri"/>
                <w:i/>
                <w:rtl/>
              </w:rPr>
              <w:footnoteReference w:id="1"/>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-14.5</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2.8</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2.5</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-5.9</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יצוא השירותים</w:t>
            </w:r>
            <w:r w:rsidRPr="005B3DDB">
              <w:rPr>
                <w:rFonts w:ascii="Calibri" w:hAnsi="Calibri" w:cs="Calibri"/>
                <w:i/>
                <w:rtl/>
              </w:rPr>
              <w:t xml:space="preserve"> (ללא תחבורה)</w:t>
            </w:r>
            <w:r w:rsidRPr="005B3DDB">
              <w:rPr>
                <w:rStyle w:val="af2"/>
                <w:rFonts w:ascii="Calibri" w:hAnsi="Calibri" w:cs="Calibri"/>
                <w:i/>
                <w:rtl/>
              </w:rPr>
              <w:footnoteReference w:id="2"/>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 </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 </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-2.1</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1.3</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 xml:space="preserve">משרות השכיר </w:t>
            </w:r>
            <w:r w:rsidRPr="005B3DDB">
              <w:rPr>
                <w:rFonts w:ascii="Calibri" w:eastAsia="Malgun Gothic Semilight" w:hAnsi="Calibri" w:cs="Calibri"/>
                <w:rtl/>
              </w:rPr>
              <w:t>–</w:t>
            </w:r>
            <w:r w:rsidRPr="005B3DDB">
              <w:rPr>
                <w:rFonts w:ascii="Calibri" w:hAnsi="Calibri" w:cs="Calibri"/>
                <w:rtl/>
              </w:rPr>
              <w:t xml:space="preserve"> במגזר הפרטי</w:t>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 </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 </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-0.2</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-0.2</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i/>
                <w:rtl/>
              </w:rPr>
            </w:pPr>
            <w:r w:rsidRPr="005B3DDB">
              <w:rPr>
                <w:rFonts w:ascii="Calibri" w:hAnsi="Calibri" w:cs="Calibri"/>
                <w:rtl/>
              </w:rPr>
              <w:t>שיעור המשרות הפנויות במגזר העסקי</w:t>
            </w:r>
            <w:r w:rsidRPr="005B3DDB">
              <w:rPr>
                <w:rStyle w:val="af2"/>
                <w:rFonts w:ascii="Calibri" w:hAnsi="Calibri" w:cs="Calibri"/>
                <w:rtl/>
              </w:rPr>
              <w:footnoteReference w:id="3"/>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4.2</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4.3</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4.4</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4.4</w:t>
            </w:r>
          </w:p>
        </w:tc>
      </w:tr>
      <w:tr w:rsidR="005B3DDB" w:rsidRPr="005B3DDB" w:rsidTr="00AE4C45">
        <w:trPr>
          <w:trHeight w:val="340"/>
        </w:trPr>
        <w:tc>
          <w:tcPr>
            <w:tcW w:w="3613" w:type="dxa"/>
            <w:shd w:val="clear" w:color="auto" w:fill="auto"/>
            <w:vAlign w:val="center"/>
          </w:tcPr>
          <w:p w:rsidR="005B3DDB" w:rsidRPr="005B3DDB" w:rsidRDefault="005B3DDB" w:rsidP="00AE4C45">
            <w:pPr>
              <w:autoSpaceDE w:val="0"/>
              <w:autoSpaceDN w:val="0"/>
              <w:adjustRightInd w:val="0"/>
              <w:rPr>
                <w:rFonts w:ascii="Calibri" w:hAnsi="Calibri" w:cs="Calibri"/>
                <w:rtl/>
              </w:rPr>
            </w:pPr>
            <w:r w:rsidRPr="005B3DDB">
              <w:rPr>
                <w:rFonts w:ascii="Calibri" w:hAnsi="Calibri" w:cs="Calibri"/>
                <w:rtl/>
              </w:rPr>
              <w:t>הרכישות בכרטיסי אשראי</w:t>
            </w:r>
            <w:r w:rsidRPr="005B3DDB">
              <w:rPr>
                <w:rStyle w:val="af2"/>
                <w:rFonts w:ascii="Calibri" w:hAnsi="Calibri" w:cs="Calibri"/>
                <w:rtl/>
              </w:rPr>
              <w:footnoteReference w:id="4"/>
            </w:r>
          </w:p>
        </w:tc>
        <w:tc>
          <w:tcPr>
            <w:tcW w:w="114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-1.2</w:t>
            </w:r>
          </w:p>
        </w:tc>
        <w:tc>
          <w:tcPr>
            <w:tcW w:w="1276"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0.3</w:t>
            </w:r>
          </w:p>
        </w:tc>
        <w:tc>
          <w:tcPr>
            <w:tcW w:w="1134"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0.8</w:t>
            </w:r>
          </w:p>
        </w:tc>
        <w:tc>
          <w:tcPr>
            <w:tcW w:w="1133" w:type="dxa"/>
            <w:shd w:val="clear" w:color="auto" w:fill="auto"/>
            <w:vAlign w:val="center"/>
          </w:tcPr>
          <w:p w:rsidR="005B3DDB" w:rsidRPr="005B3DDB" w:rsidRDefault="005B3DDB" w:rsidP="00AE4C45">
            <w:pPr>
              <w:jc w:val="center"/>
              <w:rPr>
                <w:rFonts w:ascii="Calibri" w:hAnsi="Calibri" w:cs="Calibri"/>
              </w:rPr>
            </w:pPr>
            <w:r w:rsidRPr="005B3DDB">
              <w:rPr>
                <w:rFonts w:ascii="Calibri" w:hAnsi="Calibri" w:cs="Calibri"/>
              </w:rPr>
              <w:t>-1.5</w:t>
            </w:r>
          </w:p>
        </w:tc>
      </w:tr>
    </w:tbl>
    <w:p w:rsidR="005B3DDB" w:rsidRPr="005B3DDB" w:rsidRDefault="005B3DDB" w:rsidP="005B3DDB">
      <w:pPr>
        <w:rPr>
          <w:rFonts w:ascii="Calibri" w:hAnsi="Calibri" w:cs="Calibri"/>
          <w:sz w:val="25"/>
          <w:szCs w:val="25"/>
        </w:rPr>
      </w:pPr>
    </w:p>
    <w:p w:rsidR="00A2150B" w:rsidRPr="005B3DDB" w:rsidRDefault="00A2150B" w:rsidP="005B3DDB">
      <w:pPr>
        <w:spacing w:after="120" w:line="360" w:lineRule="auto"/>
        <w:ind w:right="-57"/>
        <w:jc w:val="center"/>
        <w:rPr>
          <w:rFonts w:ascii="Calibri" w:hAnsi="Calibri" w:cs="Calibri"/>
          <w:sz w:val="24"/>
          <w:szCs w:val="24"/>
          <w:rtl/>
        </w:rPr>
      </w:pPr>
    </w:p>
    <w:sectPr w:rsidR="00A2150B" w:rsidRPr="005B3DDB"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5B3DDB" w:rsidRPr="005B3DDB" w:rsidRDefault="005B3DDB" w:rsidP="005B3DDB">
      <w:pPr>
        <w:jc w:val="both"/>
        <w:rPr>
          <w:rFonts w:ascii="Calibri" w:hAnsi="Calibri" w:cs="Calibri"/>
        </w:rPr>
      </w:pPr>
      <w:r w:rsidRPr="005B3DDB">
        <w:rPr>
          <w:rFonts w:ascii="Calibri" w:hAnsi="Calibri" w:cs="Calibri"/>
          <w:vertAlign w:val="superscript"/>
        </w:rPr>
        <w:footnoteRef/>
      </w:r>
      <w:r w:rsidRPr="005B3DDB">
        <w:rPr>
          <w:rFonts w:ascii="Calibri" w:hAnsi="Calibri" w:cs="Calibri"/>
          <w:rtl/>
        </w:rPr>
        <w:t xml:space="preserve"> יבוא ויצוא הסחורות מחושבים במחירים קבועים (באמצעות ניכוי שינויים במדדי המחירים של סחר החוץ).</w:t>
      </w:r>
    </w:p>
  </w:footnote>
  <w:footnote w:id="2">
    <w:p w:rsidR="005B3DDB" w:rsidRPr="005B3DDB" w:rsidRDefault="005B3DDB" w:rsidP="005B3DDB">
      <w:pPr>
        <w:pStyle w:val="af0"/>
        <w:rPr>
          <w:rFonts w:ascii="Calibri" w:hAnsi="Calibri" w:cs="Calibri"/>
          <w:iCs/>
          <w:sz w:val="22"/>
          <w:szCs w:val="22"/>
          <w:rtl/>
        </w:rPr>
      </w:pPr>
      <w:r w:rsidRPr="005B3DDB">
        <w:rPr>
          <w:rStyle w:val="af2"/>
          <w:rFonts w:ascii="Calibri" w:hAnsi="Calibri" w:cs="Calibri"/>
          <w:sz w:val="22"/>
          <w:szCs w:val="22"/>
        </w:rPr>
        <w:footnoteRef/>
      </w:r>
      <w:r w:rsidRPr="005B3DDB">
        <w:rPr>
          <w:rFonts w:ascii="Calibri" w:hAnsi="Calibri" w:cs="Calibri"/>
          <w:sz w:val="22"/>
          <w:szCs w:val="22"/>
        </w:rPr>
        <w:t xml:space="preserve"> </w:t>
      </w:r>
      <w:r w:rsidRPr="005B3DDB">
        <w:rPr>
          <w:rFonts w:ascii="Calibri" w:hAnsi="Calibri" w:cs="Calibri"/>
          <w:sz w:val="22"/>
          <w:szCs w:val="22"/>
          <w:rtl/>
        </w:rPr>
        <w:t xml:space="preserve">יצוא השירותים מוצג במונחים ריאליים באמצעות ניכוי שינויים במדד המחירים לצרכן ומורכב מיצוא שירותים עסקיים אחרים ויצוא שירותי תיירות. </w:t>
      </w:r>
    </w:p>
    <w:p w:rsidR="005B3DDB" w:rsidRPr="005B3DDB" w:rsidRDefault="005B3DDB" w:rsidP="005B3DDB">
      <w:pPr>
        <w:pStyle w:val="af0"/>
        <w:rPr>
          <w:rFonts w:ascii="Calibri" w:hAnsi="Calibri" w:cs="Calibri"/>
          <w:iCs/>
          <w:sz w:val="22"/>
          <w:szCs w:val="22"/>
        </w:rPr>
      </w:pPr>
    </w:p>
  </w:footnote>
  <w:footnote w:id="3">
    <w:p w:rsidR="005B3DDB" w:rsidRPr="005B3DDB" w:rsidRDefault="005B3DDB" w:rsidP="005B3DDB">
      <w:pPr>
        <w:jc w:val="both"/>
        <w:rPr>
          <w:rFonts w:ascii="Calibri" w:hAnsi="Calibri" w:cs="Calibri"/>
        </w:rPr>
      </w:pPr>
      <w:r w:rsidRPr="005B3DDB">
        <w:rPr>
          <w:rStyle w:val="af2"/>
          <w:rFonts w:ascii="Calibri" w:hAnsi="Calibri" w:cs="Calibri"/>
        </w:rPr>
        <w:footnoteRef/>
      </w:r>
      <w:r w:rsidRPr="005B3DDB">
        <w:rPr>
          <w:rFonts w:ascii="Calibri" w:hAnsi="Calibri" w:cs="Calibri"/>
          <w:rtl/>
        </w:rPr>
        <w:t xml:space="preserve"> </w:t>
      </w:r>
      <w:r w:rsidRPr="005B3DDB">
        <w:rPr>
          <w:rFonts w:ascii="Calibri" w:hAnsi="Calibri" w:cs="Calibri"/>
          <w:i/>
          <w:rtl/>
        </w:rPr>
        <w:t xml:space="preserve">שיעור המשרות הפנויות מחושב מתוך סך המועסקים ונכלל במדד ברמתו, מנוכה עונתיות. </w:t>
      </w:r>
    </w:p>
  </w:footnote>
  <w:footnote w:id="4">
    <w:p w:rsidR="005B3DDB" w:rsidRPr="005B3DDB" w:rsidRDefault="005B3DDB" w:rsidP="005B3DDB">
      <w:pPr>
        <w:pStyle w:val="af0"/>
        <w:rPr>
          <w:rFonts w:ascii="Calibri" w:hAnsi="Calibri" w:cs="Calibri"/>
          <w:iCs/>
          <w:sz w:val="22"/>
          <w:szCs w:val="22"/>
        </w:rPr>
      </w:pPr>
      <w:r w:rsidRPr="005B3DDB">
        <w:rPr>
          <w:rStyle w:val="af2"/>
          <w:rFonts w:ascii="Calibri" w:hAnsi="Calibri" w:cs="Calibri"/>
          <w:sz w:val="22"/>
          <w:szCs w:val="22"/>
        </w:rPr>
        <w:footnoteRef/>
      </w:r>
      <w:r w:rsidRPr="005B3DDB">
        <w:rPr>
          <w:rFonts w:ascii="Calibri" w:hAnsi="Calibri" w:cs="Calibri"/>
          <w:sz w:val="22"/>
          <w:szCs w:val="22"/>
          <w:rtl/>
        </w:rPr>
        <w:t xml:space="preserve"> </w:t>
      </w:r>
      <w:r w:rsidRPr="005B3DDB">
        <w:rPr>
          <w:rFonts w:ascii="Calibri" w:hAnsi="Calibri" w:cs="Calibri"/>
          <w:i/>
          <w:sz w:val="22"/>
          <w:szCs w:val="22"/>
          <w:rtl/>
        </w:rPr>
        <w:t>נתון הרכישות</w:t>
      </w:r>
      <w:r w:rsidRPr="005B3DDB">
        <w:rPr>
          <w:rFonts w:ascii="Calibri" w:hAnsi="Calibri" w:cs="Calibri"/>
          <w:sz w:val="22"/>
          <w:szCs w:val="22"/>
          <w:rtl/>
        </w:rPr>
        <w:t xml:space="preserve"> בכרטיסי אשראי הוא השינוי החודשי, מנוכה עונתיות, על פי פרסומי </w:t>
      </w:r>
      <w:proofErr w:type="spellStart"/>
      <w:r w:rsidRPr="005B3DDB">
        <w:rPr>
          <w:rFonts w:ascii="Calibri" w:hAnsi="Calibri" w:cs="Calibri"/>
          <w:sz w:val="22"/>
          <w:szCs w:val="22"/>
          <w:rtl/>
        </w:rPr>
        <w:t>הלמ"ס</w:t>
      </w:r>
      <w:proofErr w:type="spellEnd"/>
      <w:r w:rsidRPr="005B3DDB">
        <w:rPr>
          <w:rFonts w:ascii="Calibri" w:hAnsi="Calibri" w:cs="Calibri"/>
          <w:sz w:val="22"/>
          <w:szCs w:val="22"/>
          <w:rtl/>
        </w:rPr>
        <w:t xml:space="preserve">. כאשר הנתון של </w:t>
      </w:r>
      <w:proofErr w:type="spellStart"/>
      <w:r w:rsidRPr="005B3DDB">
        <w:rPr>
          <w:rFonts w:ascii="Calibri" w:hAnsi="Calibri" w:cs="Calibri"/>
          <w:sz w:val="22"/>
          <w:szCs w:val="22"/>
          <w:rtl/>
        </w:rPr>
        <w:t>הלמ"ס</w:t>
      </w:r>
      <w:proofErr w:type="spellEnd"/>
      <w:r w:rsidRPr="005B3DDB">
        <w:rPr>
          <w:rFonts w:ascii="Calibri" w:hAnsi="Calibri" w:cs="Calibri"/>
          <w:sz w:val="22"/>
          <w:szCs w:val="22"/>
          <w:rtl/>
        </w:rPr>
        <w:t xml:space="preserve"> לחודש הקצה אינו זמן, נתון זה מהווה אומדן מבוסס על שיעור השינוי החודשי על פי נתונים יומיים של שב"א, בניכוי עונתיות.</w:t>
      </w:r>
    </w:p>
    <w:p w:rsidR="005B3DDB" w:rsidRPr="005B3DDB" w:rsidRDefault="005B3DDB" w:rsidP="005B3DDB">
      <w:pPr>
        <w:pStyle w:val="af0"/>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74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6AC0-EDD6-4E86-83D6-2A73517E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1420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2025-05-27T11:00:00Z</dcterms:created>
  <dcterms:modified xsi:type="dcterms:W3CDTF">2025-05-27T14:30:00Z</dcterms:modified>
</cp:coreProperties>
</file>